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297" w14:textId="77777777" w:rsidR="000E1108" w:rsidRDefault="000E1108" w:rsidP="000E110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C47463" w14:textId="29B2B4AB" w:rsidR="00CF79B3" w:rsidRDefault="00CF79B3" w:rsidP="000E110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Supplementary</w:t>
      </w:r>
      <w:r w:rsidR="004B2ECD" w:rsidRPr="004B2ECD">
        <w:rPr>
          <w:rFonts w:asciiTheme="majorBidi" w:hAnsiTheme="majorBidi" w:cstheme="majorBidi"/>
          <w:b/>
          <w:bCs/>
          <w:sz w:val="28"/>
          <w:szCs w:val="28"/>
        </w:rPr>
        <w:t xml:space="preserve"> File </w:t>
      </w:r>
      <w:r w:rsidR="00DF181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</w:p>
    <w:p w14:paraId="3B649CED" w14:textId="77777777" w:rsidR="00CF79B3" w:rsidRDefault="00CF79B3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94D1BE4" w14:textId="613158F1" w:rsidR="00CF79B3" w:rsidRDefault="00CF79B3" w:rsidP="00CF79B3">
      <w:pPr>
        <w:rPr>
          <w:rFonts w:asciiTheme="majorBidi" w:hAnsiTheme="majorBidi" w:cstheme="majorBidi"/>
          <w:b/>
          <w:bCs/>
          <w:lang w:val="en-US"/>
        </w:rPr>
      </w:pPr>
      <w:r w:rsidRPr="00CF79B3">
        <w:rPr>
          <w:rFonts w:asciiTheme="majorBidi" w:hAnsiTheme="majorBidi" w:cstheme="majorBidi"/>
          <w:b/>
          <w:bCs/>
          <w:lang w:val="en-US"/>
        </w:rPr>
        <w:t xml:space="preserve">Table S1. Electronic database search strategies </w:t>
      </w:r>
    </w:p>
    <w:p w14:paraId="7BB11B43" w14:textId="77777777" w:rsidR="00DF1817" w:rsidRPr="00CF79B3" w:rsidRDefault="00DF1817" w:rsidP="00CF79B3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051"/>
      </w:tblGrid>
      <w:tr w:rsidR="00CF79B3" w:rsidRPr="00CF79B3" w14:paraId="21498DA4" w14:textId="77777777" w:rsidTr="00CF7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33AAE8" w14:textId="77777777" w:rsidR="00CF79B3" w:rsidRPr="00CF79B3" w:rsidRDefault="00CF79B3" w:rsidP="00CF79B3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CF79B3">
              <w:rPr>
                <w:rFonts w:asciiTheme="majorBidi" w:hAnsiTheme="majorBidi" w:cstheme="majorBidi"/>
                <w:b w:val="0"/>
                <w:bCs w:val="0"/>
                <w:lang w:val="en-US"/>
              </w:rPr>
              <w:t>Database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7834CE" w14:textId="77777777" w:rsidR="00CF79B3" w:rsidRPr="00CF79B3" w:rsidRDefault="00CF79B3" w:rsidP="00CF7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CF79B3">
              <w:rPr>
                <w:rFonts w:asciiTheme="majorBidi" w:hAnsiTheme="majorBidi" w:cstheme="majorBidi"/>
                <w:b w:val="0"/>
                <w:bCs w:val="0"/>
                <w:lang w:val="en-US"/>
              </w:rPr>
              <w:t>Search strategy (exact string)</w:t>
            </w:r>
          </w:p>
        </w:tc>
      </w:tr>
      <w:tr w:rsidR="00CF79B3" w:rsidRPr="00CF79B3" w14:paraId="7CDC54F9" w14:textId="77777777" w:rsidTr="00CF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1DCB9C74" w14:textId="77777777" w:rsidR="00CF79B3" w:rsidRPr="00CF79B3" w:rsidRDefault="00CF79B3" w:rsidP="00CF79B3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CF79B3">
              <w:rPr>
                <w:rFonts w:asciiTheme="majorBidi" w:hAnsiTheme="majorBidi" w:cstheme="majorBidi"/>
                <w:b w:val="0"/>
                <w:bCs w:val="0"/>
                <w:lang w:val="en-US"/>
              </w:rPr>
              <w:t>PubMed/MEDLINE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AD7326E" w14:textId="77777777" w:rsidR="00CF79B3" w:rsidRPr="00CF79B3" w:rsidRDefault="00CF79B3" w:rsidP="00CF7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CF79B3">
              <w:rPr>
                <w:rFonts w:asciiTheme="majorBidi" w:hAnsiTheme="majorBidi" w:cstheme="majorBidi"/>
                <w:lang w:val="en-US"/>
              </w:rPr>
              <w:t>(("Bariatric Surgery"[Mesh] OR "Gastric Bypass"[Mesh] OR "Gastrectomy, Sleeve"[Mesh] OR bariatric*[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"metabolic surgery"[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"weight loss surgery"[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"gastric bypass"[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"Roux-en-Y"[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RYGB[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"sleeve gastrectomy"[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"one anastomosis gastric bypass"[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OAGB[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"mini gastric bypass"[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biliopancreatic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diversion"[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BPD[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"duodenal switch"[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]) AND ("Seizures"[Mesh] OR "Epilepsy"[Mesh] OR seizure*[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]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*[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] OR "status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epilepticus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convulsion*[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"new-onset seizure"[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 OR "acute symptomatic seizure"[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]))</w:t>
            </w:r>
          </w:p>
        </w:tc>
      </w:tr>
      <w:tr w:rsidR="00CF79B3" w:rsidRPr="00CF79B3" w14:paraId="5E93E2A2" w14:textId="77777777" w:rsidTr="00CF7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B4D7A8" w14:textId="77777777" w:rsidR="00CF79B3" w:rsidRPr="00CF79B3" w:rsidRDefault="00CF79B3" w:rsidP="00CF79B3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CF79B3">
              <w:rPr>
                <w:rFonts w:asciiTheme="majorBidi" w:hAnsiTheme="majorBidi" w:cstheme="majorBidi"/>
                <w:b w:val="0"/>
                <w:bCs w:val="0"/>
                <w:lang w:val="en-US"/>
              </w:rPr>
              <w:t>Embase</w:t>
            </w:r>
          </w:p>
        </w:tc>
        <w:tc>
          <w:tcPr>
            <w:tcW w:w="0" w:type="auto"/>
            <w:hideMark/>
          </w:tcPr>
          <w:p w14:paraId="59EAB610" w14:textId="77777777" w:rsidR="00CF79B3" w:rsidRPr="00CF79B3" w:rsidRDefault="00CF79B3" w:rsidP="00CF7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CF79B3">
              <w:rPr>
                <w:rFonts w:asciiTheme="majorBidi" w:hAnsiTheme="majorBidi" w:cstheme="majorBidi"/>
                <w:lang w:val="en-US"/>
              </w:rPr>
              <w:t>('bariatric surgery'/exp OR 'gastric bypass'/exp OR 'sleeve gastrectomy'/exp OR bariatric*: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'metabolic surgery':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'weight loss surgery':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'gastric bypass':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'roux-en-y':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rygb:ti,ab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'sleeve gastrectomy':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'one anastomosis gastric bypass':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oagb:ti,ab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'mini gastric bypass':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biliopancreatic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diversion':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bpd:ti,ab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'duodenal switch':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) AND ('seizure'/exp OR 'epilepsy'/exp OR 'status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epilepticus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'/exp OR seizure*: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*: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convulsion*: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'new onset seizure':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 OR 'acute symptomatic seizure':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ti,ab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)</w:t>
            </w:r>
          </w:p>
        </w:tc>
      </w:tr>
      <w:tr w:rsidR="00CF79B3" w:rsidRPr="00CF79B3" w14:paraId="59665C02" w14:textId="77777777" w:rsidTr="00CF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A3D16" w14:textId="77777777" w:rsidR="00CF79B3" w:rsidRPr="00CF79B3" w:rsidRDefault="00CF79B3" w:rsidP="00CF79B3">
            <w:pPr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CF79B3">
              <w:rPr>
                <w:rFonts w:asciiTheme="majorBidi" w:hAnsiTheme="majorBidi" w:cstheme="majorBidi"/>
                <w:b w:val="0"/>
                <w:bCs w:val="0"/>
                <w:lang w:val="en-US"/>
              </w:rPr>
              <w:t>Web of Science Core Collection</w:t>
            </w:r>
          </w:p>
        </w:tc>
        <w:tc>
          <w:tcPr>
            <w:tcW w:w="0" w:type="auto"/>
            <w:hideMark/>
          </w:tcPr>
          <w:p w14:paraId="586D8B59" w14:textId="77777777" w:rsidR="00CF79B3" w:rsidRPr="00CF79B3" w:rsidRDefault="00CF79B3" w:rsidP="00CF7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CF79B3">
              <w:rPr>
                <w:rFonts w:asciiTheme="majorBidi" w:hAnsiTheme="majorBidi" w:cstheme="majorBidi"/>
                <w:lang w:val="en-US"/>
              </w:rPr>
              <w:t xml:space="preserve">TS=((bariatric* OR "metabolic surgery" OR "weight loss surgery" OR "gastric bypass" OR "Roux-en-Y" OR RYGB OR "sleeve gastrectomy" OR "one anastomosis gastric bypass" OR OAGB OR "mini gastric bypass" OR "biliopancreatic diversion" OR BPD OR "duodenal switch") AND (seizure* OR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 xml:space="preserve">* OR "status </w:t>
            </w:r>
            <w:proofErr w:type="spellStart"/>
            <w:r w:rsidRPr="00CF79B3">
              <w:rPr>
                <w:rFonts w:asciiTheme="majorBidi" w:hAnsiTheme="majorBidi" w:cstheme="majorBidi"/>
                <w:lang w:val="en-US"/>
              </w:rPr>
              <w:t>epilepticus</w:t>
            </w:r>
            <w:proofErr w:type="spellEnd"/>
            <w:r w:rsidRPr="00CF79B3">
              <w:rPr>
                <w:rFonts w:asciiTheme="majorBidi" w:hAnsiTheme="majorBidi" w:cstheme="majorBidi"/>
                <w:lang w:val="en-US"/>
              </w:rPr>
              <w:t>" OR convulsion* OR "new-onset seizure" OR "acute symptomatic seizure"))</w:t>
            </w:r>
          </w:p>
        </w:tc>
      </w:tr>
    </w:tbl>
    <w:p w14:paraId="46E4A3F3" w14:textId="77777777" w:rsidR="00CF79B3" w:rsidRPr="00CF79B3" w:rsidRDefault="00CF79B3" w:rsidP="00CF79B3">
      <w:pPr>
        <w:rPr>
          <w:rFonts w:asciiTheme="majorBidi" w:hAnsiTheme="majorBidi" w:cstheme="majorBidi"/>
          <w:sz w:val="20"/>
          <w:szCs w:val="20"/>
          <w:lang w:val="en-US"/>
        </w:rPr>
      </w:pPr>
      <w:r w:rsidRPr="00CF79B3">
        <w:rPr>
          <w:rFonts w:asciiTheme="majorBidi" w:hAnsiTheme="majorBidi" w:cstheme="majorBidi"/>
          <w:sz w:val="20"/>
          <w:szCs w:val="20"/>
          <w:lang w:val="en-US"/>
        </w:rPr>
        <w:t>Abbreviations: BPD, biliopancreatic diversion; OAGB, one anastomosis gastric bypass; RYGB, Roux-en-Y gastric bypass; TS, topic.</w:t>
      </w:r>
    </w:p>
    <w:p w14:paraId="5EE368BA" w14:textId="396442FB" w:rsidR="00CF79B3" w:rsidRPr="00CF79B3" w:rsidRDefault="00CF79B3">
      <w:pPr>
        <w:rPr>
          <w:rFonts w:asciiTheme="majorBidi" w:hAnsiTheme="majorBidi" w:cstheme="majorBidi"/>
          <w:sz w:val="20"/>
          <w:szCs w:val="20"/>
        </w:rPr>
      </w:pPr>
      <w:r w:rsidRPr="00CF79B3">
        <w:rPr>
          <w:rFonts w:asciiTheme="majorBidi" w:hAnsiTheme="majorBidi" w:cstheme="majorBidi"/>
          <w:sz w:val="20"/>
          <w:szCs w:val="20"/>
        </w:rPr>
        <w:br w:type="page"/>
      </w:r>
    </w:p>
    <w:p w14:paraId="36FFE225" w14:textId="1CC00F39" w:rsidR="004B2ECD" w:rsidRPr="00CF79B3" w:rsidRDefault="004B2ECD" w:rsidP="000E110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DCA9D48" w14:textId="6E2B882D" w:rsidR="000E1108" w:rsidRDefault="00DF1817" w:rsidP="0007149C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Table S2. </w:t>
      </w:r>
      <w:r w:rsidR="0007149C" w:rsidRPr="0007149C">
        <w:rPr>
          <w:rFonts w:asciiTheme="majorBidi" w:hAnsiTheme="majorBidi" w:cstheme="majorBidi"/>
          <w:b/>
          <w:bCs/>
          <w:lang w:val="en-US"/>
        </w:rPr>
        <w:t>Risk of bias assessment for included case reports (JBI Case Report Checklist)</w:t>
      </w:r>
    </w:p>
    <w:p w14:paraId="46682C6C" w14:textId="419D3146" w:rsidR="0007149C" w:rsidRPr="0007149C" w:rsidRDefault="0007149C" w:rsidP="0007149C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90"/>
        <w:gridCol w:w="590"/>
        <w:gridCol w:w="590"/>
        <w:gridCol w:w="590"/>
        <w:gridCol w:w="976"/>
        <w:gridCol w:w="590"/>
        <w:gridCol w:w="976"/>
        <w:gridCol w:w="590"/>
        <w:gridCol w:w="2002"/>
      </w:tblGrid>
      <w:tr w:rsidR="0007149C" w:rsidRPr="0007149C" w14:paraId="08ED41B6" w14:textId="77777777" w:rsidTr="00071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7CF9D6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Study (Author, Year)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894EF9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A78432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872E8E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11E6DD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D267A1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DE5FF0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132280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1F57B3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Q8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7447A3" w14:textId="77777777" w:rsidR="0007149C" w:rsidRPr="0007149C" w:rsidRDefault="0007149C" w:rsidP="000714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Overall risk of bias</w:t>
            </w:r>
          </w:p>
        </w:tc>
      </w:tr>
      <w:tr w:rsidR="0007149C" w:rsidRPr="0007149C" w14:paraId="7A277AAE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10FEA296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Kim et al. (2022)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3B0023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25130B9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C70D0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24B03D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2DED0C1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8FB55F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D1D4350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AC2D9A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65E491B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4D916C0A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9A584D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Sedano et al. (2022)</w:t>
            </w:r>
          </w:p>
        </w:tc>
        <w:tc>
          <w:tcPr>
            <w:tcW w:w="0" w:type="auto"/>
            <w:hideMark/>
          </w:tcPr>
          <w:p w14:paraId="573A5BD0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4E10C3B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89F332F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E7B86BE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3ECD37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F78FE5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FC1B9A6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5FC0D0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18D1CA9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38E499AC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AA428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McManus et al. (2021)</w:t>
            </w:r>
          </w:p>
        </w:tc>
        <w:tc>
          <w:tcPr>
            <w:tcW w:w="0" w:type="auto"/>
            <w:hideMark/>
          </w:tcPr>
          <w:p w14:paraId="6AA87B47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C8E507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AB116B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6C0E9CE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1D66BB0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9EE0F56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CCF2C4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2E1CDE5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BA4B5F0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3FF88A21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81B06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Abtin Kevin Farahmand (2020)</w:t>
            </w:r>
          </w:p>
        </w:tc>
        <w:tc>
          <w:tcPr>
            <w:tcW w:w="0" w:type="auto"/>
            <w:hideMark/>
          </w:tcPr>
          <w:p w14:paraId="47619038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4E6826C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A26270E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4B4F1F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CB28AAE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87F3724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373125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0940254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92A1F1D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4BFE83F1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7F1B9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Lubna El Sheikh (2020)</w:t>
            </w:r>
          </w:p>
        </w:tc>
        <w:tc>
          <w:tcPr>
            <w:tcW w:w="0" w:type="auto"/>
            <w:hideMark/>
          </w:tcPr>
          <w:p w14:paraId="436128F6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16D4EA5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96ECB49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A7983F8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2C874DE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0F38563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F4F8537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28B6930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F32694C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3164BBAD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188DC9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Conaty et al. (2019)</w:t>
            </w:r>
          </w:p>
        </w:tc>
        <w:tc>
          <w:tcPr>
            <w:tcW w:w="0" w:type="auto"/>
            <w:hideMark/>
          </w:tcPr>
          <w:p w14:paraId="0F04650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6A4DE6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DF561AC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9B0E32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1207C0D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E7CBD7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227D1FCD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3539BD56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0321591F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High</w:t>
            </w:r>
          </w:p>
        </w:tc>
      </w:tr>
      <w:tr w:rsidR="0007149C" w:rsidRPr="0007149C" w14:paraId="40CC66B0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0A549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Tornincasa et al. (2018)</w:t>
            </w:r>
          </w:p>
        </w:tc>
        <w:tc>
          <w:tcPr>
            <w:tcW w:w="0" w:type="auto"/>
            <w:hideMark/>
          </w:tcPr>
          <w:p w14:paraId="625185EF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C8C064D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2DAB387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B26301D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3109BDA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F37F9CC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176EDD7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A8F05B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BDAB7DC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576B08F6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C39D6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Spandana Brown (2018)</w:t>
            </w:r>
          </w:p>
        </w:tc>
        <w:tc>
          <w:tcPr>
            <w:tcW w:w="0" w:type="auto"/>
            <w:hideMark/>
          </w:tcPr>
          <w:p w14:paraId="2A93C70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246E376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7490D4C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33F7E87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65E606A3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4999652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5328B256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B4E7252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B848EE6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Intermediate</w:t>
            </w:r>
          </w:p>
        </w:tc>
      </w:tr>
      <w:tr w:rsidR="0007149C" w:rsidRPr="0007149C" w14:paraId="01809F63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43A580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Joseph Grogg (2018)</w:t>
            </w:r>
          </w:p>
        </w:tc>
        <w:tc>
          <w:tcPr>
            <w:tcW w:w="0" w:type="auto"/>
            <w:hideMark/>
          </w:tcPr>
          <w:p w14:paraId="7E30FB0F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81C6D4E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59A10BE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28126D5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FBBA31A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C6D01AD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CE60C89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07BB09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431B1DA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3042E63F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F4C5E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Pradeep R. Alta (2015)</w:t>
            </w:r>
          </w:p>
        </w:tc>
        <w:tc>
          <w:tcPr>
            <w:tcW w:w="0" w:type="auto"/>
            <w:hideMark/>
          </w:tcPr>
          <w:p w14:paraId="4ED17CD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5AFA02B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4DA07DD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1079FDB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C8C61BC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08E4694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D36A17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53DC2153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EF74C9D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Intermediate</w:t>
            </w:r>
          </w:p>
        </w:tc>
      </w:tr>
      <w:tr w:rsidR="0007149C" w:rsidRPr="0007149C" w14:paraId="4F173251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7D61B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Katherine J. Hahn (2015)</w:t>
            </w:r>
          </w:p>
        </w:tc>
        <w:tc>
          <w:tcPr>
            <w:tcW w:w="0" w:type="auto"/>
            <w:hideMark/>
          </w:tcPr>
          <w:p w14:paraId="232D8DC5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5A48EBE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504D02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4B1A2A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DB90B79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EFA0D01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9D1B68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1D535638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11F76A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402FD188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224DE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Rao et al. (2014)</w:t>
            </w:r>
          </w:p>
        </w:tc>
        <w:tc>
          <w:tcPr>
            <w:tcW w:w="0" w:type="auto"/>
            <w:hideMark/>
          </w:tcPr>
          <w:p w14:paraId="2F7D3184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0E158C3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017197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137CD67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4CFE1F4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61C18F2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EF5C472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57E1CA9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21E51A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1FE6280F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62208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Lee et al. (2011)</w:t>
            </w:r>
          </w:p>
        </w:tc>
        <w:tc>
          <w:tcPr>
            <w:tcW w:w="0" w:type="auto"/>
            <w:hideMark/>
          </w:tcPr>
          <w:p w14:paraId="05D4354C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90D546A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F6C3C00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646AF8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0C7CA18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BA0D99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4C7DAF6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227BAE6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939F7D9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07149C" w:rsidRPr="0007149C" w14:paraId="542F9A8F" w14:textId="77777777" w:rsidTr="0007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B9453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John Y. Choi (2004)</w:t>
            </w:r>
          </w:p>
        </w:tc>
        <w:tc>
          <w:tcPr>
            <w:tcW w:w="0" w:type="auto"/>
            <w:hideMark/>
          </w:tcPr>
          <w:p w14:paraId="7A961BED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BBA42E3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3A4FEF7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BD6375A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4164791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5C477A5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D2EB30F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398102D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BB1845C" w14:textId="77777777" w:rsidR="0007149C" w:rsidRPr="0007149C" w:rsidRDefault="0007149C" w:rsidP="0007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Intermediate</w:t>
            </w:r>
          </w:p>
        </w:tc>
      </w:tr>
      <w:tr w:rsidR="0007149C" w:rsidRPr="0007149C" w14:paraId="1E98F8CF" w14:textId="77777777" w:rsidTr="0007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93152" w14:textId="77777777" w:rsidR="0007149C" w:rsidRPr="0007149C" w:rsidRDefault="0007149C" w:rsidP="0007149C">
            <w:pPr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Salvado et al. (2000)</w:t>
            </w:r>
          </w:p>
        </w:tc>
        <w:tc>
          <w:tcPr>
            <w:tcW w:w="0" w:type="auto"/>
            <w:hideMark/>
          </w:tcPr>
          <w:p w14:paraId="2FF5FAAB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A9E50D6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68FC5A1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49DB1EB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0BF44BC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34BCBB43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4768C072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18ABBDB8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F99E954" w14:textId="77777777" w:rsidR="0007149C" w:rsidRPr="0007149C" w:rsidRDefault="0007149C" w:rsidP="00071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7149C">
              <w:rPr>
                <w:rFonts w:asciiTheme="majorBidi" w:hAnsiTheme="majorBidi" w:cstheme="majorBidi"/>
                <w:lang w:val="en-US"/>
              </w:rPr>
              <w:t>Intermediate</w:t>
            </w:r>
          </w:p>
        </w:tc>
      </w:tr>
    </w:tbl>
    <w:p w14:paraId="2F011236" w14:textId="61CD96E8" w:rsidR="0007149C" w:rsidRDefault="0007149C" w:rsidP="0007149C">
      <w:pPr>
        <w:rPr>
          <w:rFonts w:asciiTheme="majorBidi" w:hAnsiTheme="majorBidi" w:cstheme="majorBidi"/>
          <w:lang w:val="en-US"/>
        </w:rPr>
      </w:pPr>
      <w:r w:rsidRPr="0007149C">
        <w:rPr>
          <w:rFonts w:asciiTheme="majorBidi" w:hAnsiTheme="majorBidi" w:cstheme="majorBidi"/>
        </w:rPr>
        <w:t>Q1, patient’s demographic characteristics clearly described; Q2, patient’s history clearly described and presented as a timeline; Q3, current clinical condition on presentation clearly described; Q4, diagnostic tests or assessment methods and results clearly described; Q5, intervention(s) or treatment procedure(s) clearly described; Q6, post-intervention clinical condition clearly described; Q7, adverse events (harms) or unanticipated events identified and described; Q8, case report provides takeaway lessons.</w:t>
      </w:r>
    </w:p>
    <w:p w14:paraId="2C50B84F" w14:textId="77777777" w:rsidR="0007149C" w:rsidRPr="00536648" w:rsidRDefault="0007149C" w:rsidP="000E1108">
      <w:pPr>
        <w:rPr>
          <w:rFonts w:asciiTheme="majorBidi" w:hAnsiTheme="majorBidi" w:cstheme="majorBidi"/>
          <w:lang w:val="en-US"/>
        </w:rPr>
      </w:pPr>
    </w:p>
    <w:p w14:paraId="374FA792" w14:textId="36C309A2" w:rsidR="000E1108" w:rsidRDefault="000E1108" w:rsidP="004444C1">
      <w:pPr>
        <w:jc w:val="center"/>
        <w:rPr>
          <w:rFonts w:asciiTheme="majorBidi" w:hAnsiTheme="majorBidi" w:cstheme="majorBidi"/>
          <w:b/>
          <w:bCs/>
        </w:rPr>
      </w:pPr>
    </w:p>
    <w:p w14:paraId="3E9A4178" w14:textId="77777777" w:rsidR="000E1108" w:rsidRDefault="000E1108" w:rsidP="000E1108">
      <w:pPr>
        <w:rPr>
          <w:rFonts w:asciiTheme="majorBidi" w:hAnsiTheme="majorBidi" w:cstheme="majorBidi"/>
          <w:b/>
          <w:bCs/>
        </w:rPr>
        <w:sectPr w:rsidR="000E1108" w:rsidSect="00BA1FDB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7407376" w14:textId="77777777" w:rsidR="000E1108" w:rsidRDefault="000E1108" w:rsidP="000E1108">
      <w:pPr>
        <w:rPr>
          <w:rFonts w:asciiTheme="majorBidi" w:hAnsiTheme="majorBidi" w:cstheme="majorBidi"/>
          <w:b/>
          <w:bCs/>
        </w:rPr>
      </w:pPr>
    </w:p>
    <w:p w14:paraId="69AC647E" w14:textId="23E66904" w:rsidR="000A41A4" w:rsidRDefault="00DF1817" w:rsidP="000A41A4">
      <w:pPr>
        <w:rPr>
          <w:rFonts w:asciiTheme="majorBidi" w:hAnsiTheme="majorBidi" w:cstheme="majorBidi"/>
          <w:b/>
          <w:bCs/>
          <w:lang w:val="en-US"/>
        </w:rPr>
      </w:pPr>
      <w:r w:rsidRPr="00DF1817">
        <w:rPr>
          <w:rFonts w:asciiTheme="majorBidi" w:hAnsiTheme="majorBidi" w:cstheme="majorBidi"/>
          <w:b/>
          <w:bCs/>
          <w:lang w:val="en-US"/>
        </w:rPr>
        <w:t>Table S</w:t>
      </w:r>
      <w:r>
        <w:rPr>
          <w:rFonts w:asciiTheme="majorBidi" w:hAnsiTheme="majorBidi" w:cstheme="majorBidi"/>
          <w:b/>
          <w:bCs/>
          <w:lang w:val="en-US"/>
        </w:rPr>
        <w:t>3</w:t>
      </w:r>
      <w:r w:rsidRPr="00DF1817">
        <w:rPr>
          <w:rFonts w:asciiTheme="majorBidi" w:hAnsiTheme="majorBidi" w:cstheme="majorBidi"/>
          <w:b/>
          <w:bCs/>
          <w:lang w:val="en-US"/>
        </w:rPr>
        <w:t xml:space="preserve">. </w:t>
      </w:r>
      <w:r w:rsidR="000A41A4" w:rsidRPr="000A41A4">
        <w:rPr>
          <w:rFonts w:asciiTheme="majorBidi" w:hAnsiTheme="majorBidi" w:cstheme="majorBidi"/>
          <w:b/>
          <w:bCs/>
          <w:lang w:val="en-US"/>
        </w:rPr>
        <w:t>Risk of bias assessment for included cohort studies (JBI Cohort Checklist)</w:t>
      </w:r>
    </w:p>
    <w:p w14:paraId="0EC307B0" w14:textId="77777777" w:rsidR="000A41A4" w:rsidRPr="000A41A4" w:rsidRDefault="000A41A4" w:rsidP="000A41A4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036"/>
        <w:gridCol w:w="1036"/>
        <w:gridCol w:w="527"/>
        <w:gridCol w:w="847"/>
        <w:gridCol w:w="847"/>
        <w:gridCol w:w="527"/>
        <w:gridCol w:w="527"/>
        <w:gridCol w:w="527"/>
        <w:gridCol w:w="527"/>
        <w:gridCol w:w="1036"/>
        <w:gridCol w:w="847"/>
        <w:gridCol w:w="1224"/>
      </w:tblGrid>
      <w:tr w:rsidR="00297E12" w:rsidRPr="000A41A4" w14:paraId="6E725516" w14:textId="77777777" w:rsidTr="000A4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981935" w14:textId="77777777" w:rsidR="000A41A4" w:rsidRPr="000A41A4" w:rsidRDefault="000A41A4" w:rsidP="000A41A4">
            <w:pPr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Study (Author, Year)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0BBB28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17AA25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E74B9E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4CE81B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712974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501239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D7C854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2D447C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A9408F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1E7CFF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AE34AE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Q11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27BC5E" w14:textId="77777777" w:rsidR="000A41A4" w:rsidRPr="000A41A4" w:rsidRDefault="000A41A4" w:rsidP="000A4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Overall risk of bias</w:t>
            </w:r>
          </w:p>
        </w:tc>
      </w:tr>
      <w:tr w:rsidR="00297E12" w:rsidRPr="000A41A4" w14:paraId="701FB2D9" w14:textId="77777777" w:rsidTr="000A4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33371F69" w14:textId="77777777" w:rsidR="000A41A4" w:rsidRPr="000A41A4" w:rsidRDefault="000A41A4" w:rsidP="000A41A4">
            <w:pPr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Antaya (2022)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BCC0B4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839B71F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32F229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280D6D3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3BE44E1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565389E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739C6D0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8CE2FE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DED046A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8CF1DB1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Not applicable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B2D835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41D38FB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Low</w:t>
            </w:r>
          </w:p>
        </w:tc>
      </w:tr>
      <w:tr w:rsidR="00297E12" w:rsidRPr="000A41A4" w14:paraId="7421E156" w14:textId="77777777" w:rsidTr="000A4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D1B7B" w14:textId="77777777" w:rsidR="000A41A4" w:rsidRPr="000A41A4" w:rsidRDefault="000A41A4" w:rsidP="000A41A4">
            <w:pPr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Woods et al. (2011)</w:t>
            </w:r>
          </w:p>
        </w:tc>
        <w:tc>
          <w:tcPr>
            <w:tcW w:w="0" w:type="auto"/>
            <w:hideMark/>
          </w:tcPr>
          <w:p w14:paraId="76B3FFD8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Not applicable</w:t>
            </w:r>
          </w:p>
        </w:tc>
        <w:tc>
          <w:tcPr>
            <w:tcW w:w="0" w:type="auto"/>
            <w:hideMark/>
          </w:tcPr>
          <w:p w14:paraId="726AEA37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Not applicable</w:t>
            </w:r>
          </w:p>
        </w:tc>
        <w:tc>
          <w:tcPr>
            <w:tcW w:w="0" w:type="auto"/>
            <w:hideMark/>
          </w:tcPr>
          <w:p w14:paraId="0AA83DCA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735720F5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70984825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1D149813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A1AC248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F9C1288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117FC519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DB913D1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Not applicable</w:t>
            </w:r>
          </w:p>
        </w:tc>
        <w:tc>
          <w:tcPr>
            <w:tcW w:w="0" w:type="auto"/>
            <w:hideMark/>
          </w:tcPr>
          <w:p w14:paraId="703A1A8E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0019AD81" w14:textId="77777777" w:rsidR="000A41A4" w:rsidRPr="000A41A4" w:rsidRDefault="000A41A4" w:rsidP="000A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High</w:t>
            </w:r>
          </w:p>
        </w:tc>
      </w:tr>
      <w:tr w:rsidR="00297E12" w:rsidRPr="000A41A4" w14:paraId="521FB396" w14:textId="77777777" w:rsidTr="000A4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E9847" w14:textId="77777777" w:rsidR="000A41A4" w:rsidRPr="000A41A4" w:rsidRDefault="000A41A4" w:rsidP="000A41A4">
            <w:pPr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Marsk et al. (2010)</w:t>
            </w:r>
          </w:p>
        </w:tc>
        <w:tc>
          <w:tcPr>
            <w:tcW w:w="0" w:type="auto"/>
            <w:hideMark/>
          </w:tcPr>
          <w:p w14:paraId="5AB4C2F8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3A88280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52A3639B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1311BDB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340685A3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No</w:t>
            </w:r>
          </w:p>
        </w:tc>
        <w:tc>
          <w:tcPr>
            <w:tcW w:w="0" w:type="auto"/>
            <w:hideMark/>
          </w:tcPr>
          <w:p w14:paraId="79419953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64A4008F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02B64E16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6DE5731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3AC3CB4B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Unclear</w:t>
            </w:r>
          </w:p>
        </w:tc>
        <w:tc>
          <w:tcPr>
            <w:tcW w:w="0" w:type="auto"/>
            <w:hideMark/>
          </w:tcPr>
          <w:p w14:paraId="045ADA96" w14:textId="77777777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  <w:lang w:val="en-US"/>
              </w:rPr>
              <w:t>Yes</w:t>
            </w:r>
          </w:p>
        </w:tc>
        <w:tc>
          <w:tcPr>
            <w:tcW w:w="0" w:type="auto"/>
            <w:hideMark/>
          </w:tcPr>
          <w:p w14:paraId="2C8053E8" w14:textId="3C84F769" w:rsidR="000A41A4" w:rsidRPr="000A41A4" w:rsidRDefault="000A41A4" w:rsidP="000A4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  <w:r w:rsidRPr="000A41A4">
              <w:rPr>
                <w:rFonts w:asciiTheme="majorBidi" w:hAnsiTheme="majorBidi" w:cstheme="majorBidi"/>
              </w:rPr>
              <w:t>Intermediate</w:t>
            </w:r>
          </w:p>
        </w:tc>
      </w:tr>
    </w:tbl>
    <w:p w14:paraId="35179E80" w14:textId="77777777" w:rsidR="000A41A4" w:rsidRPr="000A41A4" w:rsidRDefault="000A41A4" w:rsidP="000A41A4">
      <w:pPr>
        <w:rPr>
          <w:rFonts w:asciiTheme="majorBidi" w:hAnsiTheme="majorBidi" w:cstheme="majorBidi"/>
          <w:lang w:val="en-US"/>
        </w:rPr>
      </w:pPr>
      <w:r w:rsidRPr="000A41A4">
        <w:rPr>
          <w:rFonts w:asciiTheme="majorBidi" w:hAnsiTheme="majorBidi" w:cstheme="majorBidi"/>
          <w:lang w:val="en-US"/>
        </w:rPr>
        <w:t>Q1, groups recruited from the same population; Q2, groups recruited in the same way; Q3, exposure measured in a valid and reliable way; Q4, confounding factors identified; Q5, strategies to deal with confounding stated; Q6, participants free of the outcome at baseline (or at the start of follow-up); Q7, outcomes measured in a valid and reliable way; Q8, follow-up time reported and sufficient for outcomes to occur; Q9, follow-up complete (or reasons for loss to follow-up described); Q10, strategies to address incomplete follow-up used; Q11, appropriate statistical analysis used.</w:t>
      </w:r>
    </w:p>
    <w:p w14:paraId="0F4614DF" w14:textId="77777777" w:rsidR="00536648" w:rsidRDefault="00536648" w:rsidP="00DF1817">
      <w:pPr>
        <w:rPr>
          <w:rFonts w:asciiTheme="majorBidi" w:hAnsiTheme="majorBidi" w:cstheme="majorBidi"/>
          <w:b/>
          <w:bCs/>
          <w:lang w:val="en-US"/>
        </w:rPr>
      </w:pPr>
    </w:p>
    <w:p w14:paraId="3ECE7D00" w14:textId="24A9C0FA" w:rsidR="004444C1" w:rsidRPr="00297E12" w:rsidRDefault="004444C1" w:rsidP="00297E12">
      <w:pPr>
        <w:tabs>
          <w:tab w:val="left" w:pos="1198"/>
        </w:tabs>
        <w:rPr>
          <w:rFonts w:asciiTheme="majorBidi" w:hAnsiTheme="majorBidi" w:cstheme="majorBidi"/>
          <w:lang w:val="en-US"/>
        </w:rPr>
        <w:sectPr w:rsidR="004444C1" w:rsidRPr="00297E12" w:rsidSect="00297E12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6B3759C8" w14:textId="77777777" w:rsidR="000E1108" w:rsidRPr="00297E12" w:rsidRDefault="000E1108" w:rsidP="000E1108">
      <w:pPr>
        <w:rPr>
          <w:rFonts w:asciiTheme="majorBidi" w:hAnsiTheme="majorBidi" w:cstheme="majorBidi"/>
          <w:lang w:val="en-US"/>
        </w:rPr>
      </w:pPr>
    </w:p>
    <w:sectPr w:rsidR="000E1108" w:rsidRPr="00297E12" w:rsidSect="00BA1FDB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D"/>
    <w:rsid w:val="0007149C"/>
    <w:rsid w:val="000A41A4"/>
    <w:rsid w:val="000E1108"/>
    <w:rsid w:val="00297E12"/>
    <w:rsid w:val="002E48FB"/>
    <w:rsid w:val="00303DBC"/>
    <w:rsid w:val="00313BB1"/>
    <w:rsid w:val="003D4C7B"/>
    <w:rsid w:val="004444C1"/>
    <w:rsid w:val="004B2ECD"/>
    <w:rsid w:val="00536648"/>
    <w:rsid w:val="00577DC1"/>
    <w:rsid w:val="005A59B3"/>
    <w:rsid w:val="00791942"/>
    <w:rsid w:val="00832435"/>
    <w:rsid w:val="008544D8"/>
    <w:rsid w:val="00A47393"/>
    <w:rsid w:val="00A603B7"/>
    <w:rsid w:val="00BA1FDB"/>
    <w:rsid w:val="00CF79B3"/>
    <w:rsid w:val="00D3434B"/>
    <w:rsid w:val="00DF1817"/>
    <w:rsid w:val="00E73724"/>
    <w:rsid w:val="00F50E14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27E8"/>
  <w15:chartTrackingRefBased/>
  <w15:docId w15:val="{93A9A048-DF5F-B847-88A1-0EAEE018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0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CD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4B2E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4B2E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4B2E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756C-8974-4394-ABF3-3BD546BA4A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عبدالوالي اليحيى</dc:creator>
  <cp:keywords/>
  <dc:description/>
  <cp:lastModifiedBy>رهام عبدالله بن شبلان</cp:lastModifiedBy>
  <cp:revision>2</cp:revision>
  <dcterms:created xsi:type="dcterms:W3CDTF">2026-03-16T22:00:00Z</dcterms:created>
  <dcterms:modified xsi:type="dcterms:W3CDTF">2026-03-16T22:00:00Z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b0d46380-ec48-4748-ac97-b9d589c61a9c</vt:lpwstr>
  </property>
</Properties>
</file>