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F6B34" w:rsidRDefault="00C60D0E">
      <w:pPr>
        <w:pBdr>
          <w:top w:val="nil"/>
          <w:left w:val="nil"/>
          <w:bottom w:val="nil"/>
          <w:right w:val="nil"/>
          <w:between w:val="nil"/>
        </w:pBdr>
        <w:spacing w:before="120" w:line="240" w:lineRule="auto"/>
        <w:ind w:left="1" w:hanging="3"/>
        <w:jc w:val="center"/>
        <w:rPr>
          <w:rFonts w:ascii="Cambria" w:eastAsia="Cambria" w:hAnsi="Cambria" w:cs="Cambria"/>
          <w:b/>
          <w:bCs/>
          <w:color w:val="000000"/>
          <w:szCs w:val="24"/>
        </w:rPr>
      </w:pPr>
      <w:r>
        <w:rPr>
          <w:rFonts w:ascii="Cambria" w:eastAsia="Cambria" w:hAnsi="Cambria" w:cs="Cambria"/>
          <w:b/>
          <w:bCs/>
          <w:color w:val="000000"/>
          <w:sz w:val="32"/>
          <w:szCs w:val="32"/>
        </w:rPr>
        <w:t>CONSORT 2010 checklist of information to include when reporting a randomised trial</w:t>
      </w:r>
      <w:r>
        <w:rPr>
          <w:rFonts w:ascii="Cambria" w:eastAsia="Cambria" w:hAnsi="Cambria" w:cs="Cambria"/>
          <w:b/>
          <w:bCs/>
          <w:color w:val="000000"/>
          <w:szCs w:val="24"/>
        </w:rPr>
        <w:t>*</w:t>
      </w:r>
      <w:r>
        <w:rPr>
          <w:noProof/>
        </w:rPr>
        <w:drawing>
          <wp:anchor distT="0" distB="0" distL="114300" distR="114300" simplePos="0" relativeHeight="251658240" behindDoc="0" locked="0" layoutInCell="1" hidden="0" allowOverlap="1">
            <wp:simplePos x="0" y="0"/>
            <wp:positionH relativeFrom="column">
              <wp:posOffset>-76199</wp:posOffset>
            </wp:positionH>
            <wp:positionV relativeFrom="paragraph">
              <wp:posOffset>-38099</wp:posOffset>
            </wp:positionV>
            <wp:extent cx="390525" cy="4572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90525" cy="457200"/>
                    </a:xfrm>
                    <a:prstGeom prst="rect">
                      <a:avLst/>
                    </a:prstGeom>
                    <a:ln/>
                  </pic:spPr>
                </pic:pic>
              </a:graphicData>
            </a:graphic>
          </wp:anchor>
        </w:drawing>
      </w:r>
    </w:p>
    <w:p w14:paraId="00000002" w14:textId="77777777" w:rsidR="000F6B34" w:rsidRDefault="000F6B34">
      <w:pPr>
        <w:pBdr>
          <w:top w:val="nil"/>
          <w:left w:val="nil"/>
          <w:bottom w:val="nil"/>
          <w:right w:val="nil"/>
          <w:between w:val="nil"/>
        </w:pBdr>
        <w:tabs>
          <w:tab w:val="left" w:pos="2160"/>
        </w:tabs>
        <w:spacing w:before="120" w:line="240" w:lineRule="auto"/>
        <w:jc w:val="center"/>
        <w:rPr>
          <w:rFonts w:ascii="Cambria" w:eastAsia="Cambria" w:hAnsi="Cambria" w:cs="Cambria"/>
          <w:b/>
          <w:bCs/>
          <w:color w:val="000000"/>
          <w:sz w:val="8"/>
          <w:szCs w:val="8"/>
        </w:rPr>
      </w:pPr>
    </w:p>
    <w:tbl>
      <w:tblPr>
        <w:tblStyle w:val="affc"/>
        <w:tblW w:w="15498" w:type="dxa"/>
        <w:tblInd w:w="-108" w:type="dxa"/>
        <w:tblLayout w:type="fixed"/>
        <w:tblLook w:val="0000" w:firstRow="0" w:lastRow="0" w:firstColumn="0" w:lastColumn="0" w:noHBand="0" w:noVBand="0"/>
      </w:tblPr>
      <w:tblGrid>
        <w:gridCol w:w="2088"/>
        <w:gridCol w:w="720"/>
        <w:gridCol w:w="11070"/>
        <w:gridCol w:w="1620"/>
      </w:tblGrid>
      <w:tr w:rsidR="000F6B34" w14:paraId="01BEB20F" w14:textId="77777777">
        <w:tc>
          <w:tcPr>
            <w:tcW w:w="2088" w:type="dxa"/>
            <w:tcBorders>
              <w:top w:val="single" w:sz="12" w:space="0" w:color="000000"/>
              <w:bottom w:val="single" w:sz="4" w:space="0" w:color="000000"/>
            </w:tcBorders>
            <w:shd w:val="clear" w:color="auto" w:fill="C6D9F1"/>
          </w:tcPr>
          <w:p w14:paraId="00000003" w14:textId="77777777" w:rsidR="000F6B34" w:rsidRDefault="00C60D0E">
            <w:pPr>
              <w:pBdr>
                <w:top w:val="nil"/>
                <w:left w:val="nil"/>
                <w:bottom w:val="nil"/>
                <w:right w:val="nil"/>
                <w:between w:val="nil"/>
              </w:pBdr>
              <w:spacing w:before="120" w:line="240" w:lineRule="auto"/>
              <w:ind w:left="0" w:hanging="2"/>
              <w:rPr>
                <w:rFonts w:ascii="Arial" w:eastAsia="Arial" w:hAnsi="Arial" w:cs="Arial"/>
                <w:b/>
                <w:bCs/>
                <w:color w:val="000000"/>
                <w:szCs w:val="24"/>
              </w:rPr>
            </w:pPr>
            <w:r>
              <w:rPr>
                <w:rFonts w:ascii="Arial" w:eastAsia="Arial" w:hAnsi="Arial" w:cs="Arial"/>
                <w:b/>
                <w:bCs/>
                <w:color w:val="000000"/>
                <w:szCs w:val="24"/>
              </w:rPr>
              <w:t>Section/Topic</w:t>
            </w:r>
          </w:p>
        </w:tc>
        <w:tc>
          <w:tcPr>
            <w:tcW w:w="720" w:type="dxa"/>
            <w:tcBorders>
              <w:top w:val="single" w:sz="12" w:space="0" w:color="000000"/>
              <w:bottom w:val="single" w:sz="4" w:space="0" w:color="000000"/>
            </w:tcBorders>
            <w:shd w:val="clear" w:color="auto" w:fill="C6D9F1"/>
          </w:tcPr>
          <w:p w14:paraId="00000004" w14:textId="77777777" w:rsidR="000F6B34" w:rsidRDefault="00C60D0E">
            <w:pPr>
              <w:pBdr>
                <w:top w:val="nil"/>
                <w:left w:val="nil"/>
                <w:bottom w:val="nil"/>
                <w:right w:val="nil"/>
                <w:between w:val="nil"/>
              </w:pBdr>
              <w:spacing w:before="120" w:line="240" w:lineRule="auto"/>
              <w:ind w:left="0" w:hanging="2"/>
              <w:jc w:val="center"/>
              <w:rPr>
                <w:rFonts w:ascii="Arial" w:eastAsia="Arial" w:hAnsi="Arial" w:cs="Arial"/>
                <w:b/>
                <w:bCs/>
                <w:color w:val="000000"/>
                <w:szCs w:val="24"/>
              </w:rPr>
            </w:pPr>
            <w:r>
              <w:rPr>
                <w:rFonts w:ascii="Arial" w:eastAsia="Arial" w:hAnsi="Arial" w:cs="Arial"/>
                <w:b/>
                <w:bCs/>
                <w:color w:val="000000"/>
                <w:szCs w:val="24"/>
              </w:rPr>
              <w:t>Item No</w:t>
            </w:r>
          </w:p>
        </w:tc>
        <w:tc>
          <w:tcPr>
            <w:tcW w:w="11070" w:type="dxa"/>
            <w:tcBorders>
              <w:top w:val="single" w:sz="12" w:space="0" w:color="000000"/>
              <w:bottom w:val="single" w:sz="4" w:space="0" w:color="000000"/>
            </w:tcBorders>
            <w:shd w:val="clear" w:color="auto" w:fill="C6D9F1"/>
          </w:tcPr>
          <w:p w14:paraId="00000005" w14:textId="77777777" w:rsidR="000F6B34" w:rsidRDefault="00C60D0E">
            <w:pPr>
              <w:pBdr>
                <w:top w:val="nil"/>
                <w:left w:val="nil"/>
                <w:bottom w:val="nil"/>
                <w:right w:val="nil"/>
                <w:between w:val="nil"/>
              </w:pBdr>
              <w:spacing w:before="120" w:line="240" w:lineRule="auto"/>
              <w:ind w:left="0" w:hanging="2"/>
              <w:rPr>
                <w:rFonts w:ascii="Arial" w:eastAsia="Arial" w:hAnsi="Arial" w:cs="Arial"/>
                <w:b/>
                <w:bCs/>
                <w:color w:val="000000"/>
                <w:szCs w:val="24"/>
              </w:rPr>
            </w:pPr>
            <w:r>
              <w:rPr>
                <w:rFonts w:ascii="Arial" w:eastAsia="Arial" w:hAnsi="Arial" w:cs="Arial"/>
                <w:b/>
                <w:bCs/>
                <w:color w:val="000000"/>
                <w:szCs w:val="24"/>
              </w:rPr>
              <w:t>Checklist item</w:t>
            </w:r>
          </w:p>
        </w:tc>
        <w:tc>
          <w:tcPr>
            <w:tcW w:w="1620" w:type="dxa"/>
            <w:tcBorders>
              <w:top w:val="single" w:sz="12" w:space="0" w:color="000000"/>
              <w:bottom w:val="single" w:sz="4" w:space="0" w:color="000000"/>
            </w:tcBorders>
            <w:shd w:val="clear" w:color="auto" w:fill="C6D9F1"/>
          </w:tcPr>
          <w:p w14:paraId="00000006" w14:textId="77777777" w:rsidR="000F6B34" w:rsidRDefault="00C60D0E">
            <w:pPr>
              <w:pBdr>
                <w:top w:val="nil"/>
                <w:left w:val="nil"/>
                <w:bottom w:val="nil"/>
                <w:right w:val="nil"/>
                <w:between w:val="nil"/>
              </w:pBdr>
              <w:spacing w:before="120" w:line="240" w:lineRule="auto"/>
              <w:ind w:left="0" w:hanging="2"/>
              <w:jc w:val="center"/>
              <w:rPr>
                <w:rFonts w:ascii="Arial" w:eastAsia="Arial" w:hAnsi="Arial" w:cs="Arial"/>
                <w:b/>
                <w:bCs/>
                <w:color w:val="000000"/>
                <w:szCs w:val="24"/>
              </w:rPr>
            </w:pPr>
            <w:r>
              <w:rPr>
                <w:rFonts w:ascii="Arial" w:eastAsia="Arial" w:hAnsi="Arial" w:cs="Arial"/>
                <w:b/>
                <w:bCs/>
                <w:color w:val="000000"/>
                <w:szCs w:val="24"/>
              </w:rPr>
              <w:t>Reported on page No</w:t>
            </w:r>
          </w:p>
        </w:tc>
      </w:tr>
      <w:tr w:rsidR="000F6B34" w14:paraId="0BC18BB2" w14:textId="77777777">
        <w:tc>
          <w:tcPr>
            <w:tcW w:w="15498" w:type="dxa"/>
            <w:gridSpan w:val="4"/>
            <w:tcBorders>
              <w:top w:val="single" w:sz="4" w:space="0" w:color="000000"/>
            </w:tcBorders>
          </w:tcPr>
          <w:p w14:paraId="00000007" w14:textId="77777777" w:rsidR="000F6B34" w:rsidRDefault="00C60D0E">
            <w:pPr>
              <w:pBdr>
                <w:top w:val="nil"/>
                <w:left w:val="nil"/>
                <w:bottom w:val="nil"/>
                <w:right w:val="nil"/>
                <w:between w:val="nil"/>
              </w:pBdr>
              <w:spacing w:before="120" w:line="240" w:lineRule="auto"/>
              <w:ind w:left="0" w:hanging="2"/>
              <w:rPr>
                <w:rFonts w:ascii="Arial" w:eastAsia="Arial" w:hAnsi="Arial" w:cs="Arial"/>
                <w:b/>
                <w:bCs/>
                <w:color w:val="000000"/>
                <w:sz w:val="22"/>
                <w:szCs w:val="22"/>
              </w:rPr>
            </w:pPr>
            <w:r>
              <w:rPr>
                <w:rFonts w:ascii="Arial" w:eastAsia="Arial" w:hAnsi="Arial" w:cs="Arial"/>
                <w:b/>
                <w:bCs/>
                <w:color w:val="000000"/>
                <w:sz w:val="22"/>
                <w:szCs w:val="22"/>
              </w:rPr>
              <w:t>Title and abstract</w:t>
            </w:r>
          </w:p>
        </w:tc>
      </w:tr>
      <w:tr w:rsidR="000F6B34" w14:paraId="1B18DF85" w14:textId="77777777">
        <w:trPr>
          <w:cantSplit/>
        </w:trPr>
        <w:tc>
          <w:tcPr>
            <w:tcW w:w="2088" w:type="dxa"/>
            <w:vMerge w:val="restart"/>
          </w:tcPr>
          <w:p w14:paraId="0000000B" w14:textId="77777777" w:rsidR="000F6B34" w:rsidRDefault="000F6B34">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720" w:type="dxa"/>
          </w:tcPr>
          <w:p w14:paraId="0000000C"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1a</w:t>
            </w:r>
          </w:p>
        </w:tc>
        <w:tc>
          <w:tcPr>
            <w:tcW w:w="11070" w:type="dxa"/>
          </w:tcPr>
          <w:p w14:paraId="0000000D"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Identification as a randomised trial in the title</w:t>
            </w:r>
          </w:p>
        </w:tc>
        <w:tc>
          <w:tcPr>
            <w:tcW w:w="1620" w:type="dxa"/>
            <w:tcBorders>
              <w:bottom w:val="single" w:sz="4" w:space="0" w:color="000000"/>
            </w:tcBorders>
            <w:vAlign w:val="center"/>
          </w:tcPr>
          <w:p w14:paraId="0000000E"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w:t>
            </w:r>
          </w:p>
        </w:tc>
      </w:tr>
      <w:tr w:rsidR="000F6B34" w14:paraId="2443B019" w14:textId="77777777">
        <w:trPr>
          <w:cantSplit/>
        </w:trPr>
        <w:tc>
          <w:tcPr>
            <w:tcW w:w="2088" w:type="dxa"/>
            <w:vMerge/>
          </w:tcPr>
          <w:p w14:paraId="0000000F" w14:textId="77777777" w:rsidR="000F6B34" w:rsidRDefault="000F6B34">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c>
        <w:tc>
          <w:tcPr>
            <w:tcW w:w="720" w:type="dxa"/>
          </w:tcPr>
          <w:p w14:paraId="00000010"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1b</w:t>
            </w:r>
          </w:p>
        </w:tc>
        <w:tc>
          <w:tcPr>
            <w:tcW w:w="11070" w:type="dxa"/>
          </w:tcPr>
          <w:p w14:paraId="00000011"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Structured summary of trial design, methods, results, and conclusions </w:t>
            </w:r>
            <w:r>
              <w:rPr>
                <w:rFonts w:ascii="Arial" w:eastAsia="Arial" w:hAnsi="Arial" w:cs="Arial"/>
                <w:color w:val="000000"/>
                <w:sz w:val="16"/>
                <w:szCs w:val="16"/>
              </w:rPr>
              <w:t>(for specific guidance see CONSORT for abstracts)</w:t>
            </w:r>
          </w:p>
        </w:tc>
        <w:tc>
          <w:tcPr>
            <w:tcW w:w="1620" w:type="dxa"/>
            <w:tcBorders>
              <w:bottom w:val="single" w:sz="4" w:space="0" w:color="000000"/>
            </w:tcBorders>
            <w:vAlign w:val="center"/>
          </w:tcPr>
          <w:p w14:paraId="00000012"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sz w:val="22"/>
                <w:szCs w:val="22"/>
              </w:rPr>
              <w:t>1</w:t>
            </w:r>
          </w:p>
        </w:tc>
      </w:tr>
      <w:tr w:rsidR="000F6B34" w14:paraId="53C781EA" w14:textId="77777777">
        <w:tc>
          <w:tcPr>
            <w:tcW w:w="15498" w:type="dxa"/>
            <w:gridSpan w:val="4"/>
          </w:tcPr>
          <w:p w14:paraId="00000013" w14:textId="77777777" w:rsidR="000F6B34" w:rsidRDefault="00C60D0E">
            <w:pPr>
              <w:pBdr>
                <w:top w:val="nil"/>
                <w:left w:val="nil"/>
                <w:bottom w:val="nil"/>
                <w:right w:val="nil"/>
                <w:between w:val="nil"/>
              </w:pBdr>
              <w:spacing w:before="120" w:line="240" w:lineRule="auto"/>
              <w:ind w:left="0" w:hanging="2"/>
              <w:rPr>
                <w:rFonts w:ascii="Arial" w:eastAsia="Arial" w:hAnsi="Arial" w:cs="Arial"/>
                <w:b/>
                <w:bCs/>
                <w:color w:val="000000"/>
                <w:sz w:val="22"/>
                <w:szCs w:val="22"/>
              </w:rPr>
            </w:pPr>
            <w:r>
              <w:rPr>
                <w:rFonts w:ascii="Arial" w:eastAsia="Arial" w:hAnsi="Arial" w:cs="Arial"/>
                <w:b/>
                <w:bCs/>
                <w:color w:val="000000"/>
                <w:sz w:val="22"/>
                <w:szCs w:val="22"/>
              </w:rPr>
              <w:t>Introduction</w:t>
            </w:r>
          </w:p>
        </w:tc>
      </w:tr>
      <w:tr w:rsidR="000F6B34" w14:paraId="27CFD380" w14:textId="77777777">
        <w:trPr>
          <w:cantSplit/>
        </w:trPr>
        <w:tc>
          <w:tcPr>
            <w:tcW w:w="2088" w:type="dxa"/>
            <w:vMerge w:val="restart"/>
          </w:tcPr>
          <w:p w14:paraId="00000017"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Background and objectives</w:t>
            </w:r>
          </w:p>
        </w:tc>
        <w:tc>
          <w:tcPr>
            <w:tcW w:w="720" w:type="dxa"/>
          </w:tcPr>
          <w:p w14:paraId="00000018"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2a</w:t>
            </w:r>
          </w:p>
        </w:tc>
        <w:tc>
          <w:tcPr>
            <w:tcW w:w="11070" w:type="dxa"/>
          </w:tcPr>
          <w:p w14:paraId="00000019"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Scientific background and explanation of rationale</w:t>
            </w:r>
          </w:p>
        </w:tc>
        <w:tc>
          <w:tcPr>
            <w:tcW w:w="1620" w:type="dxa"/>
            <w:tcBorders>
              <w:bottom w:val="single" w:sz="4" w:space="0" w:color="000000"/>
            </w:tcBorders>
            <w:vAlign w:val="center"/>
          </w:tcPr>
          <w:p w14:paraId="0000001A" w14:textId="573E302F" w:rsidR="000F6B34" w:rsidRDefault="00BC681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2</w:t>
            </w:r>
          </w:p>
        </w:tc>
      </w:tr>
      <w:tr w:rsidR="000F6B34" w14:paraId="6AF19D6E" w14:textId="77777777">
        <w:trPr>
          <w:cantSplit/>
          <w:trHeight w:val="413"/>
        </w:trPr>
        <w:tc>
          <w:tcPr>
            <w:tcW w:w="2088" w:type="dxa"/>
            <w:vMerge/>
          </w:tcPr>
          <w:p w14:paraId="0000001B" w14:textId="77777777" w:rsidR="000F6B34" w:rsidRDefault="000F6B34">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c>
        <w:tc>
          <w:tcPr>
            <w:tcW w:w="720" w:type="dxa"/>
          </w:tcPr>
          <w:p w14:paraId="0000001C"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2b</w:t>
            </w:r>
          </w:p>
        </w:tc>
        <w:tc>
          <w:tcPr>
            <w:tcW w:w="11070" w:type="dxa"/>
          </w:tcPr>
          <w:p w14:paraId="0000001D"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Specific objectives or hypotheses</w:t>
            </w:r>
          </w:p>
        </w:tc>
        <w:tc>
          <w:tcPr>
            <w:tcW w:w="1620" w:type="dxa"/>
            <w:tcBorders>
              <w:top w:val="single" w:sz="4" w:space="0" w:color="000000"/>
              <w:bottom w:val="single" w:sz="4" w:space="0" w:color="000000"/>
            </w:tcBorders>
            <w:vAlign w:val="center"/>
          </w:tcPr>
          <w:p w14:paraId="0000001E" w14:textId="5593536D"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sz w:val="22"/>
                <w:szCs w:val="22"/>
              </w:rPr>
              <w:t>2</w:t>
            </w:r>
          </w:p>
        </w:tc>
      </w:tr>
      <w:tr w:rsidR="000F6B34" w14:paraId="52316D2F" w14:textId="77777777">
        <w:tc>
          <w:tcPr>
            <w:tcW w:w="15498" w:type="dxa"/>
            <w:gridSpan w:val="4"/>
          </w:tcPr>
          <w:p w14:paraId="0000001F" w14:textId="77777777" w:rsidR="000F6B34" w:rsidRDefault="00C60D0E">
            <w:pPr>
              <w:pBdr>
                <w:top w:val="nil"/>
                <w:left w:val="nil"/>
                <w:bottom w:val="nil"/>
                <w:right w:val="nil"/>
                <w:between w:val="nil"/>
              </w:pBdr>
              <w:spacing w:before="120" w:line="240" w:lineRule="auto"/>
              <w:ind w:left="0" w:hanging="2"/>
              <w:rPr>
                <w:rFonts w:ascii="Arial" w:eastAsia="Arial" w:hAnsi="Arial" w:cs="Arial"/>
                <w:b/>
                <w:bCs/>
                <w:color w:val="000000"/>
                <w:sz w:val="22"/>
                <w:szCs w:val="22"/>
              </w:rPr>
            </w:pPr>
            <w:r>
              <w:rPr>
                <w:rFonts w:ascii="Arial" w:eastAsia="Arial" w:hAnsi="Arial" w:cs="Arial"/>
                <w:b/>
                <w:bCs/>
                <w:color w:val="000000"/>
                <w:sz w:val="22"/>
                <w:szCs w:val="22"/>
              </w:rPr>
              <w:t>Methods</w:t>
            </w:r>
          </w:p>
        </w:tc>
      </w:tr>
      <w:tr w:rsidR="000F6B34" w14:paraId="4D369763" w14:textId="77777777">
        <w:trPr>
          <w:cantSplit/>
        </w:trPr>
        <w:tc>
          <w:tcPr>
            <w:tcW w:w="2088" w:type="dxa"/>
            <w:vMerge w:val="restart"/>
          </w:tcPr>
          <w:p w14:paraId="00000023"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Trial design</w:t>
            </w:r>
          </w:p>
        </w:tc>
        <w:tc>
          <w:tcPr>
            <w:tcW w:w="720" w:type="dxa"/>
          </w:tcPr>
          <w:p w14:paraId="00000024"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3a</w:t>
            </w:r>
          </w:p>
        </w:tc>
        <w:tc>
          <w:tcPr>
            <w:tcW w:w="11070" w:type="dxa"/>
          </w:tcPr>
          <w:p w14:paraId="00000025"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Description of trial design (such as parallel, factorial) including allocation ratio</w:t>
            </w:r>
          </w:p>
        </w:tc>
        <w:tc>
          <w:tcPr>
            <w:tcW w:w="1620" w:type="dxa"/>
            <w:tcBorders>
              <w:bottom w:val="single" w:sz="4" w:space="0" w:color="000000"/>
            </w:tcBorders>
            <w:vAlign w:val="center"/>
          </w:tcPr>
          <w:p w14:paraId="00000026" w14:textId="4C1656D0" w:rsidR="000F6B34" w:rsidRDefault="00692367">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2-3</w:t>
            </w:r>
          </w:p>
        </w:tc>
      </w:tr>
      <w:tr w:rsidR="000F6B34" w14:paraId="425A9FB6" w14:textId="77777777">
        <w:trPr>
          <w:cantSplit/>
          <w:trHeight w:val="305"/>
        </w:trPr>
        <w:tc>
          <w:tcPr>
            <w:tcW w:w="2088" w:type="dxa"/>
            <w:vMerge/>
          </w:tcPr>
          <w:p w14:paraId="00000027" w14:textId="77777777" w:rsidR="000F6B34" w:rsidRDefault="000F6B34">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c>
        <w:tc>
          <w:tcPr>
            <w:tcW w:w="720" w:type="dxa"/>
          </w:tcPr>
          <w:p w14:paraId="00000028"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3b</w:t>
            </w:r>
          </w:p>
        </w:tc>
        <w:tc>
          <w:tcPr>
            <w:tcW w:w="11070" w:type="dxa"/>
          </w:tcPr>
          <w:p w14:paraId="00000029"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Important changes to methods after trial commencement (such as eligibility criteria), with reasons</w:t>
            </w:r>
          </w:p>
        </w:tc>
        <w:tc>
          <w:tcPr>
            <w:tcW w:w="1620" w:type="dxa"/>
            <w:tcBorders>
              <w:top w:val="single" w:sz="4" w:space="0" w:color="000000"/>
              <w:bottom w:val="single" w:sz="4" w:space="0" w:color="000000"/>
            </w:tcBorders>
            <w:vAlign w:val="center"/>
          </w:tcPr>
          <w:p w14:paraId="0000002A"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N/A</w:t>
            </w:r>
          </w:p>
        </w:tc>
      </w:tr>
      <w:tr w:rsidR="000F6B34" w14:paraId="29ADCE6D" w14:textId="77777777">
        <w:trPr>
          <w:cantSplit/>
        </w:trPr>
        <w:tc>
          <w:tcPr>
            <w:tcW w:w="2088" w:type="dxa"/>
            <w:vMerge w:val="restart"/>
          </w:tcPr>
          <w:p w14:paraId="0000002B"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Participants</w:t>
            </w:r>
          </w:p>
        </w:tc>
        <w:tc>
          <w:tcPr>
            <w:tcW w:w="720" w:type="dxa"/>
          </w:tcPr>
          <w:p w14:paraId="0000002C"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4a</w:t>
            </w:r>
          </w:p>
        </w:tc>
        <w:tc>
          <w:tcPr>
            <w:tcW w:w="11070" w:type="dxa"/>
          </w:tcPr>
          <w:p w14:paraId="0000002D"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Eligibility criteria for participants</w:t>
            </w:r>
          </w:p>
        </w:tc>
        <w:tc>
          <w:tcPr>
            <w:tcW w:w="1620" w:type="dxa"/>
            <w:tcBorders>
              <w:top w:val="single" w:sz="4" w:space="0" w:color="000000"/>
              <w:bottom w:val="single" w:sz="4" w:space="0" w:color="000000"/>
            </w:tcBorders>
            <w:vAlign w:val="center"/>
          </w:tcPr>
          <w:p w14:paraId="0000002E"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3</w:t>
            </w:r>
          </w:p>
        </w:tc>
      </w:tr>
      <w:tr w:rsidR="000F6B34" w14:paraId="0BD5061D" w14:textId="77777777">
        <w:trPr>
          <w:cantSplit/>
        </w:trPr>
        <w:tc>
          <w:tcPr>
            <w:tcW w:w="2088" w:type="dxa"/>
            <w:vMerge/>
          </w:tcPr>
          <w:p w14:paraId="0000002F" w14:textId="77777777" w:rsidR="000F6B34" w:rsidRDefault="000F6B34">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c>
        <w:tc>
          <w:tcPr>
            <w:tcW w:w="720" w:type="dxa"/>
          </w:tcPr>
          <w:p w14:paraId="00000030"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4b</w:t>
            </w:r>
          </w:p>
        </w:tc>
        <w:tc>
          <w:tcPr>
            <w:tcW w:w="11070" w:type="dxa"/>
          </w:tcPr>
          <w:p w14:paraId="00000031"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Settings and locations where the data were collected</w:t>
            </w:r>
          </w:p>
        </w:tc>
        <w:tc>
          <w:tcPr>
            <w:tcW w:w="1620" w:type="dxa"/>
            <w:tcBorders>
              <w:top w:val="single" w:sz="4" w:space="0" w:color="000000"/>
              <w:bottom w:val="single" w:sz="4" w:space="0" w:color="000000"/>
            </w:tcBorders>
            <w:vAlign w:val="center"/>
          </w:tcPr>
          <w:p w14:paraId="00000032" w14:textId="6461DAA5"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3</w:t>
            </w:r>
          </w:p>
        </w:tc>
      </w:tr>
      <w:tr w:rsidR="000F6B34" w14:paraId="06584A33" w14:textId="77777777">
        <w:tc>
          <w:tcPr>
            <w:tcW w:w="2088" w:type="dxa"/>
          </w:tcPr>
          <w:p w14:paraId="00000033"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Interventions</w:t>
            </w:r>
          </w:p>
        </w:tc>
        <w:tc>
          <w:tcPr>
            <w:tcW w:w="720" w:type="dxa"/>
          </w:tcPr>
          <w:p w14:paraId="00000034"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5</w:t>
            </w:r>
          </w:p>
        </w:tc>
        <w:tc>
          <w:tcPr>
            <w:tcW w:w="11070" w:type="dxa"/>
          </w:tcPr>
          <w:p w14:paraId="00000035"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The interventions for each group with sufficient details to allow replication, including how and when they were </w:t>
            </w:r>
            <w:proofErr w:type="gramStart"/>
            <w:r>
              <w:rPr>
                <w:rFonts w:ascii="Arial" w:eastAsia="Arial" w:hAnsi="Arial" w:cs="Arial"/>
                <w:color w:val="000000"/>
                <w:sz w:val="22"/>
                <w:szCs w:val="22"/>
              </w:rPr>
              <w:t>actually administered</w:t>
            </w:r>
            <w:proofErr w:type="gramEnd"/>
          </w:p>
        </w:tc>
        <w:tc>
          <w:tcPr>
            <w:tcW w:w="1620" w:type="dxa"/>
            <w:tcBorders>
              <w:top w:val="single" w:sz="4" w:space="0" w:color="000000"/>
              <w:bottom w:val="single" w:sz="4" w:space="0" w:color="000000"/>
            </w:tcBorders>
            <w:vAlign w:val="center"/>
          </w:tcPr>
          <w:p w14:paraId="00000036" w14:textId="344FC225" w:rsidR="000F6B34" w:rsidRDefault="00692367">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3</w:t>
            </w:r>
          </w:p>
        </w:tc>
      </w:tr>
      <w:tr w:rsidR="000F6B34" w14:paraId="04233AD5" w14:textId="77777777">
        <w:trPr>
          <w:cantSplit/>
        </w:trPr>
        <w:tc>
          <w:tcPr>
            <w:tcW w:w="2088" w:type="dxa"/>
            <w:vMerge w:val="restart"/>
          </w:tcPr>
          <w:p w14:paraId="00000037"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Outcomes</w:t>
            </w:r>
          </w:p>
        </w:tc>
        <w:tc>
          <w:tcPr>
            <w:tcW w:w="720" w:type="dxa"/>
          </w:tcPr>
          <w:p w14:paraId="00000038"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6a</w:t>
            </w:r>
          </w:p>
        </w:tc>
        <w:tc>
          <w:tcPr>
            <w:tcW w:w="11070" w:type="dxa"/>
          </w:tcPr>
          <w:p w14:paraId="00000039"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Completely defined pre-specified primary and secondary outcome measures, including how and when they were assessed</w:t>
            </w:r>
          </w:p>
        </w:tc>
        <w:tc>
          <w:tcPr>
            <w:tcW w:w="1620" w:type="dxa"/>
            <w:tcBorders>
              <w:top w:val="single" w:sz="4" w:space="0" w:color="000000"/>
              <w:bottom w:val="single" w:sz="4" w:space="0" w:color="000000"/>
            </w:tcBorders>
            <w:vAlign w:val="center"/>
          </w:tcPr>
          <w:p w14:paraId="0000003A" w14:textId="5A3C9144" w:rsidR="000F6B34" w:rsidRDefault="00692367">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4</w:t>
            </w:r>
          </w:p>
        </w:tc>
      </w:tr>
      <w:tr w:rsidR="000F6B34" w14:paraId="5694A89D" w14:textId="77777777">
        <w:trPr>
          <w:cantSplit/>
        </w:trPr>
        <w:tc>
          <w:tcPr>
            <w:tcW w:w="2088" w:type="dxa"/>
            <w:vMerge/>
          </w:tcPr>
          <w:p w14:paraId="0000003B" w14:textId="77777777" w:rsidR="000F6B34" w:rsidRDefault="000F6B34">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c>
        <w:tc>
          <w:tcPr>
            <w:tcW w:w="720" w:type="dxa"/>
          </w:tcPr>
          <w:p w14:paraId="0000003C"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6b</w:t>
            </w:r>
          </w:p>
        </w:tc>
        <w:tc>
          <w:tcPr>
            <w:tcW w:w="11070" w:type="dxa"/>
          </w:tcPr>
          <w:p w14:paraId="0000003D"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Any changes to trial outcomes after the trial commenced, with reasons</w:t>
            </w:r>
          </w:p>
        </w:tc>
        <w:tc>
          <w:tcPr>
            <w:tcW w:w="1620" w:type="dxa"/>
            <w:tcBorders>
              <w:top w:val="single" w:sz="4" w:space="0" w:color="000000"/>
              <w:bottom w:val="single" w:sz="4" w:space="0" w:color="000000"/>
            </w:tcBorders>
            <w:vAlign w:val="center"/>
          </w:tcPr>
          <w:p w14:paraId="0000003E"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N/A</w:t>
            </w:r>
          </w:p>
        </w:tc>
      </w:tr>
      <w:tr w:rsidR="000F6B34" w14:paraId="20156175" w14:textId="77777777">
        <w:trPr>
          <w:cantSplit/>
        </w:trPr>
        <w:tc>
          <w:tcPr>
            <w:tcW w:w="2088" w:type="dxa"/>
            <w:vMerge w:val="restart"/>
          </w:tcPr>
          <w:p w14:paraId="0000003F"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Sample size</w:t>
            </w:r>
          </w:p>
        </w:tc>
        <w:tc>
          <w:tcPr>
            <w:tcW w:w="720" w:type="dxa"/>
          </w:tcPr>
          <w:p w14:paraId="00000040"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7a</w:t>
            </w:r>
          </w:p>
        </w:tc>
        <w:tc>
          <w:tcPr>
            <w:tcW w:w="11070" w:type="dxa"/>
          </w:tcPr>
          <w:p w14:paraId="00000041"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How sample size was determined</w:t>
            </w:r>
          </w:p>
        </w:tc>
        <w:tc>
          <w:tcPr>
            <w:tcW w:w="1620" w:type="dxa"/>
            <w:tcBorders>
              <w:top w:val="single" w:sz="4" w:space="0" w:color="000000"/>
              <w:bottom w:val="single" w:sz="4" w:space="0" w:color="000000"/>
            </w:tcBorders>
            <w:vAlign w:val="center"/>
          </w:tcPr>
          <w:p w14:paraId="00000042" w14:textId="1CEAA8EE"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3</w:t>
            </w:r>
          </w:p>
        </w:tc>
      </w:tr>
      <w:tr w:rsidR="000F6B34" w14:paraId="6F4897D9" w14:textId="77777777">
        <w:trPr>
          <w:cantSplit/>
        </w:trPr>
        <w:tc>
          <w:tcPr>
            <w:tcW w:w="2088" w:type="dxa"/>
            <w:vMerge/>
          </w:tcPr>
          <w:p w14:paraId="00000043" w14:textId="77777777" w:rsidR="000F6B34" w:rsidRDefault="000F6B34">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c>
        <w:tc>
          <w:tcPr>
            <w:tcW w:w="720" w:type="dxa"/>
          </w:tcPr>
          <w:p w14:paraId="00000044"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7b</w:t>
            </w:r>
          </w:p>
        </w:tc>
        <w:tc>
          <w:tcPr>
            <w:tcW w:w="11070" w:type="dxa"/>
          </w:tcPr>
          <w:p w14:paraId="00000045"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When applicable, explanation of any interim analyses and stopping guidelines</w:t>
            </w:r>
          </w:p>
        </w:tc>
        <w:tc>
          <w:tcPr>
            <w:tcW w:w="1620" w:type="dxa"/>
            <w:tcBorders>
              <w:top w:val="single" w:sz="4" w:space="0" w:color="000000"/>
              <w:bottom w:val="single" w:sz="4" w:space="0" w:color="000000"/>
            </w:tcBorders>
            <w:vAlign w:val="center"/>
          </w:tcPr>
          <w:p w14:paraId="00000046"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N/A</w:t>
            </w:r>
          </w:p>
        </w:tc>
      </w:tr>
      <w:tr w:rsidR="000F6B34" w14:paraId="4EF65193" w14:textId="77777777">
        <w:tc>
          <w:tcPr>
            <w:tcW w:w="2088" w:type="dxa"/>
          </w:tcPr>
          <w:p w14:paraId="00000047"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Randomisation:</w:t>
            </w:r>
          </w:p>
        </w:tc>
        <w:tc>
          <w:tcPr>
            <w:tcW w:w="720" w:type="dxa"/>
          </w:tcPr>
          <w:p w14:paraId="00000048" w14:textId="77777777" w:rsidR="000F6B34" w:rsidRDefault="000F6B34">
            <w:pPr>
              <w:pBdr>
                <w:top w:val="nil"/>
                <w:left w:val="nil"/>
                <w:bottom w:val="nil"/>
                <w:right w:val="nil"/>
                <w:between w:val="nil"/>
              </w:pBdr>
              <w:spacing w:line="240" w:lineRule="auto"/>
              <w:ind w:left="0" w:hanging="2"/>
              <w:jc w:val="center"/>
              <w:rPr>
                <w:rFonts w:ascii="Arial" w:eastAsia="Arial" w:hAnsi="Arial" w:cs="Arial"/>
                <w:color w:val="000000"/>
                <w:sz w:val="22"/>
                <w:szCs w:val="22"/>
              </w:rPr>
            </w:pPr>
          </w:p>
        </w:tc>
        <w:tc>
          <w:tcPr>
            <w:tcW w:w="11070" w:type="dxa"/>
          </w:tcPr>
          <w:p w14:paraId="00000049" w14:textId="77777777" w:rsidR="000F6B34" w:rsidRDefault="000F6B34">
            <w:pPr>
              <w:pBdr>
                <w:top w:val="nil"/>
                <w:left w:val="nil"/>
                <w:bottom w:val="nil"/>
                <w:right w:val="nil"/>
                <w:between w:val="nil"/>
              </w:pBdr>
              <w:spacing w:line="240" w:lineRule="auto"/>
              <w:ind w:left="0" w:hanging="2"/>
              <w:rPr>
                <w:rFonts w:ascii="Arial" w:eastAsia="Arial" w:hAnsi="Arial" w:cs="Arial"/>
                <w:color w:val="000000"/>
                <w:sz w:val="22"/>
                <w:szCs w:val="22"/>
              </w:rPr>
            </w:pPr>
          </w:p>
        </w:tc>
        <w:tc>
          <w:tcPr>
            <w:tcW w:w="1620" w:type="dxa"/>
            <w:tcBorders>
              <w:top w:val="single" w:sz="4" w:space="0" w:color="000000"/>
            </w:tcBorders>
            <w:vAlign w:val="center"/>
          </w:tcPr>
          <w:p w14:paraId="0000004A" w14:textId="77777777" w:rsidR="000F6B34" w:rsidRDefault="000F6B34">
            <w:pPr>
              <w:pBdr>
                <w:top w:val="nil"/>
                <w:left w:val="nil"/>
                <w:bottom w:val="nil"/>
                <w:right w:val="nil"/>
                <w:between w:val="nil"/>
              </w:pBdr>
              <w:spacing w:line="240" w:lineRule="auto"/>
              <w:ind w:left="0" w:hanging="2"/>
              <w:jc w:val="center"/>
              <w:rPr>
                <w:rFonts w:ascii="Arial" w:eastAsia="Arial" w:hAnsi="Arial" w:cs="Arial"/>
                <w:color w:val="000000"/>
                <w:sz w:val="22"/>
                <w:szCs w:val="22"/>
              </w:rPr>
            </w:pPr>
          </w:p>
        </w:tc>
      </w:tr>
      <w:tr w:rsidR="000F6B34" w14:paraId="5AA4440D" w14:textId="77777777">
        <w:trPr>
          <w:cantSplit/>
        </w:trPr>
        <w:tc>
          <w:tcPr>
            <w:tcW w:w="2088" w:type="dxa"/>
            <w:vMerge w:val="restart"/>
          </w:tcPr>
          <w:p w14:paraId="0000004B"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eastAsia="Times New Roman"/>
                <w:color w:val="000000"/>
                <w:sz w:val="22"/>
                <w:szCs w:val="22"/>
              </w:rPr>
              <w:t> </w:t>
            </w:r>
            <w:r>
              <w:rPr>
                <w:rFonts w:ascii="Arial" w:eastAsia="Arial" w:hAnsi="Arial" w:cs="Arial"/>
                <w:color w:val="000000"/>
                <w:sz w:val="22"/>
                <w:szCs w:val="22"/>
              </w:rPr>
              <w:t>Sequence generation</w:t>
            </w:r>
          </w:p>
        </w:tc>
        <w:tc>
          <w:tcPr>
            <w:tcW w:w="720" w:type="dxa"/>
          </w:tcPr>
          <w:p w14:paraId="0000004C"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8a</w:t>
            </w:r>
          </w:p>
        </w:tc>
        <w:tc>
          <w:tcPr>
            <w:tcW w:w="11070" w:type="dxa"/>
          </w:tcPr>
          <w:p w14:paraId="0000004D"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Method used to generate the random allocation sequence</w:t>
            </w:r>
          </w:p>
        </w:tc>
        <w:tc>
          <w:tcPr>
            <w:tcW w:w="1620" w:type="dxa"/>
            <w:tcBorders>
              <w:bottom w:val="single" w:sz="4" w:space="0" w:color="000000"/>
            </w:tcBorders>
            <w:vAlign w:val="center"/>
          </w:tcPr>
          <w:p w14:paraId="0000004E"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3</w:t>
            </w:r>
          </w:p>
        </w:tc>
      </w:tr>
      <w:tr w:rsidR="000F6B34" w14:paraId="6AD383C8" w14:textId="77777777">
        <w:trPr>
          <w:cantSplit/>
        </w:trPr>
        <w:tc>
          <w:tcPr>
            <w:tcW w:w="2088" w:type="dxa"/>
            <w:vMerge/>
          </w:tcPr>
          <w:p w14:paraId="0000004F" w14:textId="77777777" w:rsidR="000F6B34" w:rsidRDefault="000F6B34">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c>
        <w:tc>
          <w:tcPr>
            <w:tcW w:w="720" w:type="dxa"/>
          </w:tcPr>
          <w:p w14:paraId="00000050"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8b</w:t>
            </w:r>
          </w:p>
        </w:tc>
        <w:tc>
          <w:tcPr>
            <w:tcW w:w="11070" w:type="dxa"/>
          </w:tcPr>
          <w:p w14:paraId="00000051"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Type of randomisation; details of any restriction (such as blocking and block size)</w:t>
            </w:r>
          </w:p>
        </w:tc>
        <w:tc>
          <w:tcPr>
            <w:tcW w:w="1620" w:type="dxa"/>
            <w:tcBorders>
              <w:top w:val="single" w:sz="4" w:space="0" w:color="000000"/>
              <w:bottom w:val="single" w:sz="4" w:space="0" w:color="000000"/>
            </w:tcBorders>
            <w:vAlign w:val="center"/>
          </w:tcPr>
          <w:p w14:paraId="00000052"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3</w:t>
            </w:r>
          </w:p>
        </w:tc>
      </w:tr>
      <w:tr w:rsidR="000F6B34" w14:paraId="4F73806C" w14:textId="77777777">
        <w:tc>
          <w:tcPr>
            <w:tcW w:w="2088" w:type="dxa"/>
          </w:tcPr>
          <w:p w14:paraId="00000053"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eastAsia="Times New Roman"/>
                <w:color w:val="000000"/>
                <w:sz w:val="22"/>
                <w:szCs w:val="22"/>
              </w:rPr>
              <w:t> </w:t>
            </w:r>
            <w:r>
              <w:rPr>
                <w:rFonts w:ascii="Arial" w:eastAsia="Arial" w:hAnsi="Arial" w:cs="Arial"/>
                <w:color w:val="000000"/>
                <w:sz w:val="22"/>
                <w:szCs w:val="22"/>
              </w:rPr>
              <w:t>Allocation concealment mechanism</w:t>
            </w:r>
          </w:p>
        </w:tc>
        <w:tc>
          <w:tcPr>
            <w:tcW w:w="720" w:type="dxa"/>
          </w:tcPr>
          <w:p w14:paraId="00000054"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9</w:t>
            </w:r>
          </w:p>
        </w:tc>
        <w:tc>
          <w:tcPr>
            <w:tcW w:w="11070" w:type="dxa"/>
          </w:tcPr>
          <w:p w14:paraId="00000055"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Mechanism used to implement the random allocation sequence (such as sequentially numbered containers), describing any steps taken to conceal the sequence until interventions were assigned</w:t>
            </w:r>
          </w:p>
        </w:tc>
        <w:tc>
          <w:tcPr>
            <w:tcW w:w="1620" w:type="dxa"/>
            <w:tcBorders>
              <w:top w:val="single" w:sz="4" w:space="0" w:color="000000"/>
              <w:bottom w:val="single" w:sz="4" w:space="0" w:color="000000"/>
            </w:tcBorders>
            <w:vAlign w:val="center"/>
          </w:tcPr>
          <w:p w14:paraId="00000056"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sz w:val="22"/>
                <w:szCs w:val="22"/>
              </w:rPr>
              <w:t>3</w:t>
            </w:r>
          </w:p>
        </w:tc>
      </w:tr>
      <w:tr w:rsidR="000F6B34" w14:paraId="1D129750" w14:textId="77777777">
        <w:tc>
          <w:tcPr>
            <w:tcW w:w="2088" w:type="dxa"/>
          </w:tcPr>
          <w:p w14:paraId="00000057"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eastAsia="Times New Roman"/>
                <w:color w:val="000000"/>
                <w:sz w:val="22"/>
                <w:szCs w:val="22"/>
              </w:rPr>
              <w:t> </w:t>
            </w:r>
            <w:r>
              <w:rPr>
                <w:rFonts w:ascii="Arial" w:eastAsia="Arial" w:hAnsi="Arial" w:cs="Arial"/>
                <w:color w:val="000000"/>
                <w:sz w:val="22"/>
                <w:szCs w:val="22"/>
              </w:rPr>
              <w:t>Implementation</w:t>
            </w:r>
          </w:p>
        </w:tc>
        <w:tc>
          <w:tcPr>
            <w:tcW w:w="720" w:type="dxa"/>
          </w:tcPr>
          <w:p w14:paraId="00000058"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10</w:t>
            </w:r>
          </w:p>
        </w:tc>
        <w:tc>
          <w:tcPr>
            <w:tcW w:w="11070" w:type="dxa"/>
          </w:tcPr>
          <w:p w14:paraId="00000059"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Who generated the random allocation sequence, who enrolled participants, and who assigned participants to interventions</w:t>
            </w:r>
          </w:p>
        </w:tc>
        <w:tc>
          <w:tcPr>
            <w:tcW w:w="1620" w:type="dxa"/>
            <w:tcBorders>
              <w:top w:val="single" w:sz="4" w:space="0" w:color="000000"/>
              <w:bottom w:val="single" w:sz="4" w:space="0" w:color="000000"/>
            </w:tcBorders>
            <w:vAlign w:val="center"/>
          </w:tcPr>
          <w:p w14:paraId="0000005A" w14:textId="721A380B"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3</w:t>
            </w:r>
          </w:p>
        </w:tc>
      </w:tr>
      <w:tr w:rsidR="000F6B34" w14:paraId="6D439700" w14:textId="77777777">
        <w:trPr>
          <w:cantSplit/>
        </w:trPr>
        <w:tc>
          <w:tcPr>
            <w:tcW w:w="2088" w:type="dxa"/>
            <w:vMerge w:val="restart"/>
          </w:tcPr>
          <w:p w14:paraId="0000005B"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Blinding</w:t>
            </w:r>
          </w:p>
        </w:tc>
        <w:tc>
          <w:tcPr>
            <w:tcW w:w="720" w:type="dxa"/>
          </w:tcPr>
          <w:p w14:paraId="0000005C"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11a</w:t>
            </w:r>
          </w:p>
        </w:tc>
        <w:tc>
          <w:tcPr>
            <w:tcW w:w="11070" w:type="dxa"/>
          </w:tcPr>
          <w:p w14:paraId="0000005D"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If done, who was blinded after assignment to interventions (for example, participants, care providers, those assessing outcomes) and how</w:t>
            </w:r>
          </w:p>
        </w:tc>
        <w:tc>
          <w:tcPr>
            <w:tcW w:w="1620" w:type="dxa"/>
            <w:tcBorders>
              <w:top w:val="single" w:sz="4" w:space="0" w:color="000000"/>
              <w:bottom w:val="single" w:sz="4" w:space="0" w:color="000000"/>
            </w:tcBorders>
            <w:vAlign w:val="center"/>
          </w:tcPr>
          <w:p w14:paraId="0000005E"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N/A</w:t>
            </w:r>
          </w:p>
        </w:tc>
      </w:tr>
      <w:tr w:rsidR="000F6B34" w14:paraId="5504CB04" w14:textId="77777777">
        <w:trPr>
          <w:cantSplit/>
        </w:trPr>
        <w:tc>
          <w:tcPr>
            <w:tcW w:w="2088" w:type="dxa"/>
            <w:vMerge/>
          </w:tcPr>
          <w:p w14:paraId="0000005F" w14:textId="77777777" w:rsidR="000F6B34" w:rsidRDefault="000F6B34">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c>
        <w:tc>
          <w:tcPr>
            <w:tcW w:w="720" w:type="dxa"/>
          </w:tcPr>
          <w:p w14:paraId="00000060"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11b</w:t>
            </w:r>
          </w:p>
        </w:tc>
        <w:tc>
          <w:tcPr>
            <w:tcW w:w="11070" w:type="dxa"/>
          </w:tcPr>
          <w:p w14:paraId="00000061"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If relevant, description of the similarity of interventions</w:t>
            </w:r>
          </w:p>
        </w:tc>
        <w:tc>
          <w:tcPr>
            <w:tcW w:w="1620" w:type="dxa"/>
            <w:tcBorders>
              <w:top w:val="single" w:sz="4" w:space="0" w:color="000000"/>
              <w:bottom w:val="single" w:sz="4" w:space="0" w:color="000000"/>
            </w:tcBorders>
            <w:vAlign w:val="center"/>
          </w:tcPr>
          <w:p w14:paraId="00000062"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N/A</w:t>
            </w:r>
          </w:p>
        </w:tc>
      </w:tr>
      <w:tr w:rsidR="000F6B34" w14:paraId="33ED4793" w14:textId="77777777">
        <w:trPr>
          <w:cantSplit/>
        </w:trPr>
        <w:tc>
          <w:tcPr>
            <w:tcW w:w="2088" w:type="dxa"/>
            <w:vMerge w:val="restart"/>
          </w:tcPr>
          <w:p w14:paraId="00000063"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Statistical methods</w:t>
            </w:r>
          </w:p>
        </w:tc>
        <w:tc>
          <w:tcPr>
            <w:tcW w:w="720" w:type="dxa"/>
          </w:tcPr>
          <w:p w14:paraId="00000064"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12a</w:t>
            </w:r>
          </w:p>
        </w:tc>
        <w:tc>
          <w:tcPr>
            <w:tcW w:w="11070" w:type="dxa"/>
          </w:tcPr>
          <w:p w14:paraId="00000065"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Statistical methods used to compare groups for primary and secondary outcomes</w:t>
            </w:r>
          </w:p>
        </w:tc>
        <w:tc>
          <w:tcPr>
            <w:tcW w:w="1620" w:type="dxa"/>
            <w:tcBorders>
              <w:top w:val="single" w:sz="4" w:space="0" w:color="000000"/>
              <w:bottom w:val="single" w:sz="4" w:space="0" w:color="000000"/>
            </w:tcBorders>
            <w:vAlign w:val="center"/>
          </w:tcPr>
          <w:p w14:paraId="00000066" w14:textId="35AB4661" w:rsidR="000F6B34" w:rsidRDefault="00692367">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sz w:val="22"/>
                <w:szCs w:val="22"/>
              </w:rPr>
              <w:t>4-5</w:t>
            </w:r>
          </w:p>
        </w:tc>
      </w:tr>
      <w:tr w:rsidR="000F6B34" w14:paraId="30DF9431" w14:textId="77777777">
        <w:trPr>
          <w:cantSplit/>
        </w:trPr>
        <w:tc>
          <w:tcPr>
            <w:tcW w:w="2088" w:type="dxa"/>
            <w:vMerge/>
          </w:tcPr>
          <w:p w14:paraId="00000067" w14:textId="77777777" w:rsidR="000F6B34" w:rsidRDefault="000F6B34">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c>
        <w:tc>
          <w:tcPr>
            <w:tcW w:w="720" w:type="dxa"/>
          </w:tcPr>
          <w:p w14:paraId="00000068"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12b</w:t>
            </w:r>
          </w:p>
        </w:tc>
        <w:tc>
          <w:tcPr>
            <w:tcW w:w="11070" w:type="dxa"/>
          </w:tcPr>
          <w:p w14:paraId="00000069"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Methods for additional analyses, such as subgroup analyses and adjusted analyses</w:t>
            </w:r>
          </w:p>
        </w:tc>
        <w:tc>
          <w:tcPr>
            <w:tcW w:w="1620" w:type="dxa"/>
            <w:tcBorders>
              <w:top w:val="single" w:sz="4" w:space="0" w:color="000000"/>
              <w:bottom w:val="single" w:sz="4" w:space="0" w:color="000000"/>
            </w:tcBorders>
            <w:vAlign w:val="center"/>
          </w:tcPr>
          <w:p w14:paraId="0000006A" w14:textId="0739AC90" w:rsidR="000F6B34" w:rsidRDefault="00692367">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sz w:val="22"/>
                <w:szCs w:val="22"/>
              </w:rPr>
              <w:t>4-5</w:t>
            </w:r>
          </w:p>
        </w:tc>
      </w:tr>
      <w:tr w:rsidR="000F6B34" w14:paraId="0C44E1B6" w14:textId="77777777">
        <w:tc>
          <w:tcPr>
            <w:tcW w:w="15498" w:type="dxa"/>
            <w:gridSpan w:val="4"/>
          </w:tcPr>
          <w:p w14:paraId="0000006B" w14:textId="77777777" w:rsidR="000F6B34" w:rsidRDefault="00C60D0E">
            <w:pPr>
              <w:pBdr>
                <w:top w:val="nil"/>
                <w:left w:val="nil"/>
                <w:bottom w:val="nil"/>
                <w:right w:val="nil"/>
                <w:between w:val="nil"/>
              </w:pBdr>
              <w:spacing w:before="120" w:line="240" w:lineRule="auto"/>
              <w:ind w:left="0" w:hanging="2"/>
              <w:rPr>
                <w:rFonts w:ascii="Arial" w:eastAsia="Arial" w:hAnsi="Arial" w:cs="Arial"/>
                <w:b/>
                <w:bCs/>
                <w:color w:val="000000"/>
                <w:sz w:val="22"/>
                <w:szCs w:val="22"/>
              </w:rPr>
            </w:pPr>
            <w:r>
              <w:rPr>
                <w:rFonts w:ascii="Arial" w:eastAsia="Arial" w:hAnsi="Arial" w:cs="Arial"/>
                <w:b/>
                <w:bCs/>
                <w:color w:val="000000"/>
                <w:sz w:val="22"/>
                <w:szCs w:val="22"/>
              </w:rPr>
              <w:lastRenderedPageBreak/>
              <w:t>Results</w:t>
            </w:r>
          </w:p>
        </w:tc>
      </w:tr>
      <w:tr w:rsidR="000F6B34" w14:paraId="4993C8A6" w14:textId="77777777">
        <w:trPr>
          <w:cantSplit/>
        </w:trPr>
        <w:tc>
          <w:tcPr>
            <w:tcW w:w="2088" w:type="dxa"/>
            <w:vMerge w:val="restart"/>
          </w:tcPr>
          <w:p w14:paraId="0000006F"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Participant flow (a diagram is strongly recommended)</w:t>
            </w:r>
          </w:p>
        </w:tc>
        <w:tc>
          <w:tcPr>
            <w:tcW w:w="720" w:type="dxa"/>
          </w:tcPr>
          <w:p w14:paraId="00000070"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13a</w:t>
            </w:r>
          </w:p>
        </w:tc>
        <w:tc>
          <w:tcPr>
            <w:tcW w:w="11070" w:type="dxa"/>
          </w:tcPr>
          <w:p w14:paraId="00000071"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For each group, the numbers of participants who were randomly assigned, received intended treatment, and were analysed for the primary outcome</w:t>
            </w:r>
          </w:p>
        </w:tc>
        <w:tc>
          <w:tcPr>
            <w:tcW w:w="1620" w:type="dxa"/>
            <w:tcBorders>
              <w:bottom w:val="single" w:sz="4" w:space="0" w:color="000000"/>
            </w:tcBorders>
            <w:vAlign w:val="center"/>
          </w:tcPr>
          <w:p w14:paraId="00000072" w14:textId="21D74946" w:rsidR="000F6B34" w:rsidRDefault="00692367">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sz w:val="22"/>
                <w:szCs w:val="22"/>
              </w:rPr>
              <w:t>5</w:t>
            </w:r>
          </w:p>
        </w:tc>
      </w:tr>
      <w:tr w:rsidR="000F6B34" w14:paraId="458577B9" w14:textId="77777777">
        <w:trPr>
          <w:cantSplit/>
        </w:trPr>
        <w:tc>
          <w:tcPr>
            <w:tcW w:w="2088" w:type="dxa"/>
            <w:vMerge/>
          </w:tcPr>
          <w:p w14:paraId="00000073" w14:textId="77777777" w:rsidR="000F6B34" w:rsidRDefault="000F6B34">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c>
        <w:tc>
          <w:tcPr>
            <w:tcW w:w="720" w:type="dxa"/>
          </w:tcPr>
          <w:p w14:paraId="00000074"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13b</w:t>
            </w:r>
          </w:p>
        </w:tc>
        <w:tc>
          <w:tcPr>
            <w:tcW w:w="11070" w:type="dxa"/>
          </w:tcPr>
          <w:p w14:paraId="00000075"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For each group, </w:t>
            </w:r>
            <w:proofErr w:type="gramStart"/>
            <w:r>
              <w:rPr>
                <w:rFonts w:ascii="Arial" w:eastAsia="Arial" w:hAnsi="Arial" w:cs="Arial"/>
                <w:color w:val="000000"/>
                <w:sz w:val="22"/>
                <w:szCs w:val="22"/>
              </w:rPr>
              <w:t>losses</w:t>
            </w:r>
            <w:proofErr w:type="gramEnd"/>
            <w:r>
              <w:rPr>
                <w:rFonts w:ascii="Arial" w:eastAsia="Arial" w:hAnsi="Arial" w:cs="Arial"/>
                <w:color w:val="000000"/>
                <w:sz w:val="22"/>
                <w:szCs w:val="22"/>
              </w:rPr>
              <w:t xml:space="preserve"> and exclusions after randomisation, together with reasons</w:t>
            </w:r>
          </w:p>
        </w:tc>
        <w:tc>
          <w:tcPr>
            <w:tcW w:w="1620" w:type="dxa"/>
            <w:tcBorders>
              <w:top w:val="single" w:sz="4" w:space="0" w:color="000000"/>
              <w:bottom w:val="single" w:sz="4" w:space="0" w:color="000000"/>
            </w:tcBorders>
            <w:vAlign w:val="center"/>
          </w:tcPr>
          <w:p w14:paraId="00000076" w14:textId="5DBD760C" w:rsidR="000F6B34" w:rsidRDefault="00692367">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sz w:val="22"/>
                <w:szCs w:val="22"/>
              </w:rPr>
              <w:t>5</w:t>
            </w:r>
          </w:p>
        </w:tc>
      </w:tr>
      <w:tr w:rsidR="000F6B34" w14:paraId="2C4ED1DE" w14:textId="77777777">
        <w:trPr>
          <w:cantSplit/>
        </w:trPr>
        <w:tc>
          <w:tcPr>
            <w:tcW w:w="2088" w:type="dxa"/>
            <w:vMerge w:val="restart"/>
          </w:tcPr>
          <w:p w14:paraId="00000077"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Recruitment</w:t>
            </w:r>
          </w:p>
        </w:tc>
        <w:tc>
          <w:tcPr>
            <w:tcW w:w="720" w:type="dxa"/>
          </w:tcPr>
          <w:p w14:paraId="00000078"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14a</w:t>
            </w:r>
          </w:p>
        </w:tc>
        <w:tc>
          <w:tcPr>
            <w:tcW w:w="11070" w:type="dxa"/>
          </w:tcPr>
          <w:p w14:paraId="00000079"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Dates defining the periods of recruitment and follow-up</w:t>
            </w:r>
          </w:p>
        </w:tc>
        <w:tc>
          <w:tcPr>
            <w:tcW w:w="1620" w:type="dxa"/>
            <w:tcBorders>
              <w:top w:val="single" w:sz="4" w:space="0" w:color="000000"/>
              <w:bottom w:val="single" w:sz="4" w:space="0" w:color="000000"/>
            </w:tcBorders>
            <w:vAlign w:val="center"/>
          </w:tcPr>
          <w:p w14:paraId="0000007A" w14:textId="21463A8E" w:rsidR="000F6B34" w:rsidRDefault="00692367">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2</w:t>
            </w:r>
          </w:p>
        </w:tc>
      </w:tr>
      <w:tr w:rsidR="000F6B34" w14:paraId="66D60D6F" w14:textId="77777777">
        <w:trPr>
          <w:cantSplit/>
        </w:trPr>
        <w:tc>
          <w:tcPr>
            <w:tcW w:w="2088" w:type="dxa"/>
            <w:vMerge/>
          </w:tcPr>
          <w:p w14:paraId="0000007B" w14:textId="77777777" w:rsidR="000F6B34" w:rsidRDefault="000F6B34">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c>
        <w:tc>
          <w:tcPr>
            <w:tcW w:w="720" w:type="dxa"/>
          </w:tcPr>
          <w:p w14:paraId="0000007C"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14b</w:t>
            </w:r>
          </w:p>
        </w:tc>
        <w:tc>
          <w:tcPr>
            <w:tcW w:w="11070" w:type="dxa"/>
          </w:tcPr>
          <w:p w14:paraId="0000007D"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Why the trial ended or was stopped</w:t>
            </w:r>
          </w:p>
        </w:tc>
        <w:tc>
          <w:tcPr>
            <w:tcW w:w="1620" w:type="dxa"/>
            <w:tcBorders>
              <w:top w:val="single" w:sz="4" w:space="0" w:color="000000"/>
              <w:bottom w:val="single" w:sz="4" w:space="0" w:color="000000"/>
            </w:tcBorders>
            <w:vAlign w:val="center"/>
          </w:tcPr>
          <w:p w14:paraId="0000007E"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N/A</w:t>
            </w:r>
          </w:p>
        </w:tc>
      </w:tr>
      <w:tr w:rsidR="000F6B34" w14:paraId="3CCE48B8" w14:textId="77777777">
        <w:tc>
          <w:tcPr>
            <w:tcW w:w="2088" w:type="dxa"/>
          </w:tcPr>
          <w:p w14:paraId="0000007F"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Baseline data</w:t>
            </w:r>
          </w:p>
        </w:tc>
        <w:tc>
          <w:tcPr>
            <w:tcW w:w="720" w:type="dxa"/>
          </w:tcPr>
          <w:p w14:paraId="00000080"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15</w:t>
            </w:r>
          </w:p>
        </w:tc>
        <w:tc>
          <w:tcPr>
            <w:tcW w:w="11070" w:type="dxa"/>
          </w:tcPr>
          <w:p w14:paraId="00000081"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 table showing baseline demographic and clinical characteristics for each group</w:t>
            </w:r>
          </w:p>
        </w:tc>
        <w:tc>
          <w:tcPr>
            <w:tcW w:w="1620" w:type="dxa"/>
            <w:tcBorders>
              <w:top w:val="single" w:sz="4" w:space="0" w:color="000000"/>
              <w:bottom w:val="single" w:sz="4" w:space="0" w:color="000000"/>
            </w:tcBorders>
            <w:vAlign w:val="center"/>
          </w:tcPr>
          <w:p w14:paraId="00000082" w14:textId="40909122" w:rsidR="000F6B34" w:rsidRDefault="00692367">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6</w:t>
            </w:r>
          </w:p>
        </w:tc>
      </w:tr>
      <w:tr w:rsidR="000F6B34" w14:paraId="50C89C2D" w14:textId="77777777">
        <w:tc>
          <w:tcPr>
            <w:tcW w:w="2088" w:type="dxa"/>
          </w:tcPr>
          <w:p w14:paraId="00000083"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Numbers analysed</w:t>
            </w:r>
          </w:p>
        </w:tc>
        <w:tc>
          <w:tcPr>
            <w:tcW w:w="720" w:type="dxa"/>
          </w:tcPr>
          <w:p w14:paraId="00000084"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16</w:t>
            </w:r>
          </w:p>
        </w:tc>
        <w:tc>
          <w:tcPr>
            <w:tcW w:w="11070" w:type="dxa"/>
          </w:tcPr>
          <w:p w14:paraId="00000085"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For each group, number of participants (denominator) included in each analysis and whether the analysis was by original assigned groups</w:t>
            </w:r>
          </w:p>
        </w:tc>
        <w:tc>
          <w:tcPr>
            <w:tcW w:w="1620" w:type="dxa"/>
            <w:tcBorders>
              <w:top w:val="single" w:sz="4" w:space="0" w:color="000000"/>
              <w:bottom w:val="single" w:sz="4" w:space="0" w:color="000000"/>
            </w:tcBorders>
            <w:vAlign w:val="center"/>
          </w:tcPr>
          <w:p w14:paraId="00000086" w14:textId="33596BE6" w:rsidR="000F6B34" w:rsidRDefault="00692367">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6</w:t>
            </w:r>
          </w:p>
        </w:tc>
      </w:tr>
      <w:tr w:rsidR="000F6B34" w14:paraId="3B1C4250" w14:textId="77777777">
        <w:trPr>
          <w:cantSplit/>
        </w:trPr>
        <w:tc>
          <w:tcPr>
            <w:tcW w:w="2088" w:type="dxa"/>
            <w:vMerge w:val="restart"/>
          </w:tcPr>
          <w:p w14:paraId="00000087"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Outcomes and estimation</w:t>
            </w:r>
          </w:p>
        </w:tc>
        <w:tc>
          <w:tcPr>
            <w:tcW w:w="720" w:type="dxa"/>
          </w:tcPr>
          <w:p w14:paraId="00000088"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17a</w:t>
            </w:r>
          </w:p>
        </w:tc>
        <w:tc>
          <w:tcPr>
            <w:tcW w:w="11070" w:type="dxa"/>
          </w:tcPr>
          <w:p w14:paraId="00000089"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For each primary and secondary outcome, results for each group, and the estimated effect size and its precision (such as 95% confidence interval)</w:t>
            </w:r>
          </w:p>
        </w:tc>
        <w:tc>
          <w:tcPr>
            <w:tcW w:w="1620" w:type="dxa"/>
            <w:tcBorders>
              <w:top w:val="single" w:sz="4" w:space="0" w:color="000000"/>
              <w:bottom w:val="single" w:sz="4" w:space="0" w:color="000000"/>
            </w:tcBorders>
            <w:vAlign w:val="center"/>
          </w:tcPr>
          <w:p w14:paraId="0000008A" w14:textId="46D51014" w:rsidR="000F6B34" w:rsidRDefault="00692367">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6-8</w:t>
            </w:r>
          </w:p>
        </w:tc>
      </w:tr>
      <w:tr w:rsidR="000F6B34" w14:paraId="4628DA58" w14:textId="77777777">
        <w:trPr>
          <w:cantSplit/>
        </w:trPr>
        <w:tc>
          <w:tcPr>
            <w:tcW w:w="2088" w:type="dxa"/>
            <w:vMerge/>
          </w:tcPr>
          <w:p w14:paraId="0000008B" w14:textId="77777777" w:rsidR="000F6B34" w:rsidRDefault="000F6B34">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c>
        <w:tc>
          <w:tcPr>
            <w:tcW w:w="720" w:type="dxa"/>
          </w:tcPr>
          <w:p w14:paraId="0000008C"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17b</w:t>
            </w:r>
          </w:p>
        </w:tc>
        <w:tc>
          <w:tcPr>
            <w:tcW w:w="11070" w:type="dxa"/>
          </w:tcPr>
          <w:p w14:paraId="0000008D"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For binary outcomes, presentation of both absolute and relative effect sizes is recommended</w:t>
            </w:r>
          </w:p>
        </w:tc>
        <w:tc>
          <w:tcPr>
            <w:tcW w:w="1620" w:type="dxa"/>
            <w:tcBorders>
              <w:top w:val="single" w:sz="4" w:space="0" w:color="000000"/>
              <w:bottom w:val="single" w:sz="4" w:space="0" w:color="000000"/>
            </w:tcBorders>
            <w:vAlign w:val="center"/>
          </w:tcPr>
          <w:p w14:paraId="0000008E" w14:textId="7327C497" w:rsidR="000F6B34" w:rsidRDefault="00692367">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6-8</w:t>
            </w:r>
          </w:p>
        </w:tc>
      </w:tr>
      <w:tr w:rsidR="000F6B34" w14:paraId="284D2F4C" w14:textId="77777777">
        <w:tc>
          <w:tcPr>
            <w:tcW w:w="2088" w:type="dxa"/>
          </w:tcPr>
          <w:p w14:paraId="0000008F"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Ancillary analyses</w:t>
            </w:r>
          </w:p>
        </w:tc>
        <w:tc>
          <w:tcPr>
            <w:tcW w:w="720" w:type="dxa"/>
          </w:tcPr>
          <w:p w14:paraId="00000090"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18</w:t>
            </w:r>
          </w:p>
        </w:tc>
        <w:tc>
          <w:tcPr>
            <w:tcW w:w="11070" w:type="dxa"/>
          </w:tcPr>
          <w:p w14:paraId="00000091"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Results of any other analyses performed, including subgroup analyses and adjusted analyses, distinguishing pre-specified from exploratory</w:t>
            </w:r>
          </w:p>
        </w:tc>
        <w:tc>
          <w:tcPr>
            <w:tcW w:w="1620" w:type="dxa"/>
            <w:tcBorders>
              <w:top w:val="single" w:sz="4" w:space="0" w:color="000000"/>
              <w:bottom w:val="single" w:sz="4" w:space="0" w:color="000000"/>
            </w:tcBorders>
            <w:vAlign w:val="center"/>
          </w:tcPr>
          <w:p w14:paraId="00000092" w14:textId="3366E474" w:rsidR="000F6B34" w:rsidRDefault="00692367">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7-8</w:t>
            </w:r>
          </w:p>
        </w:tc>
      </w:tr>
      <w:tr w:rsidR="000F6B34" w14:paraId="341C3B78" w14:textId="77777777">
        <w:tc>
          <w:tcPr>
            <w:tcW w:w="2088" w:type="dxa"/>
          </w:tcPr>
          <w:p w14:paraId="00000093"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Harms</w:t>
            </w:r>
          </w:p>
        </w:tc>
        <w:tc>
          <w:tcPr>
            <w:tcW w:w="720" w:type="dxa"/>
          </w:tcPr>
          <w:p w14:paraId="00000094"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19</w:t>
            </w:r>
          </w:p>
        </w:tc>
        <w:tc>
          <w:tcPr>
            <w:tcW w:w="11070" w:type="dxa"/>
          </w:tcPr>
          <w:p w14:paraId="00000095"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All important harms or unintended effects in each group </w:t>
            </w:r>
            <w:r>
              <w:rPr>
                <w:rFonts w:ascii="Arial" w:eastAsia="Arial" w:hAnsi="Arial" w:cs="Arial"/>
                <w:color w:val="000000"/>
                <w:sz w:val="16"/>
                <w:szCs w:val="16"/>
              </w:rPr>
              <w:t>(for specific guidance see CONSORT for harms)</w:t>
            </w:r>
          </w:p>
        </w:tc>
        <w:tc>
          <w:tcPr>
            <w:tcW w:w="1620" w:type="dxa"/>
            <w:tcBorders>
              <w:top w:val="single" w:sz="4" w:space="0" w:color="000000"/>
              <w:bottom w:val="single" w:sz="4" w:space="0" w:color="000000"/>
            </w:tcBorders>
            <w:vAlign w:val="center"/>
          </w:tcPr>
          <w:p w14:paraId="00000096" w14:textId="1B2DB3FF" w:rsidR="000F6B34" w:rsidRDefault="005A5A62">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sz w:val="22"/>
                <w:szCs w:val="22"/>
              </w:rPr>
              <w:t>1</w:t>
            </w:r>
          </w:p>
        </w:tc>
      </w:tr>
      <w:tr w:rsidR="000F6B34" w14:paraId="3A2241A9" w14:textId="77777777">
        <w:tc>
          <w:tcPr>
            <w:tcW w:w="15498" w:type="dxa"/>
            <w:gridSpan w:val="4"/>
          </w:tcPr>
          <w:p w14:paraId="00000097" w14:textId="77777777" w:rsidR="000F6B34" w:rsidRDefault="00C60D0E">
            <w:pPr>
              <w:pBdr>
                <w:top w:val="nil"/>
                <w:left w:val="nil"/>
                <w:bottom w:val="nil"/>
                <w:right w:val="nil"/>
                <w:between w:val="nil"/>
              </w:pBdr>
              <w:spacing w:before="120" w:line="240" w:lineRule="auto"/>
              <w:ind w:left="0" w:hanging="2"/>
              <w:rPr>
                <w:rFonts w:ascii="Arial" w:eastAsia="Arial" w:hAnsi="Arial" w:cs="Arial"/>
                <w:b/>
                <w:bCs/>
                <w:color w:val="000000"/>
                <w:sz w:val="22"/>
                <w:szCs w:val="22"/>
              </w:rPr>
            </w:pPr>
            <w:r>
              <w:rPr>
                <w:rFonts w:ascii="Arial" w:eastAsia="Arial" w:hAnsi="Arial" w:cs="Arial"/>
                <w:b/>
                <w:bCs/>
                <w:color w:val="000000"/>
                <w:sz w:val="22"/>
                <w:szCs w:val="22"/>
              </w:rPr>
              <w:t>Discussion</w:t>
            </w:r>
          </w:p>
        </w:tc>
      </w:tr>
      <w:tr w:rsidR="000F6B34" w14:paraId="4F3DCCC8" w14:textId="77777777">
        <w:tc>
          <w:tcPr>
            <w:tcW w:w="2088" w:type="dxa"/>
          </w:tcPr>
          <w:p w14:paraId="0000009B"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Limitations</w:t>
            </w:r>
          </w:p>
        </w:tc>
        <w:tc>
          <w:tcPr>
            <w:tcW w:w="720" w:type="dxa"/>
          </w:tcPr>
          <w:p w14:paraId="0000009C"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20</w:t>
            </w:r>
          </w:p>
        </w:tc>
        <w:tc>
          <w:tcPr>
            <w:tcW w:w="11070" w:type="dxa"/>
          </w:tcPr>
          <w:p w14:paraId="0000009D"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Trial limitations, addressing sources of potential bias, imprecision, and, if relevant, multiplicity of analyses</w:t>
            </w:r>
          </w:p>
        </w:tc>
        <w:tc>
          <w:tcPr>
            <w:tcW w:w="1620" w:type="dxa"/>
            <w:tcBorders>
              <w:bottom w:val="single" w:sz="4" w:space="0" w:color="000000"/>
            </w:tcBorders>
            <w:vAlign w:val="center"/>
          </w:tcPr>
          <w:p w14:paraId="0000009E" w14:textId="636D9EA6" w:rsidR="000F6B34" w:rsidRDefault="00692367">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10</w:t>
            </w:r>
          </w:p>
        </w:tc>
      </w:tr>
      <w:tr w:rsidR="000F6B34" w14:paraId="10E5ED13" w14:textId="77777777">
        <w:tc>
          <w:tcPr>
            <w:tcW w:w="2088" w:type="dxa"/>
          </w:tcPr>
          <w:p w14:paraId="0000009F"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Generalisability</w:t>
            </w:r>
          </w:p>
        </w:tc>
        <w:tc>
          <w:tcPr>
            <w:tcW w:w="720" w:type="dxa"/>
          </w:tcPr>
          <w:p w14:paraId="000000A0"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21</w:t>
            </w:r>
          </w:p>
        </w:tc>
        <w:tc>
          <w:tcPr>
            <w:tcW w:w="11070" w:type="dxa"/>
          </w:tcPr>
          <w:p w14:paraId="000000A1"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Generalisability (external validity, applicability) of the trial findings</w:t>
            </w:r>
          </w:p>
        </w:tc>
        <w:tc>
          <w:tcPr>
            <w:tcW w:w="1620" w:type="dxa"/>
            <w:tcBorders>
              <w:top w:val="single" w:sz="4" w:space="0" w:color="000000"/>
              <w:bottom w:val="single" w:sz="4" w:space="0" w:color="000000"/>
            </w:tcBorders>
            <w:vAlign w:val="center"/>
          </w:tcPr>
          <w:p w14:paraId="000000A2" w14:textId="73B22ABF" w:rsidR="000F6B34" w:rsidRDefault="00692367">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8</w:t>
            </w:r>
          </w:p>
        </w:tc>
      </w:tr>
      <w:tr w:rsidR="000F6B34" w14:paraId="5FC4B244" w14:textId="77777777">
        <w:tc>
          <w:tcPr>
            <w:tcW w:w="2088" w:type="dxa"/>
          </w:tcPr>
          <w:p w14:paraId="000000A3"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Interpretation</w:t>
            </w:r>
          </w:p>
        </w:tc>
        <w:tc>
          <w:tcPr>
            <w:tcW w:w="720" w:type="dxa"/>
          </w:tcPr>
          <w:p w14:paraId="000000A4"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22</w:t>
            </w:r>
          </w:p>
        </w:tc>
        <w:tc>
          <w:tcPr>
            <w:tcW w:w="11070" w:type="dxa"/>
          </w:tcPr>
          <w:p w14:paraId="000000A5"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Interpretation consistent with results, balancing </w:t>
            </w:r>
            <w:proofErr w:type="gramStart"/>
            <w:r>
              <w:rPr>
                <w:rFonts w:ascii="Arial" w:eastAsia="Arial" w:hAnsi="Arial" w:cs="Arial"/>
                <w:color w:val="000000"/>
                <w:sz w:val="22"/>
                <w:szCs w:val="22"/>
              </w:rPr>
              <w:t>benefits</w:t>
            </w:r>
            <w:proofErr w:type="gramEnd"/>
            <w:r>
              <w:rPr>
                <w:rFonts w:ascii="Arial" w:eastAsia="Arial" w:hAnsi="Arial" w:cs="Arial"/>
                <w:color w:val="000000"/>
                <w:sz w:val="22"/>
                <w:szCs w:val="22"/>
              </w:rPr>
              <w:t xml:space="preserve"> and harms, and considering other relevant evidence</w:t>
            </w:r>
          </w:p>
        </w:tc>
        <w:tc>
          <w:tcPr>
            <w:tcW w:w="1620" w:type="dxa"/>
            <w:tcBorders>
              <w:top w:val="single" w:sz="4" w:space="0" w:color="000000"/>
              <w:bottom w:val="single" w:sz="4" w:space="0" w:color="000000"/>
            </w:tcBorders>
            <w:vAlign w:val="center"/>
          </w:tcPr>
          <w:p w14:paraId="000000A6" w14:textId="43490EB3" w:rsidR="000F6B34" w:rsidRDefault="00692367">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8-10</w:t>
            </w:r>
          </w:p>
        </w:tc>
      </w:tr>
      <w:tr w:rsidR="000F6B34" w14:paraId="17F7B5AB" w14:textId="77777777">
        <w:tc>
          <w:tcPr>
            <w:tcW w:w="13878" w:type="dxa"/>
            <w:gridSpan w:val="3"/>
          </w:tcPr>
          <w:p w14:paraId="000000A7" w14:textId="77777777" w:rsidR="000F6B34" w:rsidRDefault="00C60D0E">
            <w:pPr>
              <w:pBdr>
                <w:top w:val="nil"/>
                <w:left w:val="nil"/>
                <w:bottom w:val="nil"/>
                <w:right w:val="nil"/>
                <w:between w:val="nil"/>
              </w:pBdr>
              <w:spacing w:before="120" w:line="240" w:lineRule="auto"/>
              <w:ind w:left="0" w:hanging="2"/>
              <w:rPr>
                <w:rFonts w:ascii="Arial" w:eastAsia="Arial" w:hAnsi="Arial" w:cs="Arial"/>
                <w:b/>
                <w:bCs/>
                <w:color w:val="000000"/>
                <w:sz w:val="22"/>
                <w:szCs w:val="22"/>
              </w:rPr>
            </w:pPr>
            <w:r>
              <w:rPr>
                <w:rFonts w:ascii="Arial" w:eastAsia="Arial" w:hAnsi="Arial" w:cs="Arial"/>
                <w:b/>
                <w:bCs/>
                <w:color w:val="000000"/>
                <w:sz w:val="22"/>
                <w:szCs w:val="22"/>
              </w:rPr>
              <w:t>Other information</w:t>
            </w:r>
          </w:p>
        </w:tc>
        <w:tc>
          <w:tcPr>
            <w:tcW w:w="1620" w:type="dxa"/>
            <w:tcBorders>
              <w:top w:val="single" w:sz="4" w:space="0" w:color="000000"/>
            </w:tcBorders>
            <w:vAlign w:val="center"/>
          </w:tcPr>
          <w:p w14:paraId="000000AA" w14:textId="77777777" w:rsidR="000F6B34" w:rsidRDefault="000F6B34">
            <w:pPr>
              <w:pBdr>
                <w:top w:val="nil"/>
                <w:left w:val="nil"/>
                <w:bottom w:val="nil"/>
                <w:right w:val="nil"/>
                <w:between w:val="nil"/>
              </w:pBdr>
              <w:spacing w:line="240" w:lineRule="auto"/>
              <w:ind w:left="0" w:hanging="2"/>
              <w:jc w:val="center"/>
              <w:rPr>
                <w:rFonts w:ascii="Arial" w:eastAsia="Arial" w:hAnsi="Arial" w:cs="Arial"/>
                <w:color w:val="000000"/>
                <w:sz w:val="22"/>
                <w:szCs w:val="22"/>
              </w:rPr>
            </w:pPr>
          </w:p>
        </w:tc>
      </w:tr>
      <w:tr w:rsidR="000F6B34" w14:paraId="1501283B" w14:textId="77777777">
        <w:tc>
          <w:tcPr>
            <w:tcW w:w="2088" w:type="dxa"/>
          </w:tcPr>
          <w:p w14:paraId="000000AB"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Registration</w:t>
            </w:r>
          </w:p>
        </w:tc>
        <w:tc>
          <w:tcPr>
            <w:tcW w:w="720" w:type="dxa"/>
          </w:tcPr>
          <w:p w14:paraId="000000AC"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23</w:t>
            </w:r>
          </w:p>
        </w:tc>
        <w:tc>
          <w:tcPr>
            <w:tcW w:w="11070" w:type="dxa"/>
          </w:tcPr>
          <w:p w14:paraId="000000AD"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Registration number and name of trial registry</w:t>
            </w:r>
          </w:p>
        </w:tc>
        <w:tc>
          <w:tcPr>
            <w:tcW w:w="1620" w:type="dxa"/>
            <w:tcBorders>
              <w:bottom w:val="single" w:sz="4" w:space="0" w:color="000000"/>
            </w:tcBorders>
            <w:vAlign w:val="center"/>
          </w:tcPr>
          <w:p w14:paraId="000000AE" w14:textId="1B52BA68" w:rsidR="000F6B34" w:rsidRDefault="005A5A62">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w:t>
            </w:r>
          </w:p>
        </w:tc>
      </w:tr>
      <w:tr w:rsidR="000F6B34" w14:paraId="6871215E" w14:textId="77777777">
        <w:tc>
          <w:tcPr>
            <w:tcW w:w="2088" w:type="dxa"/>
          </w:tcPr>
          <w:p w14:paraId="000000AF"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Protocol</w:t>
            </w:r>
          </w:p>
        </w:tc>
        <w:tc>
          <w:tcPr>
            <w:tcW w:w="720" w:type="dxa"/>
          </w:tcPr>
          <w:p w14:paraId="000000B0"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24</w:t>
            </w:r>
          </w:p>
        </w:tc>
        <w:tc>
          <w:tcPr>
            <w:tcW w:w="11070" w:type="dxa"/>
          </w:tcPr>
          <w:p w14:paraId="000000B1"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Where the full trial protocol can be accessed, if available</w:t>
            </w:r>
          </w:p>
        </w:tc>
        <w:tc>
          <w:tcPr>
            <w:tcW w:w="1620" w:type="dxa"/>
            <w:tcBorders>
              <w:top w:val="single" w:sz="4" w:space="0" w:color="000000"/>
              <w:bottom w:val="single" w:sz="4" w:space="0" w:color="000000"/>
            </w:tcBorders>
            <w:vAlign w:val="center"/>
          </w:tcPr>
          <w:p w14:paraId="000000B2" w14:textId="3564FF30" w:rsidR="000F6B34" w:rsidRPr="005A5A62" w:rsidRDefault="005A5A62">
            <w:pPr>
              <w:pBdr>
                <w:top w:val="nil"/>
                <w:left w:val="nil"/>
                <w:bottom w:val="nil"/>
                <w:right w:val="nil"/>
                <w:between w:val="nil"/>
              </w:pBdr>
              <w:spacing w:line="240" w:lineRule="auto"/>
              <w:ind w:left="0" w:hanging="2"/>
              <w:jc w:val="center"/>
              <w:rPr>
                <w:rFonts w:ascii="Arial" w:eastAsia="Arial" w:hAnsi="Arial" w:cs="Arial"/>
                <w:color w:val="000000"/>
                <w:sz w:val="22"/>
                <w:szCs w:val="22"/>
                <w:lang w:val="en-US" w:eastAsia="ko-KR"/>
              </w:rPr>
            </w:pPr>
            <w:r>
              <w:rPr>
                <w:rFonts w:ascii="Arial" w:eastAsia="Arial" w:hAnsi="Arial" w:cs="Arial"/>
                <w:sz w:val="22"/>
                <w:szCs w:val="22"/>
              </w:rPr>
              <w:t>supplemen</w:t>
            </w:r>
            <w:r w:rsidR="00692367">
              <w:rPr>
                <w:rFonts w:ascii="Arial" w:eastAsia="Arial" w:hAnsi="Arial" w:cs="Arial"/>
                <w:sz w:val="22"/>
                <w:szCs w:val="22"/>
              </w:rPr>
              <w:t>tal</w:t>
            </w:r>
            <w:r>
              <w:rPr>
                <w:rFonts w:ascii="Arial" w:eastAsia="Arial" w:hAnsi="Arial" w:cs="Arial"/>
                <w:sz w:val="22"/>
                <w:szCs w:val="22"/>
              </w:rPr>
              <w:t xml:space="preserve"> materials</w:t>
            </w:r>
          </w:p>
        </w:tc>
      </w:tr>
      <w:tr w:rsidR="000F6B34" w14:paraId="571A0D5B" w14:textId="77777777">
        <w:tc>
          <w:tcPr>
            <w:tcW w:w="2088" w:type="dxa"/>
            <w:tcBorders>
              <w:bottom w:val="single" w:sz="12" w:space="0" w:color="000000"/>
            </w:tcBorders>
          </w:tcPr>
          <w:p w14:paraId="000000B3"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Funding</w:t>
            </w:r>
          </w:p>
        </w:tc>
        <w:tc>
          <w:tcPr>
            <w:tcW w:w="720" w:type="dxa"/>
            <w:tcBorders>
              <w:bottom w:val="single" w:sz="12" w:space="0" w:color="000000"/>
            </w:tcBorders>
          </w:tcPr>
          <w:p w14:paraId="000000B4" w14:textId="77777777" w:rsidR="000F6B34" w:rsidRDefault="00C60D0E">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25</w:t>
            </w:r>
          </w:p>
        </w:tc>
        <w:tc>
          <w:tcPr>
            <w:tcW w:w="11070" w:type="dxa"/>
            <w:tcBorders>
              <w:bottom w:val="single" w:sz="12" w:space="0" w:color="000000"/>
            </w:tcBorders>
          </w:tcPr>
          <w:p w14:paraId="000000B5" w14:textId="77777777" w:rsidR="000F6B34" w:rsidRDefault="00C60D0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Sources of funding and other support (such as supply of drugs), role of funders</w:t>
            </w:r>
          </w:p>
        </w:tc>
        <w:tc>
          <w:tcPr>
            <w:tcW w:w="1620" w:type="dxa"/>
            <w:tcBorders>
              <w:top w:val="single" w:sz="4" w:space="0" w:color="000000"/>
              <w:bottom w:val="single" w:sz="12" w:space="0" w:color="000000"/>
            </w:tcBorders>
            <w:vAlign w:val="center"/>
          </w:tcPr>
          <w:p w14:paraId="000000B6" w14:textId="2E25909C" w:rsidR="000F6B34" w:rsidRDefault="005A5A62">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1</w:t>
            </w:r>
          </w:p>
        </w:tc>
      </w:tr>
    </w:tbl>
    <w:p w14:paraId="000000B7" w14:textId="77777777" w:rsidR="000F6B34" w:rsidRDefault="00C60D0E">
      <w:pPr>
        <w:pBdr>
          <w:top w:val="nil"/>
          <w:left w:val="nil"/>
          <w:bottom w:val="nil"/>
          <w:right w:val="nil"/>
          <w:between w:val="nil"/>
        </w:pBdr>
        <w:tabs>
          <w:tab w:val="left" w:pos="4830"/>
        </w:tabs>
        <w:spacing w:before="80"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Citation: Schulz KF, Altman DG, Moher D, for the CONSORT Group. CONSORT 2010 Statement: updated guidelines for reporting parallel group randomised trials. BMC Medicine. </w:t>
      </w:r>
      <w:proofErr w:type="gramStart"/>
      <w:r>
        <w:rPr>
          <w:rFonts w:ascii="Arial" w:eastAsia="Arial" w:hAnsi="Arial" w:cs="Arial"/>
          <w:color w:val="000000"/>
          <w:sz w:val="18"/>
          <w:szCs w:val="18"/>
        </w:rPr>
        <w:t>2010;8:18</w:t>
      </w:r>
      <w:proofErr w:type="gramEnd"/>
      <w:r>
        <w:rPr>
          <w:rFonts w:ascii="Arial" w:eastAsia="Arial" w:hAnsi="Arial" w:cs="Arial"/>
          <w:color w:val="000000"/>
          <w:sz w:val="18"/>
          <w:szCs w:val="18"/>
        </w:rPr>
        <w:t xml:space="preserve">. </w:t>
      </w:r>
      <w:r>
        <w:rPr>
          <w:rFonts w:ascii="Arial" w:eastAsia="Arial" w:hAnsi="Arial" w:cs="Arial"/>
          <w:color w:val="000000"/>
          <w:sz w:val="18"/>
          <w:szCs w:val="18"/>
        </w:rPr>
        <w:br/>
        <w:t>© 2010 Schulz et al. This is an Open Access article distributed under the terms of the Creative Commons Attribution License (</w:t>
      </w:r>
      <w:hyperlink r:id="rId9">
        <w:r>
          <w:rPr>
            <w:rFonts w:ascii="Arial" w:eastAsia="Arial" w:hAnsi="Arial" w:cs="Arial"/>
            <w:color w:val="0000FF"/>
            <w:sz w:val="18"/>
            <w:szCs w:val="18"/>
            <w:u w:val="single"/>
          </w:rPr>
          <w:t>http://creativecommons.org/licenses/by/2.0</w:t>
        </w:r>
      </w:hyperlink>
      <w:r>
        <w:rPr>
          <w:rFonts w:ascii="Arial" w:eastAsia="Arial" w:hAnsi="Arial" w:cs="Arial"/>
          <w:color w:val="000000"/>
          <w:sz w:val="18"/>
          <w:szCs w:val="18"/>
        </w:rPr>
        <w:t>), which permits unrestricted use, distribution, and reproduction in any medium, provided the original work is properly cited.</w:t>
      </w:r>
    </w:p>
    <w:p w14:paraId="000000B8" w14:textId="77777777" w:rsidR="000F6B34" w:rsidRDefault="00C60D0E">
      <w:pPr>
        <w:pBdr>
          <w:top w:val="nil"/>
          <w:left w:val="nil"/>
          <w:bottom w:val="nil"/>
          <w:right w:val="nil"/>
          <w:between w:val="nil"/>
        </w:pBdr>
        <w:tabs>
          <w:tab w:val="left" w:pos="4830"/>
        </w:tabs>
        <w:spacing w:before="80"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*We strongly recommend reading this statement in conjunction with the CONSORT 2010 Explanation and Elaboration for important clarifications on all the items. If relevant, we also recommend reading CONSORT extensions for cluster randomised trials, non-inferiority and equivalence trials, non-pharmacological treatments, herbal interventions, and pragmatic trials. Additional extensions are forthcoming: for those and for up-to-date references relevant to this checklist, see </w:t>
      </w:r>
      <w:hyperlink r:id="rId10">
        <w:r>
          <w:rPr>
            <w:rFonts w:ascii="Arial" w:eastAsia="Arial" w:hAnsi="Arial" w:cs="Arial"/>
            <w:color w:val="0000FF"/>
            <w:sz w:val="18"/>
            <w:szCs w:val="18"/>
            <w:u w:val="single"/>
          </w:rPr>
          <w:t>www.consort-statement.org</w:t>
        </w:r>
      </w:hyperlink>
      <w:r>
        <w:rPr>
          <w:rFonts w:ascii="Arial" w:eastAsia="Arial" w:hAnsi="Arial" w:cs="Arial"/>
          <w:color w:val="000000"/>
          <w:sz w:val="18"/>
          <w:szCs w:val="18"/>
        </w:rPr>
        <w:t>.</w:t>
      </w:r>
    </w:p>
    <w:sectPr w:rsidR="000F6B34">
      <w:footerReference w:type="even" r:id="rId11"/>
      <w:footerReference w:type="default" r:id="rId12"/>
      <w:pgSz w:w="16834" w:h="11909" w:orient="landscape"/>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C9078" w14:textId="77777777" w:rsidR="00487AEB" w:rsidRDefault="00487AEB">
      <w:pPr>
        <w:spacing w:line="240" w:lineRule="auto"/>
        <w:ind w:left="0" w:hanging="2"/>
      </w:pPr>
      <w:r>
        <w:separator/>
      </w:r>
    </w:p>
  </w:endnote>
  <w:endnote w:type="continuationSeparator" w:id="0">
    <w:p w14:paraId="3F1C827C" w14:textId="77777777" w:rsidR="00487AEB" w:rsidRDefault="00487AE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embedRegular r:id="rId1" w:fontKey="{36C85820-0420-E941-BA5A-6E430EBA86B2}"/>
    <w:embedBold r:id="rId2" w:fontKey="{5725E322-5CFB-BD4D-B7AE-3511624F5E75}"/>
    <w:embedItalic r:id="rId3" w:fontKey="{FBD9FCFF-2C35-0D48-9361-F0C75EB7A55F}"/>
    <w:embedBoldItalic r:id="rId4" w:fontKey="{BE3CF3C2-3D61-034C-A39A-F3EBBDCF4A15}"/>
  </w:font>
  <w:font w:name="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embedRegular r:id="rId5" w:fontKey="{9DFE08F7-494B-CD48-A85E-FE0437850EA3}"/>
    <w:embedBold r:id="rId6" w:fontKey="{B7CE04E7-5FAB-4A49-9CA8-8E383F8D3397}"/>
    <w:embedItalic r:id="rId7" w:fontKey="{0F369E6E-E739-9D46-80C5-1B99A4EEB353}"/>
    <w:embedBoldItalic r:id="rId8" w:fontKey="{8CD80945-DC74-4844-A6BA-FA173C2501FE}"/>
  </w:font>
  <w:font w:name="Tahoma">
    <w:panose1 w:val="020B0604030504040204"/>
    <w:charset w:val="00"/>
    <w:family w:val="swiss"/>
    <w:pitch w:val="variable"/>
    <w:sig w:usb0="00000003" w:usb1="00000000" w:usb2="00000000" w:usb3="00000000" w:csb0="00000001" w:csb1="00000000"/>
    <w:embedRegular r:id="rId9" w:fontKey="{26613D39-8365-434F-BDAD-3706074A18D5}"/>
  </w:font>
  <w:font w:name="Courier New">
    <w:panose1 w:val="02070309020205020404"/>
    <w:charset w:val="00"/>
    <w:family w:val="modern"/>
    <w:pitch w:val="fixed"/>
    <w:sig w:usb0="E0002AFF" w:usb1="C0007843" w:usb2="00000009" w:usb3="00000000" w:csb0="000001FF" w:csb1="00000000"/>
    <w:embedRegular r:id="rId10" w:fontKey="{8A181F1D-0B86-5344-A586-E27DB2C98D76}"/>
  </w:font>
  <w:font w:name="Georgia">
    <w:panose1 w:val="02040502050405020303"/>
    <w:charset w:val="00"/>
    <w:family w:val="roman"/>
    <w:pitch w:val="variable"/>
    <w:sig w:usb0="00000287" w:usb1="00000000" w:usb2="00000000" w:usb3="00000000" w:csb0="0000009F" w:csb1="00000000"/>
    <w:embedItalic r:id="rId11" w:fontKey="{3B3C80E1-8213-1343-B703-8F41681D06B5}"/>
  </w:font>
  <w:font w:name="Cambria">
    <w:panose1 w:val="02040503050406030204"/>
    <w:charset w:val="00"/>
    <w:family w:val="roman"/>
    <w:pitch w:val="variable"/>
    <w:sig w:usb0="A00002EF" w:usb1="4000004B" w:usb2="00000000" w:usb3="00000000" w:csb0="0000009F" w:csb1="00000000"/>
    <w:embedRegular r:id="rId12" w:fontKey="{AE757A5C-C58E-D040-831A-7F48AEC70B16}"/>
    <w:embedBold r:id="rId13" w:fontKey="{8D88EEA4-9528-B94D-A239-75074EE4A735}"/>
  </w:font>
  <w:font w:name="Calibri">
    <w:panose1 w:val="020F0502020204030204"/>
    <w:charset w:val="00"/>
    <w:family w:val="swiss"/>
    <w:pitch w:val="variable"/>
    <w:sig w:usb0="A00002EF" w:usb1="4000207B" w:usb2="00000000" w:usb3="00000000" w:csb0="0000009F" w:csb1="00000000"/>
    <w:embedRegular r:id="rId14" w:fontKey="{F20C9C87-A743-2741-8BFC-39D182F704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9" w14:textId="77777777" w:rsidR="000F6B34" w:rsidRDefault="00C60D0E">
    <w:pPr>
      <w:pBdr>
        <w:top w:val="nil"/>
        <w:left w:val="nil"/>
        <w:bottom w:val="nil"/>
        <w:right w:val="nil"/>
        <w:between w:val="nil"/>
      </w:pBdr>
      <w:tabs>
        <w:tab w:val="center" w:pos="4153"/>
        <w:tab w:val="right" w:pos="8306"/>
      </w:tabs>
      <w:spacing w:line="240" w:lineRule="auto"/>
      <w:ind w:left="0" w:hanging="2"/>
      <w:jc w:val="right"/>
      <w:rPr>
        <w:rFonts w:ascii="Arial" w:eastAsia="Arial" w:hAnsi="Arial" w:cs="Arial"/>
        <w:color w:val="000000"/>
        <w:sz w:val="20"/>
      </w:rPr>
    </w:pPr>
    <w:r>
      <w:rPr>
        <w:rFonts w:ascii="Arial" w:eastAsia="Arial" w:hAnsi="Arial" w:cs="Arial"/>
        <w:color w:val="000000"/>
        <w:sz w:val="20"/>
      </w:rPr>
      <w:fldChar w:fldCharType="begin"/>
    </w:r>
    <w:r>
      <w:rPr>
        <w:rFonts w:ascii="Arial" w:eastAsia="Arial" w:hAnsi="Arial" w:cs="Arial"/>
        <w:color w:val="000000"/>
        <w:sz w:val="20"/>
      </w:rPr>
      <w:instrText>PAGE</w:instrText>
    </w:r>
    <w:r w:rsidR="00487AEB">
      <w:rPr>
        <w:rFonts w:ascii="Arial" w:eastAsia="Arial" w:hAnsi="Arial" w:cs="Arial"/>
        <w:color w:val="000000"/>
        <w:sz w:val="20"/>
      </w:rPr>
      <w:fldChar w:fldCharType="separate"/>
    </w:r>
    <w:r>
      <w:rPr>
        <w:rFonts w:ascii="Arial" w:eastAsia="Arial" w:hAnsi="Arial" w:cs="Arial"/>
        <w:color w:val="000000"/>
        <w:sz w:val="20"/>
      </w:rPr>
      <w:fldChar w:fldCharType="end"/>
    </w:r>
  </w:p>
  <w:p w14:paraId="000000BA" w14:textId="77777777" w:rsidR="000F6B34" w:rsidRDefault="000F6B34">
    <w:pPr>
      <w:pBdr>
        <w:top w:val="nil"/>
        <w:left w:val="nil"/>
        <w:bottom w:val="nil"/>
        <w:right w:val="nil"/>
        <w:between w:val="nil"/>
      </w:pBdr>
      <w:tabs>
        <w:tab w:val="center" w:pos="4153"/>
        <w:tab w:val="right" w:pos="8306"/>
      </w:tabs>
      <w:spacing w:line="240" w:lineRule="auto"/>
      <w:ind w:left="0" w:right="360" w:hanging="2"/>
      <w:rPr>
        <w:rFonts w:ascii="Arial" w:eastAsia="Arial" w:hAnsi="Arial" w:cs="Arial"/>
        <w:color w:val="00000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B" w14:textId="1A1A5686" w:rsidR="000F6B34" w:rsidRDefault="00C60D0E">
    <w:pPr>
      <w:pBdr>
        <w:top w:val="single" w:sz="4" w:space="1" w:color="000000"/>
        <w:left w:val="nil"/>
        <w:bottom w:val="nil"/>
        <w:right w:val="nil"/>
        <w:between w:val="nil"/>
      </w:pBdr>
      <w:tabs>
        <w:tab w:val="center" w:pos="4153"/>
        <w:tab w:val="right" w:pos="8306"/>
        <w:tab w:val="right" w:pos="15390"/>
      </w:tabs>
      <w:spacing w:line="240" w:lineRule="auto"/>
      <w:ind w:left="0" w:hanging="2"/>
      <w:rPr>
        <w:rFonts w:ascii="Arial" w:eastAsia="Arial" w:hAnsi="Arial" w:cs="Arial"/>
        <w:color w:val="000000"/>
        <w:sz w:val="16"/>
        <w:szCs w:val="16"/>
      </w:rPr>
    </w:pPr>
    <w:r>
      <w:rPr>
        <w:rFonts w:ascii="Arial" w:eastAsia="Arial" w:hAnsi="Arial" w:cs="Arial"/>
        <w:i/>
        <w:iCs/>
        <w:color w:val="000000"/>
        <w:sz w:val="16"/>
        <w:szCs w:val="16"/>
      </w:rPr>
      <w:t xml:space="preserve">CONSORT 2010 checklist </w:t>
    </w:r>
    <w:r>
      <w:rPr>
        <w:rFonts w:ascii="Arial" w:eastAsia="Arial" w:hAnsi="Arial" w:cs="Arial"/>
        <w:i/>
        <w:iCs/>
        <w:color w:val="000000"/>
        <w:sz w:val="16"/>
        <w:szCs w:val="16"/>
      </w:rPr>
      <w:tab/>
      <w:t xml:space="preserve">Page </w:t>
    </w:r>
    <w:r>
      <w:rPr>
        <w:rFonts w:ascii="Arial" w:eastAsia="Arial" w:hAnsi="Arial" w:cs="Arial"/>
        <w:i/>
        <w:iCs/>
        <w:color w:val="000000"/>
        <w:sz w:val="16"/>
        <w:szCs w:val="16"/>
      </w:rPr>
      <w:fldChar w:fldCharType="begin"/>
    </w:r>
    <w:r>
      <w:rPr>
        <w:rFonts w:ascii="Arial" w:eastAsia="Arial" w:hAnsi="Arial" w:cs="Arial"/>
        <w:i/>
        <w:iCs/>
        <w:color w:val="000000"/>
        <w:sz w:val="16"/>
        <w:szCs w:val="16"/>
      </w:rPr>
      <w:instrText>PAGE</w:instrText>
    </w:r>
    <w:r>
      <w:rPr>
        <w:rFonts w:ascii="Arial" w:eastAsia="Arial" w:hAnsi="Arial" w:cs="Arial"/>
        <w:i/>
        <w:iCs/>
        <w:color w:val="000000"/>
        <w:sz w:val="16"/>
        <w:szCs w:val="16"/>
      </w:rPr>
      <w:fldChar w:fldCharType="separate"/>
    </w:r>
    <w:r w:rsidR="00BC681E">
      <w:rPr>
        <w:rFonts w:ascii="Arial" w:eastAsia="Arial" w:hAnsi="Arial" w:cs="Arial"/>
        <w:i/>
        <w:iCs/>
        <w:noProof/>
        <w:color w:val="000000"/>
        <w:sz w:val="16"/>
        <w:szCs w:val="16"/>
      </w:rPr>
      <w:t>1</w:t>
    </w:r>
    <w:r>
      <w:rPr>
        <w:rFonts w:ascii="Arial" w:eastAsia="Arial" w:hAnsi="Arial" w:cs="Arial"/>
        <w:i/>
        <w:iCs/>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2B1CB" w14:textId="77777777" w:rsidR="00487AEB" w:rsidRDefault="00487AEB">
      <w:pPr>
        <w:spacing w:line="240" w:lineRule="auto"/>
        <w:ind w:left="0" w:hanging="2"/>
      </w:pPr>
      <w:r>
        <w:separator/>
      </w:r>
    </w:p>
  </w:footnote>
  <w:footnote w:type="continuationSeparator" w:id="0">
    <w:p w14:paraId="3402EEAB" w14:textId="77777777" w:rsidR="00487AEB" w:rsidRDefault="00487AEB">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72E3B"/>
    <w:multiLevelType w:val="multilevel"/>
    <w:tmpl w:val="A98ABD40"/>
    <w:lvl w:ilvl="0">
      <w:start w:val="1"/>
      <w:numFmt w:val="decimal"/>
      <w:pStyle w:val="Address"/>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bordersDoNotSurroundHeader/>
  <w:bordersDoNotSurroundFooter/>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B34"/>
    <w:rsid w:val="000F6B34"/>
    <w:rsid w:val="00487AEB"/>
    <w:rsid w:val="005A5A62"/>
    <w:rsid w:val="00692367"/>
    <w:rsid w:val="00BC681E"/>
    <w:rsid w:val="00C60D0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7F7618CF"/>
  <w15:docId w15:val="{8FAB72BA-616F-494E-A238-AA70F565D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300" w:lineRule="atLeast"/>
      <w:ind w:leftChars="-1" w:left="-1" w:hangingChars="1" w:hanging="1"/>
      <w:textDirection w:val="btLr"/>
      <w:textAlignment w:val="top"/>
      <w:outlineLvl w:val="0"/>
    </w:pPr>
    <w:rPr>
      <w:position w:val="-1"/>
      <w:sz w:val="24"/>
      <w:lang w:eastAsia="en-US"/>
    </w:rPr>
  </w:style>
  <w:style w:type="paragraph" w:styleId="1">
    <w:name w:val="heading 1"/>
    <w:basedOn w:val="a"/>
    <w:next w:val="a"/>
    <w:uiPriority w:val="9"/>
    <w:qFormat/>
    <w:pPr>
      <w:keepNext/>
      <w:spacing w:before="240" w:after="60"/>
    </w:pPr>
    <w:rPr>
      <w:rFonts w:ascii="Arial" w:hAnsi="Arial"/>
      <w:b/>
      <w:bCs/>
      <w:kern w:val="32"/>
      <w:sz w:val="32"/>
      <w:szCs w:val="32"/>
    </w:rPr>
  </w:style>
  <w:style w:type="paragraph" w:styleId="2">
    <w:name w:val="heading 2"/>
    <w:basedOn w:val="a"/>
    <w:next w:val="a"/>
    <w:uiPriority w:val="9"/>
    <w:semiHidden/>
    <w:unhideWhenUsed/>
    <w:qFormat/>
    <w:pPr>
      <w:keepNext/>
      <w:numPr>
        <w:ilvl w:val="1"/>
        <w:numId w:val="1"/>
      </w:numPr>
      <w:spacing w:before="240" w:after="60" w:line="240" w:lineRule="auto"/>
      <w:ind w:left="-1" w:hanging="1"/>
      <w:outlineLvl w:val="1"/>
    </w:pPr>
    <w:rPr>
      <w:rFonts w:ascii="Arial" w:hAnsi="Arial"/>
      <w:b/>
      <w:i/>
    </w:rPr>
  </w:style>
  <w:style w:type="paragraph" w:styleId="3">
    <w:name w:val="heading 3"/>
    <w:basedOn w:val="a"/>
    <w:next w:val="a"/>
    <w:uiPriority w:val="9"/>
    <w:semiHidden/>
    <w:unhideWhenUsed/>
    <w:qFormat/>
    <w:pPr>
      <w:keepNext/>
      <w:numPr>
        <w:ilvl w:val="2"/>
        <w:numId w:val="1"/>
      </w:numPr>
      <w:spacing w:before="240" w:after="60" w:line="240" w:lineRule="auto"/>
      <w:ind w:left="-1" w:hanging="1"/>
      <w:outlineLvl w:val="2"/>
    </w:pPr>
    <w:rPr>
      <w:rFonts w:ascii="Arial" w:hAnsi="Arial"/>
    </w:rPr>
  </w:style>
  <w:style w:type="paragraph" w:styleId="4">
    <w:name w:val="heading 4"/>
    <w:basedOn w:val="a"/>
    <w:next w:val="a"/>
    <w:uiPriority w:val="9"/>
    <w:semiHidden/>
    <w:unhideWhenUsed/>
    <w:qFormat/>
    <w:pPr>
      <w:keepNext/>
      <w:numPr>
        <w:ilvl w:val="3"/>
        <w:numId w:val="1"/>
      </w:numPr>
      <w:spacing w:before="240" w:after="60" w:line="240" w:lineRule="auto"/>
      <w:ind w:left="-1" w:hanging="1"/>
      <w:outlineLvl w:val="3"/>
    </w:pPr>
    <w:rPr>
      <w:rFonts w:ascii="Arial" w:hAnsi="Arial"/>
      <w:b/>
    </w:rPr>
  </w:style>
  <w:style w:type="paragraph" w:styleId="5">
    <w:name w:val="heading 5"/>
    <w:basedOn w:val="a"/>
    <w:next w:val="a"/>
    <w:uiPriority w:val="9"/>
    <w:semiHidden/>
    <w:unhideWhenUsed/>
    <w:qFormat/>
    <w:pPr>
      <w:numPr>
        <w:ilvl w:val="4"/>
        <w:numId w:val="1"/>
      </w:numPr>
      <w:spacing w:before="240" w:after="60" w:line="240" w:lineRule="auto"/>
      <w:ind w:left="-1" w:hanging="1"/>
      <w:outlineLvl w:val="4"/>
    </w:pPr>
    <w:rPr>
      <w:sz w:val="22"/>
    </w:rPr>
  </w:style>
  <w:style w:type="paragraph" w:styleId="6">
    <w:name w:val="heading 6"/>
    <w:basedOn w:val="a"/>
    <w:next w:val="a"/>
    <w:uiPriority w:val="9"/>
    <w:semiHidden/>
    <w:unhideWhenUsed/>
    <w:qFormat/>
    <w:pPr>
      <w:numPr>
        <w:ilvl w:val="5"/>
        <w:numId w:val="1"/>
      </w:numPr>
      <w:spacing w:before="240" w:after="60" w:line="240" w:lineRule="auto"/>
      <w:ind w:left="-1" w:hanging="1"/>
      <w:outlineLvl w:val="5"/>
    </w:pPr>
    <w:rPr>
      <w:i/>
      <w:sz w:val="22"/>
    </w:rPr>
  </w:style>
  <w:style w:type="paragraph" w:styleId="7">
    <w:name w:val="heading 7"/>
    <w:basedOn w:val="a"/>
    <w:next w:val="a"/>
    <w:pPr>
      <w:numPr>
        <w:ilvl w:val="6"/>
        <w:numId w:val="1"/>
      </w:numPr>
      <w:spacing w:before="240" w:after="60" w:line="240" w:lineRule="auto"/>
      <w:ind w:left="-1" w:hanging="1"/>
      <w:outlineLvl w:val="6"/>
    </w:pPr>
    <w:rPr>
      <w:rFonts w:ascii="Arial" w:hAnsi="Arial"/>
      <w:sz w:val="20"/>
    </w:rPr>
  </w:style>
  <w:style w:type="paragraph" w:styleId="8">
    <w:name w:val="heading 8"/>
    <w:basedOn w:val="a"/>
    <w:next w:val="a"/>
    <w:pPr>
      <w:numPr>
        <w:ilvl w:val="7"/>
        <w:numId w:val="1"/>
      </w:numPr>
      <w:spacing w:before="240" w:after="60" w:line="240" w:lineRule="auto"/>
      <w:ind w:left="-1" w:hanging="1"/>
      <w:outlineLvl w:val="7"/>
    </w:pPr>
    <w:rPr>
      <w:rFonts w:ascii="Arial" w:hAnsi="Arial"/>
      <w:i/>
      <w:sz w:val="20"/>
    </w:rPr>
  </w:style>
  <w:style w:type="paragraph" w:styleId="9">
    <w:name w:val="heading 9"/>
    <w:basedOn w:val="a"/>
    <w:next w:val="a"/>
    <w:pPr>
      <w:numPr>
        <w:ilvl w:val="8"/>
        <w:numId w:val="1"/>
      </w:numPr>
      <w:spacing w:before="240" w:after="60" w:line="240" w:lineRule="auto"/>
      <w:ind w:left="-1" w:hanging="1"/>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uiPriority w:val="10"/>
    <w:qFormat/>
    <w:pPr>
      <w:spacing w:before="60" w:after="60"/>
    </w:pPr>
    <w:rPr>
      <w:b/>
      <w:sz w:val="28"/>
    </w:rPr>
  </w:style>
  <w:style w:type="paragraph" w:styleId="a4">
    <w:name w:val="Body Text Indent"/>
    <w:basedOn w:val="a"/>
    <w:pPr>
      <w:spacing w:after="120"/>
      <w:ind w:left="283"/>
    </w:pPr>
  </w:style>
  <w:style w:type="paragraph" w:styleId="a5">
    <w:name w:val="Balloon Text"/>
    <w:basedOn w:val="a"/>
    <w:rPr>
      <w:rFonts w:ascii="Tahoma" w:hAnsi="Tahoma" w:cs="Tahoma"/>
      <w:sz w:val="16"/>
      <w:szCs w:val="16"/>
    </w:rPr>
  </w:style>
  <w:style w:type="paragraph" w:styleId="a6">
    <w:name w:val="footer"/>
    <w:basedOn w:val="a"/>
    <w:pPr>
      <w:tabs>
        <w:tab w:val="center" w:pos="4153"/>
        <w:tab w:val="right" w:pos="8306"/>
      </w:tabs>
      <w:spacing w:line="240" w:lineRule="auto"/>
    </w:pPr>
    <w:rPr>
      <w:rFonts w:ascii="Arial" w:hAnsi="Arial"/>
      <w:sz w:val="20"/>
    </w:rPr>
  </w:style>
  <w:style w:type="character" w:styleId="a7">
    <w:name w:val="page number"/>
    <w:basedOn w:val="a0"/>
    <w:rPr>
      <w:w w:val="100"/>
      <w:position w:val="-1"/>
      <w:effect w:val="none"/>
      <w:vertAlign w:val="baseline"/>
      <w:cs w:val="0"/>
      <w:em w:val="none"/>
    </w:rPr>
  </w:style>
  <w:style w:type="paragraph" w:styleId="a8">
    <w:name w:val="header"/>
    <w:basedOn w:val="a"/>
    <w:pPr>
      <w:tabs>
        <w:tab w:val="center" w:pos="4153"/>
        <w:tab w:val="right" w:pos="8306"/>
      </w:tabs>
      <w:spacing w:line="240" w:lineRule="auto"/>
    </w:pPr>
    <w:rPr>
      <w:sz w:val="18"/>
    </w:rPr>
  </w:style>
  <w:style w:type="paragraph" w:styleId="a9">
    <w:name w:val="footnote text"/>
    <w:basedOn w:val="a"/>
    <w:pPr>
      <w:spacing w:line="240" w:lineRule="auto"/>
    </w:pPr>
    <w:rPr>
      <w:sz w:val="20"/>
    </w:rPr>
  </w:style>
  <w:style w:type="paragraph" w:customStyle="1" w:styleId="ArtGroupTitle">
    <w:name w:val="ArtGroupTitle"/>
    <w:basedOn w:val="a3"/>
    <w:next w:val="a3"/>
  </w:style>
  <w:style w:type="paragraph" w:styleId="aa">
    <w:name w:val="Plain Text"/>
    <w:basedOn w:val="a"/>
    <w:rPr>
      <w:rFonts w:ascii="Courier New" w:hAnsi="Courier New"/>
      <w:sz w:val="20"/>
    </w:rPr>
  </w:style>
  <w:style w:type="paragraph" w:customStyle="1" w:styleId="Abbreviations">
    <w:name w:val="Abbreviations"/>
    <w:basedOn w:val="a"/>
    <w:pPr>
      <w:spacing w:line="240" w:lineRule="auto"/>
    </w:pPr>
  </w:style>
  <w:style w:type="paragraph" w:customStyle="1" w:styleId="AbstractPara">
    <w:name w:val="AbstractPara"/>
    <w:basedOn w:val="a"/>
    <w:pPr>
      <w:spacing w:line="240" w:lineRule="auto"/>
    </w:pPr>
  </w:style>
  <w:style w:type="paragraph" w:customStyle="1" w:styleId="AbstractTitle">
    <w:name w:val="AbstractTitle"/>
    <w:basedOn w:val="a"/>
    <w:next w:val="AbstractPara"/>
    <w:pPr>
      <w:spacing w:before="120" w:line="240" w:lineRule="atLeast"/>
      <w:outlineLvl w:val="1"/>
    </w:pPr>
    <w:rPr>
      <w:b/>
      <w:sz w:val="26"/>
    </w:rPr>
  </w:style>
  <w:style w:type="paragraph" w:customStyle="1" w:styleId="Accepted">
    <w:name w:val="Accepted"/>
    <w:basedOn w:val="a"/>
    <w:pPr>
      <w:spacing w:before="120" w:line="240" w:lineRule="atLeast"/>
    </w:pPr>
  </w:style>
  <w:style w:type="paragraph" w:customStyle="1" w:styleId="Acknowledge">
    <w:name w:val="Acknowledge"/>
    <w:basedOn w:val="a"/>
    <w:pPr>
      <w:spacing w:line="240" w:lineRule="auto"/>
    </w:pPr>
  </w:style>
  <w:style w:type="paragraph" w:customStyle="1" w:styleId="Address">
    <w:name w:val="Address"/>
    <w:basedOn w:val="a"/>
    <w:pPr>
      <w:numPr>
        <w:numId w:val="2"/>
      </w:numPr>
      <w:spacing w:before="120" w:after="40" w:line="240" w:lineRule="auto"/>
      <w:ind w:left="-1" w:hanging="1"/>
    </w:pPr>
  </w:style>
  <w:style w:type="paragraph" w:customStyle="1" w:styleId="Author">
    <w:name w:val="Author"/>
    <w:basedOn w:val="a"/>
    <w:next w:val="a"/>
    <w:pPr>
      <w:spacing w:before="80" w:line="240" w:lineRule="auto"/>
    </w:pPr>
  </w:style>
  <w:style w:type="paragraph" w:customStyle="1" w:styleId="AuthoredBy">
    <w:name w:val="AuthoredBy"/>
    <w:basedOn w:val="a"/>
    <w:pPr>
      <w:spacing w:line="240" w:lineRule="auto"/>
    </w:pPr>
  </w:style>
  <w:style w:type="paragraph" w:customStyle="1" w:styleId="Banner">
    <w:name w:val="Banner"/>
    <w:basedOn w:val="a"/>
    <w:pPr>
      <w:spacing w:before="120" w:line="280" w:lineRule="atLeast"/>
    </w:pPr>
    <w:rPr>
      <w:i/>
      <w:sz w:val="28"/>
    </w:rPr>
  </w:style>
  <w:style w:type="paragraph" w:customStyle="1" w:styleId="BoxEnd">
    <w:name w:val="BoxEnd"/>
    <w:basedOn w:val="a"/>
    <w:pPr>
      <w:pBdr>
        <w:bottom w:val="single" w:sz="12" w:space="1" w:color="auto"/>
        <w:right w:val="single" w:sz="12" w:space="1" w:color="auto"/>
      </w:pBdr>
      <w:spacing w:after="120" w:line="240" w:lineRule="auto"/>
    </w:pPr>
  </w:style>
  <w:style w:type="paragraph" w:customStyle="1" w:styleId="BoxStart1">
    <w:name w:val="BoxStart1"/>
    <w:basedOn w:val="a"/>
    <w:pPr>
      <w:pBdr>
        <w:top w:val="single" w:sz="12" w:space="1" w:color="auto"/>
        <w:left w:val="single" w:sz="12" w:space="1" w:color="auto"/>
      </w:pBdr>
      <w:spacing w:line="240" w:lineRule="auto"/>
    </w:pPr>
  </w:style>
  <w:style w:type="paragraph" w:customStyle="1" w:styleId="BoxStart2">
    <w:name w:val="BoxStart2"/>
    <w:basedOn w:val="BoxStart1"/>
  </w:style>
  <w:style w:type="paragraph" w:customStyle="1" w:styleId="BoxStart3">
    <w:name w:val="BoxStart3"/>
    <w:basedOn w:val="BoxStart1"/>
  </w:style>
  <w:style w:type="paragraph" w:styleId="ab">
    <w:name w:val="caption"/>
    <w:basedOn w:val="a"/>
    <w:next w:val="a"/>
    <w:pPr>
      <w:spacing w:before="120" w:after="120" w:line="240" w:lineRule="auto"/>
    </w:pPr>
    <w:rPr>
      <w:b/>
      <w:sz w:val="20"/>
    </w:rPr>
  </w:style>
  <w:style w:type="paragraph" w:styleId="ac">
    <w:name w:val="annotation text"/>
    <w:basedOn w:val="a"/>
    <w:pPr>
      <w:spacing w:line="240" w:lineRule="auto"/>
    </w:pPr>
    <w:rPr>
      <w:sz w:val="20"/>
    </w:rPr>
  </w:style>
  <w:style w:type="paragraph" w:styleId="ad">
    <w:name w:val="Block Text"/>
    <w:basedOn w:val="a"/>
    <w:pPr>
      <w:spacing w:after="120"/>
      <w:ind w:left="1440" w:right="1440"/>
    </w:pPr>
  </w:style>
  <w:style w:type="paragraph" w:customStyle="1" w:styleId="Conflict">
    <w:name w:val="Conflict"/>
    <w:basedOn w:val="a"/>
    <w:pPr>
      <w:spacing w:before="120" w:after="120" w:line="240" w:lineRule="auto"/>
    </w:pPr>
  </w:style>
  <w:style w:type="paragraph" w:customStyle="1" w:styleId="Correspdent">
    <w:name w:val="Correspdent"/>
    <w:basedOn w:val="a"/>
    <w:pPr>
      <w:spacing w:line="240" w:lineRule="auto"/>
    </w:pPr>
  </w:style>
  <w:style w:type="paragraph" w:customStyle="1" w:styleId="Credit">
    <w:name w:val="Credit"/>
    <w:basedOn w:val="ab"/>
    <w:rPr>
      <w:sz w:val="18"/>
    </w:rPr>
  </w:style>
  <w:style w:type="paragraph" w:styleId="ae">
    <w:name w:val="Date"/>
    <w:basedOn w:val="a"/>
    <w:next w:val="a"/>
    <w:pPr>
      <w:spacing w:line="240" w:lineRule="auto"/>
    </w:pPr>
  </w:style>
  <w:style w:type="paragraph" w:customStyle="1" w:styleId="Article">
    <w:name w:val="Article"/>
    <w:basedOn w:val="a"/>
    <w:pPr>
      <w:keepNext/>
      <w:suppressAutoHyphens w:val="0"/>
      <w:spacing w:before="120" w:after="60" w:line="240" w:lineRule="auto"/>
    </w:pPr>
    <w:rPr>
      <w:rFonts w:ascii="Arial" w:hAnsi="Arial"/>
      <w:b/>
      <w:noProof/>
      <w:sz w:val="18"/>
    </w:rPr>
  </w:style>
  <w:style w:type="paragraph" w:customStyle="1" w:styleId="Para">
    <w:name w:val="Para"/>
    <w:basedOn w:val="a"/>
    <w:pPr>
      <w:spacing w:line="360" w:lineRule="auto"/>
      <w:ind w:firstLine="288"/>
    </w:pPr>
  </w:style>
  <w:style w:type="paragraph" w:customStyle="1" w:styleId="EdFtNote">
    <w:name w:val="EdFtNote"/>
    <w:basedOn w:val="Para"/>
    <w:pPr>
      <w:spacing w:before="60"/>
      <w:ind w:firstLine="0"/>
    </w:pPr>
  </w:style>
  <w:style w:type="paragraph" w:styleId="af">
    <w:name w:val="Body Text"/>
    <w:basedOn w:val="a"/>
    <w:pPr>
      <w:spacing w:after="120"/>
    </w:pPr>
  </w:style>
  <w:style w:type="character" w:styleId="af0">
    <w:name w:val="endnote reference"/>
    <w:rPr>
      <w:w w:val="100"/>
      <w:position w:val="-1"/>
      <w:effect w:val="none"/>
      <w:vertAlign w:val="superscript"/>
      <w:cs w:val="0"/>
      <w:em w:val="none"/>
    </w:rPr>
  </w:style>
  <w:style w:type="paragraph" w:styleId="af1">
    <w:name w:val="endnote text"/>
    <w:basedOn w:val="a"/>
    <w:pPr>
      <w:spacing w:line="240" w:lineRule="auto"/>
    </w:pPr>
    <w:rPr>
      <w:sz w:val="20"/>
    </w:rPr>
  </w:style>
  <w:style w:type="paragraph" w:customStyle="1" w:styleId="IndentQuote">
    <w:name w:val="IndentQuote"/>
    <w:basedOn w:val="a"/>
    <w:pPr>
      <w:spacing w:before="60" w:line="240" w:lineRule="atLeast"/>
      <w:ind w:left="288" w:right="288"/>
    </w:pPr>
  </w:style>
  <w:style w:type="paragraph" w:customStyle="1" w:styleId="Epigraph">
    <w:name w:val="Epigraph"/>
    <w:basedOn w:val="IndentQuote"/>
  </w:style>
  <w:style w:type="paragraph" w:customStyle="1" w:styleId="Equation">
    <w:name w:val="Equation"/>
    <w:basedOn w:val="a"/>
    <w:pPr>
      <w:spacing w:line="240" w:lineRule="auto"/>
    </w:pPr>
    <w:rPr>
      <w:b/>
      <w:i/>
    </w:rPr>
  </w:style>
  <w:style w:type="paragraph" w:customStyle="1" w:styleId="FigLeg">
    <w:name w:val="FigLeg"/>
    <w:basedOn w:val="a"/>
    <w:pPr>
      <w:spacing w:line="240" w:lineRule="auto"/>
    </w:pPr>
  </w:style>
  <w:style w:type="paragraph" w:customStyle="1" w:styleId="Figure">
    <w:name w:val="Figure"/>
    <w:basedOn w:val="a"/>
    <w:pPr>
      <w:tabs>
        <w:tab w:val="left" w:pos="720"/>
      </w:tabs>
    </w:pPr>
    <w:rPr>
      <w:b/>
    </w:rPr>
  </w:style>
  <w:style w:type="character" w:customStyle="1" w:styleId="FigureRef">
    <w:name w:val="FigureRef"/>
    <w:rPr>
      <w:color w:val="0000FF"/>
      <w:w w:val="100"/>
      <w:position w:val="-1"/>
      <w:effect w:val="none"/>
      <w:vertAlign w:val="superscript"/>
      <w:cs w:val="0"/>
      <w:em w:val="none"/>
    </w:rPr>
  </w:style>
  <w:style w:type="character" w:customStyle="1" w:styleId="FnoteRef">
    <w:name w:val="FnoteRef"/>
    <w:rPr>
      <w:color w:val="FF0000"/>
      <w:w w:val="100"/>
      <w:position w:val="-1"/>
      <w:effect w:val="none"/>
      <w:vertAlign w:val="superscript"/>
      <w:cs w:val="0"/>
      <w:em w:val="none"/>
    </w:rPr>
  </w:style>
  <w:style w:type="paragraph" w:customStyle="1" w:styleId="Footnote">
    <w:name w:val="Footnote"/>
    <w:basedOn w:val="a"/>
    <w:pPr>
      <w:spacing w:line="240" w:lineRule="auto"/>
    </w:pPr>
  </w:style>
  <w:style w:type="character" w:styleId="af2">
    <w:name w:val="footnote reference"/>
    <w:rPr>
      <w:w w:val="100"/>
      <w:position w:val="-1"/>
      <w:effect w:val="none"/>
      <w:vertAlign w:val="superscript"/>
      <w:cs w:val="0"/>
      <w:em w:val="none"/>
    </w:rPr>
  </w:style>
  <w:style w:type="paragraph" w:customStyle="1" w:styleId="Funding">
    <w:name w:val="Funding"/>
    <w:basedOn w:val="a"/>
    <w:pPr>
      <w:spacing w:after="120" w:line="240" w:lineRule="auto"/>
    </w:pPr>
  </w:style>
  <w:style w:type="paragraph" w:customStyle="1" w:styleId="GroupTitle">
    <w:name w:val="GroupTitle"/>
    <w:basedOn w:val="a3"/>
    <w:next w:val="a3"/>
  </w:style>
  <w:style w:type="paragraph" w:customStyle="1" w:styleId="HeadA">
    <w:name w:val="HeadA"/>
    <w:basedOn w:val="a"/>
    <w:pPr>
      <w:keepNext/>
      <w:suppressAutoHyphens w:val="0"/>
      <w:spacing w:before="120" w:line="280" w:lineRule="atLeast"/>
      <w:outlineLvl w:val="1"/>
    </w:pPr>
    <w:rPr>
      <w:b/>
    </w:rPr>
  </w:style>
  <w:style w:type="paragraph" w:customStyle="1" w:styleId="HeadB">
    <w:name w:val="HeadB"/>
    <w:basedOn w:val="a"/>
    <w:pPr>
      <w:keepNext/>
      <w:suppressAutoHyphens w:val="0"/>
      <w:spacing w:before="60" w:line="280" w:lineRule="atLeast"/>
      <w:outlineLvl w:val="2"/>
    </w:pPr>
    <w:rPr>
      <w:b/>
      <w:sz w:val="20"/>
    </w:rPr>
  </w:style>
  <w:style w:type="paragraph" w:customStyle="1" w:styleId="HeadC">
    <w:name w:val="HeadC"/>
    <w:basedOn w:val="a"/>
    <w:pPr>
      <w:keepNext/>
      <w:suppressAutoHyphens w:val="0"/>
      <w:spacing w:before="60" w:line="280" w:lineRule="atLeast"/>
      <w:outlineLvl w:val="3"/>
    </w:pPr>
    <w:rPr>
      <w:i/>
      <w:sz w:val="20"/>
    </w:rPr>
  </w:style>
  <w:style w:type="paragraph" w:styleId="20">
    <w:name w:val="Body Text 2"/>
    <w:basedOn w:val="a"/>
    <w:pPr>
      <w:spacing w:after="120" w:line="480" w:lineRule="auto"/>
    </w:pPr>
  </w:style>
  <w:style w:type="paragraph" w:customStyle="1" w:styleId="Keywords">
    <w:name w:val="Keywords"/>
    <w:basedOn w:val="a"/>
    <w:pPr>
      <w:spacing w:line="240" w:lineRule="auto"/>
    </w:pPr>
  </w:style>
  <w:style w:type="paragraph" w:styleId="af3">
    <w:name w:val="List Bullet"/>
    <w:basedOn w:val="a"/>
    <w:pPr>
      <w:tabs>
        <w:tab w:val="num" w:pos="360"/>
      </w:tabs>
      <w:spacing w:line="240" w:lineRule="auto"/>
      <w:ind w:left="360" w:hanging="360"/>
    </w:pPr>
  </w:style>
  <w:style w:type="paragraph" w:customStyle="1" w:styleId="List1">
    <w:name w:val="List1"/>
    <w:basedOn w:val="a"/>
    <w:pPr>
      <w:spacing w:before="40" w:after="120" w:line="240" w:lineRule="atLeast"/>
    </w:pPr>
  </w:style>
  <w:style w:type="paragraph" w:customStyle="1" w:styleId="List2">
    <w:name w:val="List2"/>
    <w:basedOn w:val="a"/>
    <w:pPr>
      <w:spacing w:before="40" w:line="240" w:lineRule="atLeast"/>
      <w:ind w:left="720"/>
    </w:pPr>
  </w:style>
  <w:style w:type="paragraph" w:styleId="30">
    <w:name w:val="Body Text 3"/>
    <w:basedOn w:val="a"/>
    <w:pPr>
      <w:spacing w:after="120"/>
    </w:pPr>
    <w:rPr>
      <w:sz w:val="16"/>
      <w:szCs w:val="16"/>
    </w:rPr>
  </w:style>
  <w:style w:type="paragraph" w:customStyle="1" w:styleId="ListPara">
    <w:name w:val="ListPara"/>
    <w:basedOn w:val="a"/>
    <w:pPr>
      <w:spacing w:line="240" w:lineRule="auto"/>
      <w:ind w:left="720"/>
    </w:pPr>
  </w:style>
  <w:style w:type="paragraph" w:customStyle="1" w:styleId="Miscellaneous">
    <w:name w:val="Miscellaneous"/>
    <w:basedOn w:val="a"/>
    <w:pPr>
      <w:spacing w:before="120" w:line="240" w:lineRule="atLeast"/>
    </w:pPr>
  </w:style>
  <w:style w:type="paragraph" w:customStyle="1" w:styleId="MoreInfo">
    <w:name w:val="MoreInfo"/>
    <w:basedOn w:val="a"/>
    <w:pPr>
      <w:spacing w:before="120" w:line="240" w:lineRule="auto"/>
    </w:pPr>
  </w:style>
  <w:style w:type="paragraph" w:customStyle="1" w:styleId="MoreInfoWeb">
    <w:name w:val="MoreInfoWeb"/>
    <w:basedOn w:val="a"/>
    <w:pPr>
      <w:spacing w:before="120" w:line="240" w:lineRule="atLeast"/>
    </w:pPr>
  </w:style>
  <w:style w:type="character" w:customStyle="1" w:styleId="Noindex">
    <w:name w:val="Noindex"/>
    <w:rPr>
      <w:color w:val="FF6600"/>
      <w:w w:val="100"/>
      <w:position w:val="-1"/>
      <w:effect w:val="none"/>
      <w:vertAlign w:val="baseline"/>
      <w:cs w:val="0"/>
      <w:em w:val="none"/>
    </w:rPr>
  </w:style>
  <w:style w:type="paragraph" w:customStyle="1" w:styleId="ParaCont">
    <w:name w:val="ParaCont"/>
    <w:basedOn w:val="a"/>
    <w:pPr>
      <w:spacing w:line="360" w:lineRule="auto"/>
    </w:pPr>
  </w:style>
  <w:style w:type="paragraph" w:customStyle="1" w:styleId="HeadE">
    <w:name w:val="HeadE"/>
    <w:basedOn w:val="HeadD"/>
    <w:rPr>
      <w:b w:val="0"/>
      <w:i/>
    </w:rPr>
  </w:style>
  <w:style w:type="paragraph" w:customStyle="1" w:styleId="Participators">
    <w:name w:val="Participators"/>
    <w:basedOn w:val="a"/>
    <w:pPr>
      <w:spacing w:before="120" w:after="120"/>
    </w:pPr>
  </w:style>
  <w:style w:type="paragraph" w:customStyle="1" w:styleId="Collaboration">
    <w:name w:val="Collaboration"/>
    <w:basedOn w:val="Author"/>
  </w:style>
  <w:style w:type="paragraph" w:customStyle="1" w:styleId="OnBehalfOf">
    <w:name w:val="OnBehalfOf"/>
    <w:basedOn w:val="ShortTitle"/>
    <w:pPr>
      <w:spacing w:before="120" w:after="120"/>
    </w:pPr>
    <w:rPr>
      <w:i w:val="0"/>
    </w:rPr>
  </w:style>
  <w:style w:type="character" w:styleId="af4">
    <w:name w:val="annotation reference"/>
    <w:rPr>
      <w:w w:val="100"/>
      <w:position w:val="-1"/>
      <w:sz w:val="16"/>
      <w:effect w:val="none"/>
      <w:vertAlign w:val="baseline"/>
      <w:cs w:val="0"/>
      <w:em w:val="none"/>
    </w:rPr>
  </w:style>
  <w:style w:type="paragraph" w:customStyle="1" w:styleId="Position">
    <w:name w:val="Position"/>
    <w:basedOn w:val="a"/>
    <w:next w:val="a"/>
    <w:pPr>
      <w:spacing w:line="240" w:lineRule="auto"/>
    </w:pPr>
    <w:rPr>
      <w:i/>
    </w:rPr>
  </w:style>
  <w:style w:type="paragraph" w:customStyle="1" w:styleId="ProductAuth">
    <w:name w:val="ProductAuth"/>
    <w:basedOn w:val="Address"/>
    <w:pPr>
      <w:numPr>
        <w:numId w:val="0"/>
      </w:numPr>
      <w:spacing w:before="160" w:after="0" w:line="360" w:lineRule="auto"/>
      <w:ind w:leftChars="-1" w:left="-1" w:hangingChars="1" w:hanging="1"/>
    </w:pPr>
  </w:style>
  <w:style w:type="paragraph" w:customStyle="1" w:styleId="ProductDetails">
    <w:name w:val="ProductDetails"/>
    <w:basedOn w:val="Para"/>
  </w:style>
  <w:style w:type="paragraph" w:styleId="af5">
    <w:name w:val="Body Text First Indent"/>
    <w:basedOn w:val="af"/>
    <w:pPr>
      <w:ind w:firstLine="210"/>
    </w:pPr>
  </w:style>
  <w:style w:type="paragraph" w:customStyle="1" w:styleId="QuoteRef">
    <w:name w:val="QuoteRef"/>
    <w:basedOn w:val="a"/>
    <w:pPr>
      <w:spacing w:after="60"/>
    </w:pPr>
  </w:style>
  <w:style w:type="paragraph" w:customStyle="1" w:styleId="Rating">
    <w:name w:val="Rating"/>
    <w:basedOn w:val="Para"/>
    <w:pPr>
      <w:ind w:firstLine="0"/>
    </w:pPr>
  </w:style>
  <w:style w:type="paragraph" w:customStyle="1" w:styleId="Reference">
    <w:name w:val="Reference"/>
    <w:basedOn w:val="a"/>
    <w:pPr>
      <w:tabs>
        <w:tab w:val="num" w:pos="720"/>
      </w:tabs>
      <w:spacing w:before="40" w:line="360" w:lineRule="auto"/>
    </w:pPr>
  </w:style>
  <w:style w:type="paragraph" w:customStyle="1" w:styleId="RelatedTo">
    <w:name w:val="RelatedTo"/>
    <w:basedOn w:val="a"/>
  </w:style>
  <w:style w:type="paragraph" w:customStyle="1" w:styleId="RelatedToWeb">
    <w:name w:val="RelatedToWeb"/>
    <w:basedOn w:val="a"/>
  </w:style>
  <w:style w:type="paragraph" w:customStyle="1" w:styleId="Reviewed">
    <w:name w:val="Reviewed"/>
    <w:basedOn w:val="ParaCont"/>
  </w:style>
  <w:style w:type="paragraph" w:styleId="af6">
    <w:name w:val="Salutation"/>
    <w:basedOn w:val="a"/>
    <w:next w:val="a"/>
  </w:style>
  <w:style w:type="paragraph" w:customStyle="1" w:styleId="ShortAuthor">
    <w:name w:val="ShortAuthor"/>
    <w:basedOn w:val="a"/>
    <w:rPr>
      <w:i/>
    </w:rPr>
  </w:style>
  <w:style w:type="paragraph" w:customStyle="1" w:styleId="ShortTitle">
    <w:name w:val="ShortTitle"/>
    <w:basedOn w:val="a"/>
    <w:rPr>
      <w:i/>
    </w:rPr>
  </w:style>
  <w:style w:type="paragraph" w:customStyle="1" w:styleId="SourceRef">
    <w:name w:val="SourceRef"/>
    <w:basedOn w:val="Para"/>
    <w:pPr>
      <w:ind w:firstLine="0"/>
    </w:pPr>
  </w:style>
  <w:style w:type="paragraph" w:customStyle="1" w:styleId="Standfirst">
    <w:name w:val="Standfirst"/>
    <w:basedOn w:val="Accepted"/>
  </w:style>
  <w:style w:type="paragraph" w:styleId="af7">
    <w:name w:val="Subtitle"/>
    <w:basedOn w:val="a"/>
    <w:uiPriority w:val="11"/>
    <w:qFormat/>
    <w:pPr>
      <w:keepNext/>
      <w:keepLines/>
      <w:spacing w:before="360" w:after="80"/>
    </w:pPr>
    <w:rPr>
      <w:rFonts w:ascii="Georgia" w:eastAsia="Georgia" w:hAnsi="Georgia" w:cs="Georgia"/>
      <w:i/>
      <w:iCs/>
      <w:color w:val="666666"/>
      <w:sz w:val="48"/>
      <w:szCs w:val="48"/>
    </w:rPr>
  </w:style>
  <w:style w:type="paragraph" w:customStyle="1" w:styleId="Table">
    <w:name w:val="Table"/>
    <w:basedOn w:val="a"/>
    <w:pPr>
      <w:tabs>
        <w:tab w:val="num" w:pos="720"/>
        <w:tab w:val="left" w:pos="1021"/>
      </w:tabs>
    </w:pPr>
    <w:rPr>
      <w:i/>
    </w:rPr>
  </w:style>
  <w:style w:type="paragraph" w:customStyle="1" w:styleId="TableNote">
    <w:name w:val="TableNote"/>
    <w:basedOn w:val="a"/>
  </w:style>
  <w:style w:type="character" w:customStyle="1" w:styleId="TableRef">
    <w:name w:val="TableRef"/>
    <w:rPr>
      <w:color w:val="0000FF"/>
      <w:w w:val="100"/>
      <w:position w:val="-1"/>
      <w:effect w:val="none"/>
      <w:vertAlign w:val="superscript"/>
      <w:cs w:val="0"/>
      <w:em w:val="none"/>
    </w:rPr>
  </w:style>
  <w:style w:type="paragraph" w:customStyle="1" w:styleId="TableTitle">
    <w:name w:val="TableTitle"/>
    <w:basedOn w:val="a"/>
  </w:style>
  <w:style w:type="paragraph" w:customStyle="1" w:styleId="Topic">
    <w:name w:val="Topic"/>
    <w:basedOn w:val="a"/>
    <w:pPr>
      <w:spacing w:before="40" w:line="260" w:lineRule="atLeast"/>
    </w:pPr>
    <w:rPr>
      <w:i/>
      <w:color w:val="0000FF"/>
    </w:rPr>
  </w:style>
  <w:style w:type="character" w:customStyle="1" w:styleId="URL">
    <w:name w:val="URL"/>
    <w:rPr>
      <w:color w:val="666699"/>
      <w:w w:val="100"/>
      <w:position w:val="-1"/>
      <w:effect w:val="none"/>
      <w:vertAlign w:val="baseline"/>
      <w:cs w:val="0"/>
      <w:em w:val="none"/>
    </w:rPr>
  </w:style>
  <w:style w:type="paragraph" w:customStyle="1" w:styleId="WebRef">
    <w:name w:val="WebRef"/>
    <w:basedOn w:val="a"/>
    <w:pPr>
      <w:tabs>
        <w:tab w:val="left" w:pos="720"/>
      </w:tabs>
    </w:pPr>
  </w:style>
  <w:style w:type="character" w:customStyle="1" w:styleId="XRef">
    <w:name w:val="XRef"/>
    <w:rPr>
      <w:color w:val="0000FF"/>
      <w:w w:val="100"/>
      <w:position w:val="-1"/>
      <w:effect w:val="none"/>
      <w:vertAlign w:val="superscript"/>
      <w:cs w:val="0"/>
      <w:em w:val="none"/>
    </w:rPr>
  </w:style>
  <w:style w:type="paragraph" w:styleId="21">
    <w:name w:val="Body Text First Indent 2"/>
    <w:basedOn w:val="a4"/>
    <w:pPr>
      <w:ind w:firstLine="210"/>
    </w:pPr>
  </w:style>
  <w:style w:type="character" w:customStyle="1" w:styleId="wXRef">
    <w:name w:val="wXRef"/>
    <w:basedOn w:val="XRef"/>
    <w:rPr>
      <w:color w:val="0000FF"/>
      <w:w w:val="100"/>
      <w:position w:val="-1"/>
      <w:effect w:val="none"/>
      <w:vertAlign w:val="superscript"/>
      <w:cs w:val="0"/>
      <w:em w:val="none"/>
    </w:rPr>
  </w:style>
  <w:style w:type="character" w:customStyle="1" w:styleId="email">
    <w:name w:val="email"/>
    <w:basedOn w:val="URL"/>
    <w:rPr>
      <w:color w:val="666699"/>
      <w:w w:val="100"/>
      <w:position w:val="-1"/>
      <w:effect w:val="none"/>
      <w:vertAlign w:val="baseline"/>
      <w:cs w:val="0"/>
      <w:em w:val="none"/>
    </w:rPr>
  </w:style>
  <w:style w:type="paragraph" w:customStyle="1" w:styleId="BoxStartx">
    <w:name w:val="BoxStartx"/>
    <w:basedOn w:val="BoxStart1"/>
  </w:style>
  <w:style w:type="paragraph" w:customStyle="1" w:styleId="HeadD">
    <w:name w:val="HeadD"/>
    <w:basedOn w:val="HeadB"/>
    <w:next w:val="a"/>
    <w:pPr>
      <w:outlineLvl w:val="4"/>
    </w:pPr>
    <w:rPr>
      <w:sz w:val="16"/>
    </w:rPr>
  </w:style>
  <w:style w:type="paragraph" w:styleId="22">
    <w:name w:val="Body Text Indent 2"/>
    <w:basedOn w:val="a"/>
    <w:pPr>
      <w:spacing w:after="120" w:line="480" w:lineRule="auto"/>
      <w:ind w:left="283"/>
    </w:pPr>
  </w:style>
  <w:style w:type="paragraph" w:styleId="31">
    <w:name w:val="Body Text Indent 3"/>
    <w:basedOn w:val="a"/>
    <w:pPr>
      <w:spacing w:after="120"/>
      <w:ind w:left="283"/>
    </w:pPr>
    <w:rPr>
      <w:sz w:val="16"/>
      <w:szCs w:val="16"/>
    </w:rPr>
  </w:style>
  <w:style w:type="paragraph" w:styleId="af8">
    <w:name w:val="Closing"/>
    <w:basedOn w:val="a"/>
    <w:pPr>
      <w:ind w:left="4252"/>
    </w:pPr>
  </w:style>
  <w:style w:type="paragraph" w:styleId="af9">
    <w:name w:val="Document Map"/>
    <w:basedOn w:val="a"/>
    <w:pPr>
      <w:shd w:val="clear" w:color="auto" w:fill="000080"/>
    </w:pPr>
    <w:rPr>
      <w:rFonts w:ascii="Tahoma" w:hAnsi="Tahoma" w:cs="Tahoma"/>
      <w:sz w:val="20"/>
    </w:rPr>
  </w:style>
  <w:style w:type="paragraph" w:styleId="afa">
    <w:name w:val="E-mail Signature"/>
    <w:basedOn w:val="a"/>
  </w:style>
  <w:style w:type="paragraph" w:styleId="afb">
    <w:name w:val="envelope address"/>
    <w:basedOn w:val="a"/>
    <w:pPr>
      <w:framePr w:w="7920" w:hSpace="180" w:wrap="auto" w:vAnchor="page" w:hAnchor="text" w:xAlign="center" w:yAlign="bottom"/>
      <w:ind w:left="2880"/>
    </w:pPr>
    <w:rPr>
      <w:rFonts w:ascii="Arial" w:hAnsi="Arial"/>
      <w:szCs w:val="24"/>
    </w:rPr>
  </w:style>
  <w:style w:type="paragraph" w:styleId="afc">
    <w:name w:val="envelope return"/>
    <w:basedOn w:val="a"/>
    <w:rPr>
      <w:rFonts w:ascii="Arial" w:hAnsi="Arial"/>
      <w:sz w:val="20"/>
    </w:rPr>
  </w:style>
  <w:style w:type="character" w:styleId="afd">
    <w:name w:val="FollowedHyperlink"/>
    <w:rPr>
      <w:color w:val="800080"/>
      <w:w w:val="100"/>
      <w:position w:val="-1"/>
      <w:u w:val="single"/>
      <w:effect w:val="none"/>
      <w:vertAlign w:val="baseline"/>
      <w:cs w:val="0"/>
      <w:em w:val="none"/>
    </w:rPr>
  </w:style>
  <w:style w:type="character" w:styleId="HTML">
    <w:name w:val="HTML Acronym"/>
    <w:basedOn w:val="a0"/>
    <w:rPr>
      <w:w w:val="100"/>
      <w:position w:val="-1"/>
      <w:effect w:val="none"/>
      <w:vertAlign w:val="baseline"/>
      <w:cs w:val="0"/>
      <w:em w:val="none"/>
    </w:rPr>
  </w:style>
  <w:style w:type="paragraph" w:styleId="HTML0">
    <w:name w:val="HTML Address"/>
    <w:basedOn w:val="a"/>
    <w:rPr>
      <w:i/>
      <w:iCs/>
    </w:rPr>
  </w:style>
  <w:style w:type="character" w:styleId="HTML1">
    <w:name w:val="HTML Cite"/>
    <w:rPr>
      <w:i/>
      <w:iCs/>
      <w:w w:val="100"/>
      <w:position w:val="-1"/>
      <w:effect w:val="none"/>
      <w:vertAlign w:val="baseline"/>
      <w:cs w:val="0"/>
      <w:em w:val="none"/>
    </w:rPr>
  </w:style>
  <w:style w:type="character" w:styleId="HTML2">
    <w:name w:val="HTML Code"/>
    <w:rPr>
      <w:rFonts w:ascii="Courier New" w:hAnsi="Courier New"/>
      <w:w w:val="100"/>
      <w:position w:val="-1"/>
      <w:sz w:val="20"/>
      <w:szCs w:val="20"/>
      <w:effect w:val="none"/>
      <w:vertAlign w:val="baseline"/>
      <w:cs w:val="0"/>
      <w:em w:val="none"/>
    </w:rPr>
  </w:style>
  <w:style w:type="character" w:styleId="HTML3">
    <w:name w:val="HTML Definition"/>
    <w:rPr>
      <w:i/>
      <w:iCs/>
      <w:w w:val="100"/>
      <w:position w:val="-1"/>
      <w:effect w:val="none"/>
      <w:vertAlign w:val="baseline"/>
      <w:cs w:val="0"/>
      <w:em w:val="none"/>
    </w:rPr>
  </w:style>
  <w:style w:type="character" w:styleId="HTML4">
    <w:name w:val="HTML Keyboard"/>
    <w:rPr>
      <w:rFonts w:ascii="Courier New" w:hAnsi="Courier New"/>
      <w:w w:val="100"/>
      <w:position w:val="-1"/>
      <w:sz w:val="20"/>
      <w:szCs w:val="20"/>
      <w:effect w:val="none"/>
      <w:vertAlign w:val="baseline"/>
      <w:cs w:val="0"/>
      <w:em w:val="none"/>
    </w:rPr>
  </w:style>
  <w:style w:type="paragraph" w:styleId="HTML5">
    <w:name w:val="HTML Preformatted"/>
    <w:basedOn w:val="a"/>
    <w:rPr>
      <w:rFonts w:ascii="Courier New" w:hAnsi="Courier New"/>
      <w:sz w:val="20"/>
    </w:rPr>
  </w:style>
  <w:style w:type="character" w:styleId="HTML6">
    <w:name w:val="HTML Sample"/>
    <w:rPr>
      <w:rFonts w:ascii="Courier New" w:hAnsi="Courier New"/>
      <w:w w:val="100"/>
      <w:position w:val="-1"/>
      <w:effect w:val="none"/>
      <w:vertAlign w:val="baseline"/>
      <w:cs w:val="0"/>
      <w:em w:val="none"/>
    </w:rPr>
  </w:style>
  <w:style w:type="character" w:styleId="HTML7">
    <w:name w:val="HTML Typewriter"/>
    <w:rPr>
      <w:rFonts w:ascii="Courier New" w:hAnsi="Courier New"/>
      <w:w w:val="100"/>
      <w:position w:val="-1"/>
      <w:sz w:val="20"/>
      <w:szCs w:val="20"/>
      <w:effect w:val="none"/>
      <w:vertAlign w:val="baseline"/>
      <w:cs w:val="0"/>
      <w:em w:val="none"/>
    </w:rPr>
  </w:style>
  <w:style w:type="character" w:styleId="HTML8">
    <w:name w:val="HTML Variable"/>
    <w:rPr>
      <w:i/>
      <w:iCs/>
      <w:w w:val="100"/>
      <w:position w:val="-1"/>
      <w:effect w:val="none"/>
      <w:vertAlign w:val="baseline"/>
      <w:cs w:val="0"/>
      <w:em w:val="none"/>
    </w:rPr>
  </w:style>
  <w:style w:type="character" w:styleId="afe">
    <w:name w:val="Hyperlink"/>
    <w:rPr>
      <w:color w:val="0000FF"/>
      <w:w w:val="100"/>
      <w:position w:val="-1"/>
      <w:u w:val="single"/>
      <w:effect w:val="none"/>
      <w:vertAlign w:val="baseline"/>
      <w:cs w:val="0"/>
      <w:em w:val="none"/>
    </w:rPr>
  </w:style>
  <w:style w:type="paragraph" w:styleId="10">
    <w:name w:val="index 1"/>
    <w:basedOn w:val="a"/>
    <w:next w:val="a"/>
    <w:pPr>
      <w:ind w:left="240" w:hanging="240"/>
    </w:pPr>
  </w:style>
  <w:style w:type="paragraph" w:styleId="23">
    <w:name w:val="index 2"/>
    <w:basedOn w:val="a"/>
    <w:next w:val="a"/>
    <w:pPr>
      <w:ind w:left="480" w:hanging="240"/>
    </w:pPr>
  </w:style>
  <w:style w:type="paragraph" w:styleId="32">
    <w:name w:val="index 3"/>
    <w:basedOn w:val="a"/>
    <w:next w:val="a"/>
    <w:pPr>
      <w:ind w:left="720" w:hanging="240"/>
    </w:pPr>
  </w:style>
  <w:style w:type="paragraph" w:styleId="40">
    <w:name w:val="index 4"/>
    <w:basedOn w:val="a"/>
    <w:next w:val="a"/>
    <w:pPr>
      <w:ind w:left="960" w:hanging="240"/>
    </w:pPr>
  </w:style>
  <w:style w:type="paragraph" w:styleId="50">
    <w:name w:val="index 5"/>
    <w:basedOn w:val="a"/>
    <w:next w:val="a"/>
    <w:pPr>
      <w:ind w:left="1200" w:hanging="240"/>
    </w:pPr>
  </w:style>
  <w:style w:type="paragraph" w:styleId="60">
    <w:name w:val="index 6"/>
    <w:basedOn w:val="a"/>
    <w:next w:val="a"/>
    <w:pPr>
      <w:ind w:left="1440" w:hanging="240"/>
    </w:pPr>
  </w:style>
  <w:style w:type="paragraph" w:styleId="70">
    <w:name w:val="index 7"/>
    <w:basedOn w:val="a"/>
    <w:next w:val="a"/>
    <w:pPr>
      <w:ind w:left="1680" w:hanging="240"/>
    </w:pPr>
  </w:style>
  <w:style w:type="paragraph" w:styleId="80">
    <w:name w:val="index 8"/>
    <w:basedOn w:val="a"/>
    <w:next w:val="a"/>
    <w:pPr>
      <w:ind w:left="1920" w:hanging="240"/>
    </w:pPr>
  </w:style>
  <w:style w:type="paragraph" w:styleId="90">
    <w:name w:val="index 9"/>
    <w:basedOn w:val="a"/>
    <w:next w:val="a"/>
    <w:pPr>
      <w:ind w:left="2160" w:hanging="240"/>
    </w:pPr>
  </w:style>
  <w:style w:type="paragraph" w:styleId="aff">
    <w:name w:val="index heading"/>
    <w:basedOn w:val="a"/>
    <w:next w:val="10"/>
    <w:rPr>
      <w:rFonts w:ascii="Arial" w:hAnsi="Arial"/>
      <w:b/>
      <w:bCs/>
    </w:rPr>
  </w:style>
  <w:style w:type="character" w:styleId="aff0">
    <w:name w:val="line number"/>
    <w:basedOn w:val="a0"/>
    <w:rPr>
      <w:w w:val="100"/>
      <w:position w:val="-1"/>
      <w:effect w:val="none"/>
      <w:vertAlign w:val="baseline"/>
      <w:cs w:val="0"/>
      <w:em w:val="none"/>
    </w:rPr>
  </w:style>
  <w:style w:type="paragraph" w:styleId="aff1">
    <w:name w:val="List"/>
    <w:basedOn w:val="a"/>
    <w:pPr>
      <w:ind w:left="283" w:hanging="283"/>
    </w:pPr>
  </w:style>
  <w:style w:type="paragraph" w:styleId="24">
    <w:name w:val="List 2"/>
    <w:basedOn w:val="a"/>
    <w:pPr>
      <w:ind w:left="566" w:hanging="283"/>
    </w:pPr>
  </w:style>
  <w:style w:type="paragraph" w:styleId="33">
    <w:name w:val="List 3"/>
    <w:basedOn w:val="a"/>
    <w:pPr>
      <w:ind w:left="849" w:hanging="283"/>
    </w:pPr>
  </w:style>
  <w:style w:type="paragraph" w:styleId="41">
    <w:name w:val="List 4"/>
    <w:basedOn w:val="a"/>
    <w:pPr>
      <w:ind w:left="1132" w:hanging="283"/>
    </w:pPr>
  </w:style>
  <w:style w:type="paragraph" w:styleId="51">
    <w:name w:val="List 5"/>
    <w:basedOn w:val="a"/>
    <w:pPr>
      <w:ind w:left="1415" w:hanging="283"/>
    </w:pPr>
  </w:style>
  <w:style w:type="paragraph" w:styleId="25">
    <w:name w:val="List Bullet 2"/>
    <w:basedOn w:val="a"/>
    <w:pPr>
      <w:tabs>
        <w:tab w:val="num" w:pos="515"/>
      </w:tabs>
      <w:ind w:left="628" w:hanging="340"/>
    </w:pPr>
  </w:style>
  <w:style w:type="paragraph" w:styleId="34">
    <w:name w:val="List Bullet 3"/>
    <w:basedOn w:val="a"/>
    <w:pPr>
      <w:tabs>
        <w:tab w:val="num" w:pos="926"/>
      </w:tabs>
      <w:ind w:left="926" w:hanging="360"/>
    </w:pPr>
  </w:style>
  <w:style w:type="paragraph" w:styleId="42">
    <w:name w:val="List Bullet 4"/>
    <w:basedOn w:val="a"/>
    <w:pPr>
      <w:tabs>
        <w:tab w:val="num" w:pos="1209"/>
      </w:tabs>
      <w:ind w:left="1209" w:hanging="360"/>
    </w:pPr>
  </w:style>
  <w:style w:type="paragraph" w:styleId="52">
    <w:name w:val="List Bullet 5"/>
    <w:basedOn w:val="a"/>
    <w:pPr>
      <w:tabs>
        <w:tab w:val="num" w:pos="1492"/>
      </w:tabs>
      <w:ind w:left="1492" w:hanging="360"/>
    </w:pPr>
  </w:style>
  <w:style w:type="paragraph" w:styleId="aff2">
    <w:name w:val="List Continue"/>
    <w:basedOn w:val="a"/>
    <w:pPr>
      <w:spacing w:after="120"/>
      <w:ind w:left="283"/>
    </w:pPr>
  </w:style>
  <w:style w:type="paragraph" w:styleId="26">
    <w:name w:val="List Continue 2"/>
    <w:basedOn w:val="a"/>
    <w:pPr>
      <w:spacing w:after="120"/>
      <w:ind w:left="566"/>
    </w:pPr>
  </w:style>
  <w:style w:type="paragraph" w:styleId="35">
    <w:name w:val="List Continue 3"/>
    <w:basedOn w:val="a"/>
    <w:pPr>
      <w:spacing w:after="120"/>
      <w:ind w:left="849"/>
    </w:pPr>
  </w:style>
  <w:style w:type="paragraph" w:styleId="43">
    <w:name w:val="List Continue 4"/>
    <w:basedOn w:val="a"/>
    <w:pPr>
      <w:spacing w:after="120"/>
      <w:ind w:left="1132"/>
    </w:pPr>
  </w:style>
  <w:style w:type="paragraph" w:styleId="53">
    <w:name w:val="List Continue 5"/>
    <w:basedOn w:val="a"/>
    <w:pPr>
      <w:spacing w:after="120"/>
      <w:ind w:left="1415"/>
    </w:pPr>
  </w:style>
  <w:style w:type="paragraph" w:styleId="aff3">
    <w:name w:val="List Number"/>
    <w:basedOn w:val="a"/>
    <w:pPr>
      <w:tabs>
        <w:tab w:val="num" w:pos="360"/>
      </w:tabs>
      <w:ind w:left="360" w:hanging="360"/>
    </w:pPr>
  </w:style>
  <w:style w:type="paragraph" w:styleId="27">
    <w:name w:val="List Number 2"/>
    <w:basedOn w:val="a"/>
    <w:pPr>
      <w:tabs>
        <w:tab w:val="num" w:pos="643"/>
      </w:tabs>
      <w:ind w:left="643" w:hanging="360"/>
    </w:pPr>
  </w:style>
  <w:style w:type="paragraph" w:styleId="36">
    <w:name w:val="List Number 3"/>
    <w:basedOn w:val="a"/>
    <w:pPr>
      <w:tabs>
        <w:tab w:val="num" w:pos="926"/>
      </w:tabs>
      <w:ind w:left="926" w:hanging="360"/>
    </w:pPr>
  </w:style>
  <w:style w:type="paragraph" w:styleId="44">
    <w:name w:val="List Number 4"/>
    <w:basedOn w:val="a"/>
    <w:pPr>
      <w:tabs>
        <w:tab w:val="num" w:pos="1209"/>
      </w:tabs>
      <w:ind w:left="1209" w:hanging="360"/>
    </w:pPr>
  </w:style>
  <w:style w:type="paragraph" w:styleId="54">
    <w:name w:val="List Number 5"/>
    <w:basedOn w:val="a"/>
    <w:pPr>
      <w:tabs>
        <w:tab w:val="num" w:pos="1492"/>
      </w:tabs>
      <w:ind w:left="1492" w:hanging="360"/>
    </w:pPr>
  </w:style>
  <w:style w:type="paragraph" w:styleId="aff4">
    <w:name w:val="macro"/>
    <w:pPr>
      <w:tabs>
        <w:tab w:val="left" w:pos="480"/>
        <w:tab w:val="left" w:pos="960"/>
        <w:tab w:val="left" w:pos="1440"/>
        <w:tab w:val="left" w:pos="1920"/>
        <w:tab w:val="left" w:pos="2400"/>
        <w:tab w:val="left" w:pos="2880"/>
        <w:tab w:val="left" w:pos="3360"/>
        <w:tab w:val="left" w:pos="3840"/>
        <w:tab w:val="left" w:pos="4320"/>
      </w:tabs>
      <w:suppressAutoHyphens/>
      <w:spacing w:line="300" w:lineRule="atLeast"/>
      <w:ind w:leftChars="-1" w:left="-1" w:hangingChars="1" w:hanging="1"/>
      <w:textDirection w:val="btLr"/>
      <w:textAlignment w:val="top"/>
      <w:outlineLvl w:val="0"/>
    </w:pPr>
    <w:rPr>
      <w:rFonts w:ascii="Courier New" w:hAnsi="Courier New"/>
      <w:position w:val="-1"/>
      <w:lang w:eastAsia="en-US"/>
    </w:rPr>
  </w:style>
  <w:style w:type="paragraph" w:styleId="aff5">
    <w:name w:val="Message Header"/>
    <w:basedOn w:val="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4"/>
    </w:rPr>
  </w:style>
  <w:style w:type="paragraph" w:styleId="aff6">
    <w:name w:val="Normal (Web)"/>
    <w:basedOn w:val="a"/>
    <w:rPr>
      <w:szCs w:val="24"/>
    </w:rPr>
  </w:style>
  <w:style w:type="paragraph" w:styleId="aff7">
    <w:name w:val="Normal Indent"/>
    <w:basedOn w:val="a"/>
    <w:pPr>
      <w:ind w:left="720"/>
    </w:pPr>
  </w:style>
  <w:style w:type="paragraph" w:styleId="aff8">
    <w:name w:val="Note Heading"/>
    <w:basedOn w:val="a"/>
    <w:next w:val="a"/>
  </w:style>
  <w:style w:type="character" w:customStyle="1" w:styleId="ParaHead">
    <w:name w:val="ParaHead"/>
    <w:rPr>
      <w:color w:val="999999"/>
      <w:w w:val="100"/>
      <w:position w:val="-1"/>
      <w:effect w:val="none"/>
      <w:bdr w:val="none" w:sz="0" w:space="0" w:color="auto"/>
      <w:shd w:val="clear" w:color="auto" w:fill="auto"/>
      <w:vertAlign w:val="baseline"/>
      <w:cs w:val="0"/>
      <w:em w:val="none"/>
    </w:rPr>
  </w:style>
  <w:style w:type="paragraph" w:customStyle="1" w:styleId="ObitBiog">
    <w:name w:val="ObitBiog"/>
    <w:basedOn w:val="Para"/>
    <w:pPr>
      <w:spacing w:before="120" w:line="260" w:lineRule="atLeast"/>
      <w:ind w:firstLine="0"/>
    </w:pPr>
    <w:rPr>
      <w:b/>
      <w:i/>
      <w:sz w:val="22"/>
    </w:rPr>
  </w:style>
  <w:style w:type="paragraph" w:customStyle="1" w:styleId="TableHeader">
    <w:name w:val="TableHeader"/>
    <w:basedOn w:val="Para"/>
    <w:pPr>
      <w:spacing w:before="120" w:line="240" w:lineRule="auto"/>
      <w:ind w:firstLine="0"/>
    </w:pPr>
    <w:rPr>
      <w:b/>
    </w:rPr>
  </w:style>
  <w:style w:type="character" w:customStyle="1" w:styleId="Image">
    <w:name w:val="Image"/>
    <w:rPr>
      <w:b/>
      <w:color w:val="00FF00"/>
      <w:w w:val="100"/>
      <w:position w:val="-1"/>
      <w:effect w:val="none"/>
      <w:vertAlign w:val="baseline"/>
      <w:cs w:val="0"/>
      <w:em w:val="none"/>
    </w:rPr>
  </w:style>
  <w:style w:type="paragraph" w:customStyle="1" w:styleId="TableSubHead">
    <w:name w:val="TableSubHead"/>
    <w:basedOn w:val="TableHeader"/>
  </w:style>
  <w:style w:type="paragraph" w:customStyle="1" w:styleId="ArtGroup">
    <w:name w:val="ArtGroup"/>
    <w:basedOn w:val="Article"/>
    <w:rPr>
      <w:sz w:val="22"/>
    </w:rPr>
  </w:style>
  <w:style w:type="paragraph" w:customStyle="1" w:styleId="Biog">
    <w:name w:val="Biog"/>
    <w:basedOn w:val="MoreInfo"/>
  </w:style>
  <w:style w:type="paragraph" w:customStyle="1" w:styleId="SearchInfo">
    <w:name w:val="SearchInfo"/>
    <w:basedOn w:val="a"/>
    <w:pPr>
      <w:spacing w:before="120" w:line="240" w:lineRule="atLeast"/>
    </w:pPr>
  </w:style>
  <w:style w:type="paragraph" w:customStyle="1" w:styleId="SeriesInfo">
    <w:name w:val="SeriesInfo"/>
    <w:basedOn w:val="a"/>
    <w:pPr>
      <w:spacing w:before="120" w:line="240" w:lineRule="atLeast"/>
    </w:pPr>
  </w:style>
  <w:style w:type="paragraph" w:customStyle="1" w:styleId="Remark">
    <w:name w:val="Remark"/>
    <w:basedOn w:val="a"/>
    <w:rPr>
      <w:color w:val="FF0000"/>
    </w:rPr>
  </w:style>
  <w:style w:type="paragraph" w:customStyle="1" w:styleId="BoxStart4">
    <w:name w:val="BoxStart4"/>
    <w:basedOn w:val="BoxStart3"/>
  </w:style>
  <w:style w:type="paragraph" w:styleId="aff9">
    <w:name w:val="Bibliography"/>
    <w:basedOn w:val="Reference"/>
    <w:pPr>
      <w:tabs>
        <w:tab w:val="clear" w:pos="720"/>
      </w:tabs>
    </w:pPr>
  </w:style>
  <w:style w:type="paragraph" w:customStyle="1" w:styleId="PullQuote">
    <w:name w:val="PullQuote"/>
    <w:basedOn w:val="IndentQuote"/>
  </w:style>
  <w:style w:type="paragraph" w:customStyle="1" w:styleId="AncillHead">
    <w:name w:val="AncillHead"/>
    <w:basedOn w:val="HeadB"/>
  </w:style>
  <w:style w:type="paragraph" w:customStyle="1" w:styleId="RefHead">
    <w:name w:val="RefHead"/>
    <w:basedOn w:val="HeadB"/>
  </w:style>
  <w:style w:type="paragraph" w:customStyle="1" w:styleId="FlushQuote">
    <w:name w:val="FlushQuote"/>
    <w:basedOn w:val="IndentQuote"/>
    <w:pPr>
      <w:ind w:left="0" w:right="0"/>
    </w:pPr>
    <w:rPr>
      <w:sz w:val="22"/>
    </w:rPr>
  </w:style>
  <w:style w:type="paragraph" w:customStyle="1" w:styleId="ProductTitle">
    <w:name w:val="ProductTitle"/>
    <w:basedOn w:val="a"/>
    <w:next w:val="ProductAuth"/>
    <w:rPr>
      <w:b/>
      <w:sz w:val="28"/>
    </w:rPr>
  </w:style>
  <w:style w:type="paragraph" w:customStyle="1" w:styleId="EthicalApproval">
    <w:name w:val="EthicalApproval"/>
    <w:basedOn w:val="Participators"/>
  </w:style>
  <w:style w:type="character" w:customStyle="1" w:styleId="addRef">
    <w:name w:val="addRef"/>
    <w:basedOn w:val="XRef"/>
    <w:rPr>
      <w:color w:val="0000FF"/>
      <w:w w:val="100"/>
      <w:position w:val="-1"/>
      <w:effect w:val="none"/>
      <w:vertAlign w:val="superscript"/>
      <w:cs w:val="0"/>
      <w:em w:val="none"/>
    </w:rPr>
  </w:style>
  <w:style w:type="paragraph" w:customStyle="1" w:styleId="AmendmentNote">
    <w:name w:val="AmendmentNote"/>
    <w:basedOn w:val="MoreInfo"/>
  </w:style>
  <w:style w:type="numbering" w:customStyle="1" w:styleId="Tab">
    <w:name w:val="Tab"/>
  </w:style>
  <w:style w:type="numbering" w:customStyle="1" w:styleId="Fig">
    <w:name w:val="Fig"/>
  </w:style>
  <w:style w:type="numbering" w:customStyle="1" w:styleId="Add">
    <w:name w:val="Add"/>
  </w:style>
  <w:style w:type="paragraph" w:customStyle="1" w:styleId="List3">
    <w:name w:val="List3"/>
    <w:basedOn w:val="List2"/>
    <w:pPr>
      <w:ind w:left="1200"/>
    </w:pPr>
  </w:style>
  <w:style w:type="paragraph" w:customStyle="1" w:styleId="EdNoteTitle">
    <w:name w:val="EdNoteTitle"/>
    <w:basedOn w:val="HeadA"/>
    <w:rPr>
      <w:sz w:val="28"/>
    </w:rPr>
  </w:style>
  <w:style w:type="character" w:customStyle="1" w:styleId="surname">
    <w:name w:val="surname"/>
    <w:rPr>
      <w:color w:val="993366"/>
      <w:w w:val="100"/>
      <w:position w:val="-1"/>
      <w:effect w:val="none"/>
      <w:bdr w:val="none" w:sz="0" w:space="0" w:color="auto"/>
      <w:shd w:val="clear" w:color="auto" w:fill="auto"/>
      <w:vertAlign w:val="baseline"/>
      <w:cs w:val="0"/>
      <w:em w:val="none"/>
    </w:rPr>
  </w:style>
  <w:style w:type="character" w:customStyle="1" w:styleId="suffix">
    <w:name w:val="suffix"/>
    <w:rPr>
      <w:color w:val="339966"/>
      <w:w w:val="100"/>
      <w:position w:val="-1"/>
      <w:effect w:val="none"/>
      <w:bdr w:val="none" w:sz="0" w:space="0" w:color="auto"/>
      <w:shd w:val="clear" w:color="auto" w:fill="auto"/>
      <w:vertAlign w:val="baseline"/>
      <w:cs w:val="0"/>
      <w:em w:val="none"/>
    </w:rPr>
  </w:style>
  <w:style w:type="paragraph" w:customStyle="1" w:styleId="BoxFootnote">
    <w:name w:val="BoxFootnote"/>
    <w:basedOn w:val="Footnote"/>
    <w:pPr>
      <w:spacing w:before="60"/>
    </w:pPr>
    <w:rPr>
      <w:sz w:val="20"/>
    </w:rPr>
  </w:style>
  <w:style w:type="paragraph" w:customStyle="1" w:styleId="Citeline">
    <w:name w:val="Citeline"/>
    <w:basedOn w:val="MoreInfo"/>
  </w:style>
  <w:style w:type="numbering" w:customStyle="1" w:styleId="data-supp">
    <w:name w:val="data-supp"/>
    <w:basedOn w:val="a2"/>
  </w:style>
  <w:style w:type="paragraph" w:customStyle="1" w:styleId="supp-file">
    <w:name w:val="supp-file"/>
    <w:basedOn w:val="Table"/>
    <w:rPr>
      <w:b/>
      <w:i w:val="0"/>
    </w:rPr>
  </w:style>
  <w:style w:type="paragraph" w:customStyle="1" w:styleId="supp-title">
    <w:name w:val="supp-title"/>
    <w:basedOn w:val="HeadA"/>
  </w:style>
  <w:style w:type="paragraph" w:customStyle="1" w:styleId="supp-desc">
    <w:name w:val="supp-desc"/>
    <w:basedOn w:val="Footnote"/>
  </w:style>
  <w:style w:type="paragraph" w:customStyle="1" w:styleId="supp-caption">
    <w:name w:val="supp-caption"/>
    <w:basedOn w:val="FigLeg"/>
  </w:style>
  <w:style w:type="paragraph" w:customStyle="1" w:styleId="video">
    <w:name w:val="video"/>
    <w:basedOn w:val="supp-file"/>
    <w:next w:val="ab"/>
  </w:style>
  <w:style w:type="numbering" w:customStyle="1" w:styleId="vid">
    <w:name w:val="vid"/>
    <w:basedOn w:val="a2"/>
  </w:style>
  <w:style w:type="paragraph" w:customStyle="1" w:styleId="audio">
    <w:name w:val="audio"/>
    <w:basedOn w:val="video"/>
  </w:style>
  <w:style w:type="numbering" w:customStyle="1" w:styleId="aud">
    <w:name w:val="aud"/>
    <w:basedOn w:val="vid"/>
  </w:style>
  <w:style w:type="paragraph" w:styleId="affa">
    <w:name w:val="annotation subject"/>
    <w:basedOn w:val="ac"/>
    <w:next w:val="ac"/>
    <w:pPr>
      <w:spacing w:line="300" w:lineRule="atLeast"/>
    </w:pPr>
    <w:rPr>
      <w:b/>
      <w:bCs/>
    </w:rPr>
  </w:style>
  <w:style w:type="character" w:customStyle="1" w:styleId="Char">
    <w:name w:val="바닥글 Char"/>
    <w:rPr>
      <w:rFonts w:ascii="Arial" w:hAnsi="Arial"/>
      <w:w w:val="100"/>
      <w:position w:val="-1"/>
      <w:effect w:val="none"/>
      <w:vertAlign w:val="baseline"/>
      <w:cs w:val="0"/>
      <w:em w:val="none"/>
      <w:lang w:val="en-GB"/>
    </w:rPr>
  </w:style>
  <w:style w:type="character" w:styleId="affb">
    <w:name w:val="Unresolved Mention"/>
    <w:qFormat/>
    <w:rPr>
      <w:color w:val="605E5C"/>
      <w:w w:val="100"/>
      <w:position w:val="-1"/>
      <w:effect w:val="none"/>
      <w:shd w:val="clear" w:color="auto" w:fill="E1DFDD"/>
      <w:vertAlign w:val="baseline"/>
      <w:cs w:val="0"/>
      <w:em w:val="none"/>
    </w:rPr>
  </w:style>
  <w:style w:type="table" w:customStyle="1" w:styleId="affc">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consort-statement.org" TargetMode="External"/><Relationship Id="rId4" Type="http://schemas.openxmlformats.org/officeDocument/2006/relationships/settings" Target="settings.xml"/><Relationship Id="rId9" Type="http://schemas.openxmlformats.org/officeDocument/2006/relationships/hyperlink" Target="http://creativecommons.org/licenses/by/2.0"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RYd6123wrHYIPSA19g8ppEerNQ==">CgMxLjA4AHIhMVRVaDNwa0xMWW44S19VU3cyUklhd0VEQkNZb3BaUzkx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789</Words>
  <Characters>4500</Characters>
  <Application>Microsoft Office Word</Application>
  <DocSecurity>0</DocSecurity>
  <Lines>37</Lines>
  <Paragraphs>10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pplouffe</dc:creator>
  <cp:lastModifiedBy>Hongjo Choi</cp:lastModifiedBy>
  <cp:revision>3</cp:revision>
  <dcterms:created xsi:type="dcterms:W3CDTF">2026-02-17T10:15:00Z</dcterms:created>
  <dcterms:modified xsi:type="dcterms:W3CDTF">2026-02-17T10:42:00Z</dcterms:modified>
</cp:coreProperties>
</file>