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Supplementary materials</w:t>
      </w:r>
    </w:p>
    <w:p>
      <w:pPr>
        <w:jc w:val="center"/>
      </w:pPr>
      <w:r>
        <w:t>Clustered direct sexual risk behaviors and adverse sex-related outcomes among sexually experienced college students in Eastern China: a multicenter cross-sectional study of eHealth literacy, HIV/STI knowledge, and childhood/adolescent sexual victimization</w:t>
      </w:r>
    </w:p>
    <w:p>
      <w:pPr>
        <w:jc w:val="both"/>
      </w:pPr>
      <w:r>
        <w:t>This supplement accompanies the main manuscript and provides variable coding, item-level knowledge performance, secondary outcome models, and sensitivity analyses.</w:t>
      </w:r>
    </w:p>
    <w:p>
      <w:pPr>
        <w:pStyle w:val="Heading1"/>
      </w:pPr>
      <w:r>
        <w:t>Supplementary Table S1. Variable definitions and coding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rPr>
          <w:tblHeader w:val="true"/>
        </w:trPr>
        <w:tc>
          <w:tcPr>
            <w:tcW w:type="dxa" w:w="2412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Role</w:t>
            </w:r>
          </w:p>
        </w:tc>
        <w:tc>
          <w:tcPr>
            <w:tcW w:type="dxa" w:w="2412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Variable</w:t>
            </w:r>
          </w:p>
        </w:tc>
        <w:tc>
          <w:tcPr>
            <w:tcW w:type="dxa" w:w="2412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Definition</w:t>
            </w:r>
          </w:p>
        </w:tc>
        <w:tc>
          <w:tcPr>
            <w:tcW w:type="dxa" w:w="2412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Coding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Primary outcome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Clustered direct sexual risk behaviors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Reporting &gt;=2 of 4 direct behaviors: no contraception at first sex, casual sex, multiple concurrent partners, drug-facilitated sex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Binary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Secondary outcome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Any adverse sex-related outcome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Reporting &gt;=1 of 3 outcomes: unintended pregnancy/impregnation, abortion, self-reported STI diagnosis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Binary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Exposure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eHEALS total score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Sum of 8 items scored 1-5; higher indicates higher self-perceived eHealth literacy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Continuous, range 8-40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Exposure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29-item HIV/STI knowledge index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Number of correct responses using the prespecified ARC/RUSSL-derived answer key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Continuous, range 0-29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Exposure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Childhood/adolescent sexual victimization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None; harassment only; contact/coercive victimization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Categorical, 3 levels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Sex education exposure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Ever vs never received sex education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Binary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Sex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Male vs female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Binary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Current age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Derived from date of birth using 15 Oct 2025 as reference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Continuous, years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Institution type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Regular university, 985 university, 211 university, vocational college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Categorical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Relationship status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Never dated, currently in relationship, previously dated and now separated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Categorical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Parental education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Highest parental education in five ordered categories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Categorical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Monthly expenditure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Five categories during college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Categorical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Family structure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Intact family vs other family structure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Binary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Smoking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Current smoking vs never smoking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Binary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Alcohol use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Frequent use (&gt;=weekly) vs rare/none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Binary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Physical activity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&lt;1 h/day, 1-3 h/day, &gt;3 h/day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Categorical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Covariate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Age at sexual debut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Numeric age at first sexual intercourse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Continuous, years</w:t>
            </w:r>
          </w:p>
        </w:tc>
      </w:tr>
    </w:tbl>
    <w:p>
      <w:r>
        <w:br w:type="page"/>
      </w:r>
    </w:p>
    <w:p>
      <w:pPr>
        <w:pStyle w:val="Heading1"/>
      </w:pPr>
      <w:r>
        <w:t>Supplementary Table S2. Item-level knowledge performance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tblHeader w:val="true"/>
        </w:trPr>
        <w:tc>
          <w:tcPr>
            <w:tcW w:type="dxa" w:w="137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4"/>
              </w:rPr>
              <w:t>item_no</w:t>
            </w:r>
          </w:p>
        </w:tc>
        <w:tc>
          <w:tcPr>
            <w:tcW w:type="dxa" w:w="137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4"/>
              </w:rPr>
              <w:t>item_text</w:t>
            </w:r>
          </w:p>
        </w:tc>
        <w:tc>
          <w:tcPr>
            <w:tcW w:type="dxa" w:w="137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4"/>
              </w:rPr>
              <w:t>correct_answer</w:t>
            </w:r>
          </w:p>
        </w:tc>
        <w:tc>
          <w:tcPr>
            <w:tcW w:type="dxa" w:w="137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4"/>
              </w:rPr>
              <w:t>n_correct</w:t>
            </w:r>
          </w:p>
        </w:tc>
        <w:tc>
          <w:tcPr>
            <w:tcW w:type="dxa" w:w="137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4"/>
              </w:rPr>
              <w:t>pct_correct</w:t>
            </w:r>
          </w:p>
        </w:tc>
        <w:tc>
          <w:tcPr>
            <w:tcW w:type="dxa" w:w="137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4"/>
              </w:rPr>
              <w:t>corrected_item_total_r</w:t>
            </w:r>
          </w:p>
        </w:tc>
        <w:tc>
          <w:tcPr>
            <w:tcW w:type="dxa" w:w="137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4"/>
              </w:rPr>
              <w:t>kr20_if_deleted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132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132. 发生性行为时，HIV 会在人与人之间传播吗?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1322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78.6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0.128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0.503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133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133. 性交时使用安全套，能帮助预防感染 HIV 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1007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59.9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0.02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0.518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134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134. 看起来很健康的 HIV 感染者也可能把病毒传给他人吗?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996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59.3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0.078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0.51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135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135. 拥抱一位感染 HIV 的人会感染 HIV 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1120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66.6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0.323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0.475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136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136. 口服避孕药能保护人不感染 HIV 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1019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60.6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0.322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0.474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137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137. 注射毒品时与他人共用针头或注射器，会把 HIV 传染给他人吗?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1256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74.7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0.175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0.497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138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138. 所有性传播感染（STIs）都是由同一种病毒引起的。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848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50.4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0.504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139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139. 衣原体感染只会影响有子宫的人。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1013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60.3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0.226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0.488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140. 必须发生插入性性行为才会感染生殖器疣。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787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46.8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0.111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0.505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141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141. 如生殖器出现带有强烈气味的黄色分泌物，可能患有衣原体感染。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1071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63.7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0.067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0.511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142. 注射毒品时共用注射器和针头的人，并不会增加感染丙型肝炎的风险。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933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55.5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0.173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0.496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143. 患有生殖器疱疹的人必须有开放性溃疡才会把感染传给性伴侣。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741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44.1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0.495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144. 过去得过淋病的人会对淋病产生免疫（受到保护），不会再次感染。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907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54.0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0.237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0.486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145. 有疫苗可以预防乙型肝炎。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934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55.6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-0.028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0.525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146. 如果一个人的 HIV 检测呈阳性，该检测能判断此人将来病情会多严重。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823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49.0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0.496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147. 通过在他人附近咳嗽或打喷嚏，HIV 会传播吗?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989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58.8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0.357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0.469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148. 衣原体感染可能导致不孕。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920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54.7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0.012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0.519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149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149. 仅凭外观就能判断自己是否患有淋病。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1002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59.6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0.204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0.491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150. 一旦感染了生殖器疱疹，体内将一直存在这种病毒。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976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58.1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-0.027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0.524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151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151. 目前有疫苗可以预防衣原体感染。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823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49.0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0.142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0.501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152. 使用无菌或清洁器具进行文身和穿孔也会传播丙型肝炎。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776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46.2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0.095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0.507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153. 人可以凭身体感觉来判断自己是否患有乙型肝炎。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962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57.2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0.174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0.496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154. 生殖器疱疹是由与 HIV 相同的病毒引起的。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783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46.6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0.128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0.503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155. 目前有可用疫苗可以预防淋病。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904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53.8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0.113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0.505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156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156. 频繁发生尿路感染会导致衣原体感染。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777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46.2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-0.028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0.525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157. HIV 会通过蚊虫叮咬传播吗?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902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53.7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0.125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0.503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158. 人乳头瘤病毒（HPV）会导致 HIV。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873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51.9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0.155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0.499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159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159. HPV 是由与 HIV 相同的病毒引起的。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否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870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51.8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0.225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0.488</w:t>
            </w:r>
          </w:p>
        </w:tc>
      </w:tr>
      <w:tr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4"/>
              </w:rPr>
              <w:t>160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160. 服用药片（暴露前预防 PrEP 或暴露后预防 PEP）可以阻止感染 HIV 吗?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是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1044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62.1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-0.093</w:t>
            </w:r>
          </w:p>
        </w:tc>
        <w:tc>
          <w:tcPr>
            <w:tcW w:type="dxa" w:w="137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</w:rPr>
              <w:t>0.533</w:t>
            </w:r>
          </w:p>
        </w:tc>
      </w:tr>
    </w:tbl>
    <w:p>
      <w:pPr>
        <w:jc w:val="both"/>
      </w:pPr>
      <w:r>
        <w:t>KR-20 for the full 29-item index was 0.51. Even after applying the prespecified answer key, several items showed weak or negative corrected item-total correlations, supporting the interpretation of this measure as a heterogeneous knowledge index rather than a unidimensional scale.</w:t>
      </w:r>
    </w:p>
    <w:p>
      <w:r>
        <w:br w:type="page"/>
      </w:r>
    </w:p>
    <w:p>
      <w:pPr>
        <w:pStyle w:val="Heading1"/>
      </w:pPr>
      <w:r>
        <w:t>Supplementary Table S3. Selected secondary outcome models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08"/>
        <w:gridCol w:w="1608"/>
        <w:gridCol w:w="1608"/>
        <w:gridCol w:w="1608"/>
        <w:gridCol w:w="1608"/>
        <w:gridCol w:w="1608"/>
      </w:tblGrid>
      <w:tr>
        <w:trPr>
          <w:tblHeader w:val="true"/>
        </w:trPr>
        <w:tc>
          <w:tcPr>
            <w:tcW w:type="dxa" w:w="160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Predictor</w:t>
            </w:r>
          </w:p>
        </w:tc>
        <w:tc>
          <w:tcPr>
            <w:tcW w:type="dxa" w:w="160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No contraception at first sex</w:t>
            </w:r>
          </w:p>
        </w:tc>
        <w:tc>
          <w:tcPr>
            <w:tcW w:type="dxa" w:w="160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Casual sex</w:t>
            </w:r>
          </w:p>
        </w:tc>
        <w:tc>
          <w:tcPr>
            <w:tcW w:type="dxa" w:w="160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Multiple partners</w:t>
            </w:r>
          </w:p>
        </w:tc>
        <w:tc>
          <w:tcPr>
            <w:tcW w:type="dxa" w:w="160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Drug-facilitated sex</w:t>
            </w:r>
          </w:p>
        </w:tc>
        <w:tc>
          <w:tcPr>
            <w:tcW w:type="dxa" w:w="1608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Any adverse outcome</w:t>
            </w:r>
          </w:p>
        </w:tc>
      </w:tr>
      <w:tr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Contact/coercive victimization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1.02 (0.90-1.15)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1.13 (0.96-1.33)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2.51 (1.88-3.36)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1.14 (0.82-1.59)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1.69 (1.31-2.17)</w:t>
            </w:r>
          </w:p>
        </w:tc>
      </w:tr>
      <w:tr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eHEALS (per 5 points)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0.97 (0.95-1.00)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0.97 (0.94-1.01)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0.97 (0.90-1.06)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1.12 (1.03-1.22)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0.90 (0.84-0.97)</w:t>
            </w:r>
          </w:p>
        </w:tc>
      </w:tr>
      <w:tr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Knowledge index (per 5 points)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1.02 (0.97-1.08)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1.02 (0.95-1.10)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0.91 (0.78-1.07)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1.30 (1.13-1.49)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0.91 (0.79-1.06)</w:t>
            </w:r>
          </w:p>
        </w:tc>
      </w:tr>
      <w:tr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Received sex education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0.89 (0.83-0.96)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1.29 (1.15-1.44)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1.20 (0.95-1.51)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1.03 (0.83-1.28)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1.09 (0.88-1.35)</w:t>
            </w:r>
          </w:p>
        </w:tc>
      </w:tr>
      <w:tr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Male sex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1.02 (0.94-1.10)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1.26 (1.11-1.43)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1.15 (0.88-1.50)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0.90 (0.70-1.14)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0.75 (0.59-0.94)</w:t>
            </w:r>
          </w:p>
        </w:tc>
      </w:tr>
      <w:tr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Current smoking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0.89 (0.82-0.97)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1.19 (1.06-1.34)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1.58 (1.21-2.07)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0.99 (0.78-1.25)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1.68 (1.31-2.16)</w:t>
            </w:r>
          </w:p>
        </w:tc>
      </w:tr>
      <w:tr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Frequent alcohol use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0.97 (0.88-1.07)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1.00 (0.88-1.13)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1.38 (1.08-1.75)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1.27 (0.99-1.62)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1.35 (1.07-1.70)</w:t>
            </w:r>
          </w:p>
        </w:tc>
      </w:tr>
      <w:tr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Age at sexual debut (per year)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1.03 (1.01-1.06)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0.91 (0.87-0.94)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0.79 (0.73-0.85)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1.02 (0.94-1.10)</w:t>
            </w:r>
          </w:p>
        </w:tc>
        <w:tc>
          <w:tcPr>
            <w:tcW w:type="dxa" w:w="1608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0.84 (0.79-0.89)</w:t>
            </w:r>
          </w:p>
        </w:tc>
      </w:tr>
    </w:tbl>
    <w:p>
      <w:pPr>
        <w:jc w:val="both"/>
      </w:pPr>
      <w:r>
        <w:t>Each cell reports the adjusted prevalence ratio (95% CI) from a modified Poisson model adjusted for the same covariate set used in the primary model.</w:t>
      </w:r>
    </w:p>
    <w:p>
      <w:r>
        <w:br w:type="page"/>
      </w:r>
    </w:p>
    <w:p>
      <w:pPr>
        <w:pStyle w:val="Heading1"/>
      </w:pPr>
      <w:r>
        <w:t>Supplementary Table S4. Stricter primary outcome (&gt;=3 of 4 direct behaviors)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rPr>
          <w:tblHeader w:val="true"/>
        </w:trPr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Predictor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aPR (95% CI)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 value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Harassment only (vs none)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0.89 (0.56-1.41)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0.622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Contact/coercive victimization (vs none)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2.36 (1.61-3.47)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eHEALS (per 5-point increase)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0.93 (0.84-1.03)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0.156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Knowledge index (per 5-point increase)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1.10 (0.89-1.36)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0.369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Received sex education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1.71 (1.24-2.35)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Male sex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1.45 (1.01-2.08)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0.043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Current age (per year)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1.03 (0.96-1.12)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0.392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Intact family structure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0.67 (0.46-0.97)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0.036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Current smoking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1.24 (0.87-1.76)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0.242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Frequent alcohol use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1.54 (1.11-2.13)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0.009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Age at sexual debut (per year)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0.77 (0.69-0.85)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</w:tbl>
    <w:p>
      <w:r>
        <w:br w:type="page"/>
      </w:r>
    </w:p>
    <w:p>
      <w:pPr>
        <w:pStyle w:val="Heading1"/>
      </w:pPr>
      <w:r>
        <w:t>Supplementary Table S5. Sensitivity model excluding eHEALS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rPr>
          <w:tblHeader w:val="true"/>
        </w:trPr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Predictor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aPR (95% CI)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 value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Harassment only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1.18 (1.01-1.39)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0.041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Contact/coercive victimization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1.57 (1.32-1.86)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Knowledge index (per 5 points)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1.14 (1.05-1.24)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0.003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Received sex education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0.98 (0.86-1.12)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0.793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Male sex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1.25 (1.08-1.46)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0.004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Current age (per year)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1.04 (1.00-1.07)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0.038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Intact family structure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0.78 (0.67-0.90)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Current smoking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1.22 (1.05-1.41)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0.008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Frequent alcohol use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1.15 (1.00-1.32)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0.048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Age at sexual debut (per year)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0.93 (0.89-0.98)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0.003</w:t>
            </w:r>
          </w:p>
        </w:tc>
      </w:tr>
    </w:tbl>
    <w:p>
      <w:r>
        <w:br w:type="page"/>
      </w:r>
    </w:p>
    <w:p>
      <w:pPr>
        <w:pStyle w:val="Heading1"/>
      </w:pPr>
      <w:r>
        <w:t>Supplementary Table S6. Exploratory eHEALS quartile model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rPr>
          <w:tblHeader w:val="true"/>
        </w:trPr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Comparison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aPR (95% CI)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 value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Q2 vs Q1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0.76 (0.64-0.91)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0.002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Q3 vs Q1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0.79 (0.66-0.93)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0.006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Q4 vs Q1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0.98 (0.82-1.17)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0.784</w:t>
            </w:r>
          </w:p>
        </w:tc>
      </w:tr>
    </w:tbl>
    <w:p>
      <w:pPr>
        <w:jc w:val="both"/>
      </w:pPr>
      <w:r>
        <w:t>The quartile model suggested a non-monotonic association, with lower adjusted prevalence in the second and third quartiles relative to the lowest quartile, but no clear gradient in the highest quartile.</w:t>
      </w:r>
    </w:p>
    <w:p>
      <w:r>
        <w:br w:type="page"/>
      </w:r>
    </w:p>
    <w:p>
      <w:pPr>
        <w:pStyle w:val="Heading1"/>
      </w:pPr>
      <w:r>
        <w:t>Supplementary Table S7. Exploratory domain-specific knowledge model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rPr>
          <w:tblHeader w:val="true"/>
        </w:trPr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Predictor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aPR (95% CI)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 value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eHEALS (per 5 points)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0.96 (0.92-1.01)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0.082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HIV knowledge z-score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1.14 (1.06-1.22)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STI/HPV knowledge z-score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1.00 (0.94-1.07)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0.943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Hepatitis knowledge z-score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1.02 (0.95-1.09)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0.598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Harassment only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1.16 (0.99-1.36)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0.071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Contact/coercive victimization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1.56 (1.32-1.85)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</w:tbl>
    <w:p>
      <w:r>
        <w:br w:type="page"/>
      </w:r>
    </w:p>
    <w:p>
      <w:pPr>
        <w:pStyle w:val="Heading1"/>
      </w:pPr>
      <w:r>
        <w:t>Supplementary Table S8. Sex-stratified and interaction analyses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rPr>
          <w:tblHeader w:val="true"/>
        </w:trPr>
        <w:tc>
          <w:tcPr>
            <w:tcW w:type="dxa" w:w="2412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Stratum</w:t>
            </w:r>
          </w:p>
        </w:tc>
        <w:tc>
          <w:tcPr>
            <w:tcW w:type="dxa" w:w="2412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Predictor</w:t>
            </w:r>
          </w:p>
        </w:tc>
        <w:tc>
          <w:tcPr>
            <w:tcW w:type="dxa" w:w="2412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aPR (95% CI)</w:t>
            </w:r>
          </w:p>
        </w:tc>
        <w:tc>
          <w:tcPr>
            <w:tcW w:type="dxa" w:w="2412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 value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Harassment only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1.28 (0.96-1.70)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0.095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Contact/coercive victimization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1.89 (1.42-2.52)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eHEALS (per 5 points)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1.01 (0.93-1.09)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0.868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Knowledge index (per 5 points)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1.17 (0.99-1.38)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0.062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Received sex education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1.15 (0.91-1.45)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0.252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Current age (per year)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1.04 (0.98-1.10)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0.191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Intact family structure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0.74 (0.57-0.98)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0.035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Current smoking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1.45 (1.13-1.85)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0.003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Frequent alcohol use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1.02 (0.77-1.34)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0.912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Women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Age at sexual debut (per year)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0.89 (0.83-0.96)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0.003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Harassment only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1.21 (0.98-1.48)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0.071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Contact/coercive victimization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1.25 (0.99-1.58)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0.062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eHEALS (per 5 points)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0.96 (0.91-1.01)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0.111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Knowledge index (per 5 points)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1.10 (0.99-1.22)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0.080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Received sex education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0.95 (0.81-1.11)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0.538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Current age (per year)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1.04 (0.99-1.08)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0.086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Intact family structure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0.82 (0.68-0.98)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0.032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Current smoking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1.08 (0.91-1.29)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0.370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Frequent alcohol use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1.24 (1.05-1.46)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0.011</w:t>
            </w:r>
          </w:p>
        </w:tc>
      </w:tr>
      <w:tr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Men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Age at sexual debut (per year)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0.96 (0.91-1.02)</w:t>
            </w:r>
          </w:p>
        </w:tc>
        <w:tc>
          <w:tcPr>
            <w:tcW w:type="dxa" w:w="2412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0.212</w:t>
            </w:r>
          </w:p>
        </w:tc>
      </w:tr>
    </w:tbl>
    <w:p>
      <w:pPr/>
      <w:r>
        <w:rPr>
          <w:b/>
        </w:rPr>
        <w:t>Interaction model: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rPr>
          <w:tblHeader w:val="true"/>
        </w:trPr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Term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aPR (95% CI)</w:t>
            </w:r>
          </w:p>
        </w:tc>
        <w:tc>
          <w:tcPr>
            <w:tcW w:type="dxa" w:w="3216"/>
            <w:vAlign w:val="center"/>
            <w:shd w:fill="1F4E78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P value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Harassment only (vs none)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1.24 (0.94-1.65)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0.126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Contact/coercive victimization (vs none)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1.99 (1.53-2.59)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&lt;0.001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Male sex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1.42 (1.13-1.77)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0.002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Harassment only × male interaction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0.96 (0.68-1.35)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0.807</w:t>
            </w:r>
          </w:p>
        </w:tc>
      </w:tr>
      <w:tr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  <w:sz w:val="16"/>
              </w:rPr>
              <w:t>Contact/coercive × male interaction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0.63 (0.45-0.88)</w:t>
            </w:r>
          </w:p>
        </w:tc>
        <w:tc>
          <w:tcPr>
            <w:tcW w:type="dxa" w:w="3216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16"/>
              </w:rPr>
              <w:t>0.008</w:t>
            </w:r>
          </w:p>
        </w:tc>
      </w:tr>
    </w:tbl>
    <w:p>
      <w:pPr>
        <w:jc w:val="both"/>
      </w:pPr>
      <w:r>
        <w:t>In the interaction model, the contact/coercive-by-male interaction term was below 1.0, suggesting that the association between contact/coercive victimization and clustered direct sexual risk behaviors was stronger among women than among men in this sample.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4E7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