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jc w:val="center"/>
        <w:rPr/>
      </w:pPr>
      <w:r>
        <w:t xml:space="preserve">File </w:t>
      </w:r>
      <w:r>
        <w:rPr>
          <w:lang w:val="en-US"/>
        </w:rPr>
        <w:t>S1</w:t>
      </w:r>
      <w:r>
        <w:t>: Informed Consent Form</w:t>
      </w:r>
    </w:p>
    <w:p>
      <w:pPr>
        <w:pStyle w:val="style0"/>
        <w:jc w:val="center"/>
        <w:rPr/>
      </w:pPr>
      <w:r>
        <w:rPr>
          <w:b/>
        </w:rPr>
        <w:t>RADFAN COLLEGE UNIVERSITY</w:t>
      </w:r>
    </w:p>
    <w:p>
      <w:pPr>
        <w:pStyle w:val="style0"/>
        <w:jc w:val="center"/>
        <w:rPr/>
      </w:pPr>
      <w:r>
        <w:rPr>
          <w:b/>
        </w:rPr>
        <w:t>INSTITUTIONAL REVIEW BOARD</w:t>
      </w:r>
    </w:p>
    <w:p>
      <w:pPr>
        <w:pStyle w:val="style0"/>
        <w:jc w:val="center"/>
        <w:rPr/>
      </w:pPr>
      <w:r>
        <w:rPr>
          <w:b/>
        </w:rPr>
        <w:t>PARTICIPANT INFORMED CONSENT FORM</w:t>
      </w:r>
    </w:p>
    <w:p>
      <w:pPr>
        <w:pStyle w:val="style0"/>
        <w:rPr/>
      </w:pPr>
      <w:r>
        <w:t>Study Title: Diagnostic Accuracy of Blood Tests for Infection Detection in Southern Yemen</w:t>
      </w:r>
    </w:p>
    <w:p>
      <w:pPr>
        <w:pStyle w:val="style0"/>
        <w:rPr/>
      </w:pPr>
      <w:r>
        <w:t xml:space="preserve">Principal Investigator: </w:t>
      </w:r>
      <w:r>
        <w:rPr>
          <w:lang w:val="en-US"/>
        </w:rPr>
        <w:t xml:space="preserve">Naif Taleb Ali </w:t>
      </w:r>
    </w:p>
    <w:p>
      <w:pPr>
        <w:pStyle w:val="style0"/>
        <w:rPr/>
      </w:pPr>
      <w:r>
        <w:t>IRB Approval Number:YEM-IRB-2024-097</w:t>
      </w:r>
    </w:p>
    <w:p>
      <w:pPr>
        <w:pStyle w:val="style0"/>
        <w:rPr/>
      </w:pPr>
      <w:r>
        <w:t>Approval Date:24 December 2024</w:t>
      </w:r>
    </w:p>
    <w:p>
      <w:pPr>
        <w:pStyle w:val="style0"/>
        <w:rPr/>
      </w:pPr>
      <w:r>
        <w:rPr>
          <w:b/>
        </w:rPr>
        <w:t>PARTICIPANT INFORMATION</w:t>
      </w:r>
    </w:p>
    <w:p>
      <w:pPr>
        <w:pStyle w:val="style0"/>
        <w:rPr/>
      </w:pPr>
      <w:r>
        <w:t>Purpose: This research study aims to evaluate whether simple blood tests can help diagnose infections when advanced laboratory tests are not available. Approximately 700 participants will be enrolled from healthcare facilities in Al-Dhalea and Lahj governorates.</w:t>
      </w:r>
    </w:p>
    <w:p>
      <w:pPr>
        <w:pStyle w:val="style0"/>
        <w:rPr/>
      </w:pPr>
      <w:r>
        <w:t>Procedures: If you agree to participate:</w:t>
      </w:r>
    </w:p>
    <w:p>
      <w:pPr>
        <w:pStyle w:val="style2"/>
        <w:rPr/>
      </w:pPr>
      <w:r>
        <w:t>1. You will answer questions about your health and symptoms (10 minutes)</w:t>
      </w:r>
    </w:p>
    <w:p>
      <w:pPr>
        <w:pStyle w:val="style2"/>
        <w:rPr/>
      </w:pPr>
      <w:r>
        <w:t>2. A small blood sample (3 ml) will be collected for routine testing</w:t>
      </w:r>
    </w:p>
    <w:p>
      <w:pPr>
        <w:pStyle w:val="style2"/>
        <w:rPr/>
      </w:pPr>
      <w:r>
        <w:t>3. Your blood will be tested for malaria using two different methods</w:t>
      </w:r>
    </w:p>
    <w:p>
      <w:pPr>
        <w:pStyle w:val="style2"/>
        <w:rPr/>
      </w:pPr>
      <w:r>
        <w:t>4. Total participation time: Approximately 30 minutes</w:t>
      </w:r>
    </w:p>
    <w:p>
      <w:pPr>
        <w:pStyle w:val="style0"/>
        <w:rPr/>
      </w:pPr>
      <w:r>
        <w:t>Risks and Discomforts:</w:t>
      </w:r>
    </w:p>
    <w:p>
      <w:pPr>
        <w:pStyle w:val="style48"/>
        <w:rPr/>
      </w:pPr>
      <w:r>
        <w:t>· Mild pain or discomfort during blood draw</w:t>
      </w:r>
    </w:p>
    <w:p>
      <w:pPr>
        <w:pStyle w:val="style48"/>
        <w:rPr/>
      </w:pPr>
      <w:r>
        <w:t>· Small bruise at the needle site (usually resolves within 2-3 days)</w:t>
      </w:r>
    </w:p>
    <w:p>
      <w:pPr>
        <w:pStyle w:val="style48"/>
        <w:rPr/>
      </w:pPr>
      <w:r>
        <w:t>· These risks are minimal and similar to routine blood tests</w:t>
      </w:r>
    </w:p>
    <w:p>
      <w:pPr>
        <w:pStyle w:val="style0"/>
        <w:rPr/>
      </w:pPr>
      <w:r>
        <w:t>Benefits:</w:t>
      </w:r>
    </w:p>
    <w:p>
      <w:pPr>
        <w:pStyle w:val="style48"/>
        <w:rPr/>
      </w:pPr>
      <w:r>
        <w:t>· You will receive free malaria testing</w:t>
      </w:r>
    </w:p>
    <w:p>
      <w:pPr>
        <w:pStyle w:val="style48"/>
        <w:rPr/>
      </w:pPr>
      <w:r>
        <w:t>· Your test results will be shared with your treating doctor</w:t>
      </w:r>
    </w:p>
    <w:p>
      <w:pPr>
        <w:pStyle w:val="style48"/>
        <w:rPr/>
      </w:pPr>
      <w:r>
        <w:t>· Your participation may help improve healthcare for others in similar settings</w:t>
      </w:r>
    </w:p>
    <w:p>
      <w:pPr>
        <w:pStyle w:val="style0"/>
        <w:rPr/>
      </w:pPr>
      <w:r>
        <w:t>Confidentiality: Your personal information will be kept strictly confidential. Your name will not appear in any reports or publications. All study data will be assigned a code number. Electronic data will be stored on password-protected computers for 5 years, after which it will be permanently deleted.</w:t>
      </w:r>
    </w:p>
    <w:p>
      <w:pPr>
        <w:pStyle w:val="style0"/>
        <w:rPr/>
      </w:pPr>
      <w:r>
        <w:t>Voluntary Participation: Your participation is entirely voluntary. You may refuse to participate or withdraw from the study at any time without any penalty or effect on your medical care.</w:t>
      </w:r>
    </w:p>
    <w:p>
      <w:pPr>
        <w:pStyle w:val="style0"/>
        <w:rPr/>
      </w:pPr>
      <w:r>
        <w:t xml:space="preserve">Questions: If you have questions about this study, please contact: [Investigator Contact Information]. For questions about your rights as a research participant, contact: Radfan College University IRB at irb@radfan.edu.ye or +967 4 </w:t>
      </w:r>
      <w:r>
        <w:rPr>
          <w:lang w:val="en-US"/>
        </w:rPr>
        <w:t>32767</w:t>
      </w:r>
      <w:r>
        <w:t>.</w:t>
      </w:r>
    </w:p>
    <w:p>
      <w:pPr>
        <w:pStyle w:val="style0"/>
        <w:rPr/>
      </w:pPr>
      <w:r>
        <w:rPr>
          <w:b/>
        </w:rPr>
        <w:t>CONSENT STATEMENT</w:t>
      </w:r>
    </w:p>
    <w:p>
      <w:pPr>
        <w:pStyle w:val="style0"/>
        <w:rPr/>
      </w:pPr>
      <w:r>
        <w:t>I have read this consent form (or it has been read to me) in a language I understand. I have had the opportunity to ask questions, and my questions have been answered to my satisfaction. I voluntarily agree to participate in this research study.</w:t>
      </w:r>
    </w:p>
    <w:p>
      <w:pPr>
        <w:pStyle w:val="style0"/>
        <w:rPr/>
      </w:pPr>
      <w:r>
        <w:t>Participant's Name (Print): __________________________</w:t>
      </w:r>
    </w:p>
    <w:p>
      <w:pPr>
        <w:pStyle w:val="style0"/>
        <w:rPr/>
      </w:pPr>
      <w:r>
        <w:t>Participant's Signature/Thumbprint: _________________</w:t>
      </w:r>
    </w:p>
    <w:p>
      <w:pPr>
        <w:pStyle w:val="style0"/>
        <w:rPr/>
      </w:pPr>
      <w:r>
        <w:t>Date: //202</w:t>
      </w:r>
      <w:r>
        <w:rPr>
          <w:lang w:val="en-US"/>
        </w:rPr>
        <w:t>5</w:t>
      </w:r>
    </w:p>
    <w:p>
      <w:pPr>
        <w:pStyle w:val="style0"/>
        <w:rPr/>
      </w:pPr>
      <w:r>
        <w:t>Witness Name (Print): ______________________________</w:t>
      </w:r>
    </w:p>
    <w:p>
      <w:pPr>
        <w:pStyle w:val="style0"/>
        <w:rPr/>
      </w:pPr>
      <w:r>
        <w:t>Witness Signature: _______________________________</w:t>
      </w:r>
    </w:p>
    <w:p>
      <w:pPr>
        <w:pStyle w:val="style0"/>
        <w:rPr/>
      </w:pPr>
      <w:r>
        <w:t>Researcher's Name (Print): _________________________</w:t>
      </w:r>
    </w:p>
    <w:p>
      <w:pPr>
        <w:pStyle w:val="style0"/>
        <w:rPr/>
      </w:pPr>
      <w:r>
        <w:t>Researcher's Signature: ___________________________</w:t>
      </w:r>
    </w:p>
    <w:p>
      <w:pPr>
        <w:pStyle w:val="style0"/>
        <w:rPr/>
      </w:pPr>
      <w:r>
        <w:t>Date: //202</w:t>
      </w:r>
      <w:r>
        <w:rPr>
          <w:lang w:val="en-US"/>
        </w:rPr>
        <w:t>5</w:t>
      </w:r>
    </w:p>
    <w:p>
      <w:pPr>
        <w:pStyle w:val="style0"/>
        <w:rPr/>
      </w:pPr>
    </w:p>
    <w:p>
      <w:pPr>
        <w:pStyle w:val="style0"/>
        <w:rPr/>
      </w:pPr>
    </w:p>
    <w:p>
      <w:pPr>
        <w:pStyle w:val="style0"/>
        <w:rPr/>
      </w:pPr>
    </w:p>
    <w:p>
      <w:pPr>
        <w:pStyle w:val="style0"/>
        <w:rPr/>
      </w:pPr>
    </w:p>
    <w:p>
      <w:pPr>
        <w:pStyle w:val="style0"/>
        <w:rPr/>
      </w:pPr>
    </w:p>
    <w:p>
      <w:pPr>
        <w:pBdr>
          <w:bottom w:val="single" w:sz="8" w:space="4" w:color="4f81bd"/>
        </w:pBdr>
        <w:spacing w:after="300" w:lineRule="auto" w:line="240"/>
        <w:jc w:val="center"/>
        <w:rPr>
          <w:rFonts w:ascii="Calibri" w:cs="宋体" w:eastAsia="ＭＳ ゴシック" w:hAnsi="Calibri"/>
          <w:b/>
          <w:bCs/>
          <w:color w:val="4f81bd"/>
          <w:sz w:val="28"/>
          <w:szCs w:val="28"/>
        </w:rPr>
      </w:pP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S2</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 xml:space="preserve"> </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File:</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 xml:space="preserve"> </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Data</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 xml:space="preserve"> </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Collection</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 xml:space="preserve"> </w:t>
      </w:r>
      <w:r>
        <w:rPr>
          <w:rFonts w:ascii="Calibri" w:cs="宋体" w:eastAsia="ＭＳ ゴシック" w:hAnsi="Calibri" w:hint="default"/>
          <w:b w:val="false"/>
          <w:bCs w:val="false"/>
          <w:i w:val="false"/>
          <w:iCs w:val="false"/>
          <w:color w:val="17365d"/>
          <w:spacing w:val="5"/>
          <w:kern w:val="28"/>
          <w:sz w:val="52"/>
          <w:szCs w:val="52"/>
          <w:highlight w:val="none"/>
          <w:vertAlign w:val="baseline"/>
          <w:em w:val="none"/>
          <w:lang w:val="en-US" w:eastAsia="en-US"/>
        </w:rPr>
        <w:t>Questionnaire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bCs/>
          <w:i w:val="false"/>
          <w:iCs w:val="false"/>
          <w:color w:val="auto"/>
          <w:sz w:val="22"/>
          <w:szCs w:val="22"/>
          <w:highlight w:val="none"/>
          <w:vertAlign w:val="baseline"/>
          <w:em w:val="none"/>
          <w:lang w:val="en-US" w:eastAsia="en-US"/>
        </w:rPr>
        <w:t>STUDY</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ID:</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bCs/>
          <w:i w:val="false"/>
          <w:iCs w:val="false"/>
          <w:color w:val="auto"/>
          <w:sz w:val="22"/>
          <w:szCs w:val="22"/>
          <w:highlight w:val="none"/>
          <w:vertAlign w:val="baseline"/>
          <w:em w:val="none"/>
          <w:lang w:val="en-US" w:eastAsia="en-US"/>
        </w:rPr>
        <w:t>FACILITY:</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Al-Dhalea</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Lahj</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bCs/>
          <w:i w:val="false"/>
          <w:iCs w:val="false"/>
          <w:color w:val="auto"/>
          <w:sz w:val="22"/>
          <w:szCs w:val="22"/>
          <w:highlight w:val="none"/>
          <w:vertAlign w:val="baseline"/>
          <w:em w:val="none"/>
          <w:lang w:val="en-US" w:eastAsia="en-US"/>
        </w:rPr>
        <w:t>DATE:</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___/___/2025</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bCs/>
          <w:i w:val="false"/>
          <w:iCs w:val="false"/>
          <w:color w:val="auto"/>
          <w:sz w:val="22"/>
          <w:szCs w:val="22"/>
          <w:highlight w:val="none"/>
          <w:vertAlign w:val="baseline"/>
          <w:em w:val="none"/>
          <w:lang w:val="en-US" w:eastAsia="en-US"/>
        </w:rPr>
        <w:t>TIME:</w:t>
      </w:r>
      <w:r>
        <w:rPr>
          <w:rFonts w:ascii="Cambria" w:cs="宋体" w:eastAsia="ＭＳ 明朝" w:hAnsi="Cambria" w:hint="default"/>
          <w:b/>
          <w:bCs/>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bCs/>
          <w:i w:val="false"/>
          <w:iCs w:val="false"/>
          <w:color w:val="auto"/>
          <w:sz w:val="22"/>
          <w:szCs w:val="22"/>
          <w:highlight w:val="none"/>
          <w:vertAlign w:val="baseline"/>
          <w:em w:val="none"/>
          <w:lang w:val="en-US" w:eastAsia="en-US"/>
        </w:rPr>
        <w:t>___:___</w:t>
      </w:r>
    </w:p>
    <w:p>
      <w:pPr>
        <w:keepNext/>
        <w:keepLines/>
        <w:spacing w:before="480" w:lineRule="auto" w:line="276"/>
        <w:jc w:val="left"/>
        <w:outlineLvl w:val="0"/>
        <w:rPr>
          <w:rFonts w:ascii="Calibri" w:cs="宋体" w:eastAsia="ＭＳ ゴシック" w:hAnsi="Calibri"/>
          <w:b/>
          <w:bCs/>
          <w:color w:val="4f81bd"/>
          <w:sz w:val="28"/>
          <w:szCs w:val="28"/>
        </w:rPr>
      </w:pPr>
      <w:r>
        <w:rPr>
          <w:rFonts w:ascii="Calibri" w:cs="宋体" w:eastAsia="ＭＳ ゴシック" w:hAnsi="Calibri" w:hint="default"/>
          <w:b/>
          <w:bCs/>
          <w:i w:val="false"/>
          <w:iCs w:val="false"/>
          <w:color w:val="365f91"/>
          <w:sz w:val="28"/>
          <w:szCs w:val="28"/>
          <w:highlight w:val="none"/>
          <w:vertAlign w:val="baseline"/>
          <w:em w:val="none"/>
          <w:lang w:val="en-US" w:eastAsia="en-US"/>
        </w:rPr>
        <w:t>SECTION</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A:</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DEMOGRAPHICS</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Age: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years</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Sex:</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Male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Female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Governorate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residence: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Al-Dhalea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Lahj</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Type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residence: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Urban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Rural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IDP</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Camp</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Occupation: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___________________________</w:t>
      </w:r>
    </w:p>
    <w:p>
      <w:pPr>
        <w:keepNext/>
        <w:keepLines/>
        <w:spacing w:before="480" w:lineRule="auto" w:line="276"/>
        <w:jc w:val="left"/>
        <w:outlineLvl w:val="0"/>
        <w:rPr>
          <w:rFonts w:ascii="Calibri" w:cs="宋体" w:eastAsia="ＭＳ ゴシック" w:hAnsi="Calibri"/>
          <w:b/>
          <w:bCs/>
          <w:color w:val="4f81bd"/>
          <w:sz w:val="28"/>
          <w:szCs w:val="28"/>
        </w:rPr>
      </w:pPr>
      <w:r>
        <w:rPr>
          <w:rFonts w:ascii="Calibri" w:cs="宋体" w:eastAsia="ＭＳ ゴシック" w:hAnsi="Calibri" w:hint="default"/>
          <w:b/>
          <w:bCs/>
          <w:i w:val="false"/>
          <w:iCs w:val="false"/>
          <w:color w:val="365f91"/>
          <w:sz w:val="28"/>
          <w:szCs w:val="28"/>
          <w:highlight w:val="none"/>
          <w:vertAlign w:val="baseline"/>
          <w:em w:val="none"/>
          <w:lang w:val="en-US" w:eastAsia="en-US"/>
        </w:rPr>
        <w:t>SECTION</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B:</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CLINICAL</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PRESENTATION</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fever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how</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many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days</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Highest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temperature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measured: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Other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symptoms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present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(check</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apply):</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Headache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Chills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Body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aches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Fatigue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Nausea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Vomiting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Diarrhea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Cough</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Difficulty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breathing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Abdominal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Other: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Duration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illness: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days</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B6.</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sought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medical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care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illness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before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today?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p>
    <w:p>
      <w:pPr>
        <w:keepNext/>
        <w:keepLines/>
        <w:spacing w:before="480" w:lineRule="auto" w:line="276"/>
        <w:jc w:val="left"/>
        <w:outlineLvl w:val="0"/>
        <w:rPr>
          <w:rFonts w:ascii="Calibri" w:cs="宋体" w:eastAsia="ＭＳ ゴシック" w:hAnsi="Calibri"/>
          <w:b/>
          <w:bCs/>
          <w:color w:val="4f81bd"/>
          <w:sz w:val="28"/>
          <w:szCs w:val="28"/>
        </w:rPr>
      </w:pPr>
      <w:r>
        <w:rPr>
          <w:rFonts w:ascii="Calibri" w:cs="宋体" w:eastAsia="ＭＳ ゴシック" w:hAnsi="Calibri" w:hint="default"/>
          <w:b/>
          <w:bCs/>
          <w:i w:val="false"/>
          <w:iCs w:val="false"/>
          <w:color w:val="365f91"/>
          <w:sz w:val="28"/>
          <w:szCs w:val="28"/>
          <w:highlight w:val="none"/>
          <w:vertAlign w:val="baseline"/>
          <w:em w:val="none"/>
          <w:lang w:val="en-US" w:eastAsia="en-US"/>
        </w:rPr>
        <w:t>SECTION</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C:</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MEDICAL</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HISTORY</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taken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antibiotics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past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7</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which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antibiotic?</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C2b.</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taken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antimalarial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medication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chloroquine,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artemisinin-based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combination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therapy)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past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7</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C2c.</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which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antimalarial?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chronic</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medical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conditions?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please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specify:</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Diabetes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High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blood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pressure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Heart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disease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Asthma/COPD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Kidney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disease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Liver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disease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Other: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C6.</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currently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pregnant?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applicable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C7.</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diagnosed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malaria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past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months?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p>
    <w:p>
      <w:pPr>
        <w:keepNext/>
        <w:keepLines/>
        <w:spacing w:before="480" w:lineRule="auto" w:line="276"/>
        <w:jc w:val="left"/>
        <w:outlineLvl w:val="0"/>
        <w:rPr>
          <w:rFonts w:ascii="Calibri" w:cs="宋体" w:eastAsia="ＭＳ ゴシック" w:hAnsi="Calibri"/>
          <w:b/>
          <w:bCs/>
          <w:color w:val="4f81bd"/>
          <w:sz w:val="28"/>
          <w:szCs w:val="28"/>
        </w:rPr>
      </w:pPr>
      <w:r>
        <w:rPr>
          <w:rFonts w:ascii="Calibri" w:cs="宋体" w:eastAsia="ＭＳ ゴシック" w:hAnsi="Calibri" w:hint="default"/>
          <w:b/>
          <w:bCs/>
          <w:i w:val="false"/>
          <w:iCs w:val="false"/>
          <w:color w:val="365f91"/>
          <w:sz w:val="28"/>
          <w:szCs w:val="28"/>
          <w:highlight w:val="none"/>
          <w:vertAlign w:val="baseline"/>
          <w:em w:val="none"/>
          <w:lang w:val="en-US" w:eastAsia="en-US"/>
        </w:rPr>
        <w:t>SECTION</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D:</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PHYSICAL</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EXAMINATION</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Temperature: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Heart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rate: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beats/minute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Respiratory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rate: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breaths/minute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Blood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pressure: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mmHg</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Pallor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(paleness):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Present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Absent</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D6.</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Jaundice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(yellow</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eyes/skin):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Present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Absent</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Examined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Signature: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keepNext/>
        <w:keepLines/>
        <w:spacing w:before="480" w:lineRule="auto" w:line="276"/>
        <w:jc w:val="left"/>
        <w:outlineLvl w:val="0"/>
        <w:rPr>
          <w:rFonts w:ascii="Calibri" w:cs="宋体" w:eastAsia="ＭＳ ゴシック" w:hAnsi="Calibri"/>
          <w:b/>
          <w:bCs/>
          <w:color w:val="4f81bd"/>
          <w:sz w:val="28"/>
          <w:szCs w:val="28"/>
        </w:rPr>
      </w:pPr>
      <w:r>
        <w:rPr>
          <w:rFonts w:ascii="Calibri" w:cs="宋体" w:eastAsia="ＭＳ ゴシック" w:hAnsi="Calibri" w:hint="default"/>
          <w:b/>
          <w:bCs/>
          <w:i w:val="false"/>
          <w:iCs w:val="false"/>
          <w:color w:val="365f91"/>
          <w:sz w:val="28"/>
          <w:szCs w:val="28"/>
          <w:highlight w:val="none"/>
          <w:vertAlign w:val="baseline"/>
          <w:em w:val="none"/>
          <w:lang w:val="en-US" w:eastAsia="en-US"/>
        </w:rPr>
        <w:t>SECTION</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E:</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LABORATORY</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RESULTS</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Complete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Blood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Count:</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White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Blood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Cells: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×10⁹/L</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Neutrophils: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×10⁹/L</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Lymphocytes: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×10⁹/L</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Platelets: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×10⁹/L</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Hemoglobin: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g/dL</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E6.</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RDW:</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Calculated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Indices:</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E7.</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NLR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(Neutrophil/Lymphocyte):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E8.</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(Platelet/Lymphocyte):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Malaria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Testing:</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E9.</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Rapid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Diagnostic</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Test: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Negative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Pv</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Invalid</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E10.</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Microscopy: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Negative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Positive</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E11.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positive,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species: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Falciparum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Vivax</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Mixed</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E12.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Parasite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density: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parasites/μL</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Technician: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___/___/2025</w:t>
      </w:r>
    </w:p>
    <w:p>
      <w:pPr>
        <w:keepNext/>
        <w:keepLines/>
        <w:spacing w:before="480" w:lineRule="auto" w:line="276"/>
        <w:jc w:val="left"/>
        <w:outlineLvl w:val="0"/>
        <w:rPr>
          <w:rFonts w:ascii="Calibri" w:cs="宋体" w:eastAsia="ＭＳ ゴシック" w:hAnsi="Calibri"/>
          <w:b/>
          <w:bCs/>
          <w:color w:val="4f81bd"/>
          <w:sz w:val="28"/>
          <w:szCs w:val="28"/>
        </w:rPr>
      </w:pPr>
      <w:r>
        <w:rPr>
          <w:rFonts w:ascii="Calibri" w:cs="宋体" w:eastAsia="ＭＳ ゴシック" w:hAnsi="Calibri" w:hint="default"/>
          <w:b/>
          <w:bCs/>
          <w:i w:val="false"/>
          <w:iCs w:val="false"/>
          <w:color w:val="365f91"/>
          <w:sz w:val="28"/>
          <w:szCs w:val="28"/>
          <w:highlight w:val="none"/>
          <w:vertAlign w:val="baseline"/>
          <w:em w:val="none"/>
          <w:lang w:val="en-US" w:eastAsia="en-US"/>
        </w:rPr>
        <w:t>SECTION</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F:</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FINAL</w:t>
      </w:r>
      <w:r>
        <w:rPr>
          <w:rFonts w:ascii="Calibri" w:cs="宋体" w:eastAsia="ＭＳ ゴシック" w:hAnsi="Calibri" w:hint="default"/>
          <w:b/>
          <w:bCs/>
          <w:i w:val="false"/>
          <w:iCs w:val="false"/>
          <w:color w:val="365f91"/>
          <w:sz w:val="28"/>
          <w:szCs w:val="28"/>
          <w:highlight w:val="none"/>
          <w:vertAlign w:val="baseline"/>
          <w:em w:val="none"/>
          <w:lang w:val="en-US" w:eastAsia="en-US"/>
        </w:rPr>
        <w:t xml:space="preserve"> </w:t>
      </w:r>
      <w:r>
        <w:rPr>
          <w:rFonts w:ascii="Calibri" w:cs="宋体" w:eastAsia="ＭＳ ゴシック" w:hAnsi="Calibri" w:hint="default"/>
          <w:b/>
          <w:bCs/>
          <w:i w:val="false"/>
          <w:iCs w:val="false"/>
          <w:color w:val="365f91"/>
          <w:sz w:val="28"/>
          <w:szCs w:val="28"/>
          <w:highlight w:val="none"/>
          <w:vertAlign w:val="baseline"/>
          <w:em w:val="none"/>
          <w:lang w:val="en-US" w:eastAsia="en-US"/>
        </w:rPr>
        <w:t>CLASSIFICATION</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Final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diagnosis: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Malaria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Other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febrile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illness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infection</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Treatment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given: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Referral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made: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If</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referred,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Clinician: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________________________</w:t>
      </w:r>
    </w:p>
    <w:p>
      <w:pPr>
        <w:spacing w:after="200" w:lineRule="auto" w:line="276"/>
        <w:jc w:val="left"/>
        <w:rPr>
          <w:rFonts w:ascii="Calibri" w:cs="宋体" w:eastAsia="ＭＳ ゴシック" w:hAnsi="Calibri"/>
          <w:b/>
          <w:bCs/>
          <w:color w:val="4f81bd"/>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___/___/2025</w:t>
      </w:r>
    </w:p>
    <w:p>
      <w:pPr>
        <w:pStyle w:val="style0"/>
        <w:rPr>
          <w:rFonts w:ascii="Calibri" w:cs="宋体" w:eastAsia="ＭＳ ゴシック" w:hAnsi="Calibri"/>
          <w:b/>
          <w:bCs/>
          <w:color w:val="4f81bd"/>
          <w:sz w:val="28"/>
          <w:szCs w:val="28"/>
        </w:rPr>
      </w:pPr>
    </w:p>
    <w:p>
      <w:pPr>
        <w:pStyle w:val="style0"/>
        <w:rPr>
          <w:rFonts w:ascii="Calibri" w:cs="宋体" w:eastAsia="ＭＳ ゴシック" w:hAnsi="Calibri"/>
          <w:b/>
          <w:bCs/>
          <w:color w:val="4f81bd"/>
          <w:sz w:val="28"/>
          <w:szCs w:val="28"/>
        </w:rPr>
      </w:pPr>
      <w:r>
        <w:rPr>
          <w:rFonts w:ascii="Calibri" w:cs="宋体" w:eastAsia="ＭＳ ゴシック" w:hAnsi="Calibri"/>
          <w:b/>
          <w:bCs/>
          <w:color w:val="4f81bd"/>
          <w:sz w:val="28"/>
          <w:szCs w:val="28"/>
        </w:rPr>
        <w:t>S3 File: Contextual Challenges Appendix</w:t>
      </w:r>
    </w:p>
    <w:p>
      <w:pPr>
        <w:pStyle w:val="style0"/>
        <w:jc w:val="center"/>
        <w:rPr/>
      </w:pPr>
      <w:r>
        <w:rPr>
          <w:b/>
        </w:rPr>
        <w:t>STUDY CONTEXT AND LOGISTICAL CHALLENGES</w:t>
      </w:r>
    </w:p>
    <w:p>
      <w:pPr>
        <w:pStyle w:val="style0"/>
        <w:rPr/>
      </w:pPr>
      <w:r>
        <w:t>Study Setting: This research was conducted in Al-Dhalea and Lahj governorates of southern Yemen between January and December 202</w:t>
      </w:r>
      <w:r>
        <w:rPr>
          <w:lang w:val="en-US"/>
        </w:rPr>
        <w:t>5</w:t>
      </w:r>
      <w:r>
        <w:t>. These regions have experienced continuous armed conflict since 2015, resulting in the collapse of approximately 50% of healthcare facilities and severe disruptions to essential services.</w:t>
      </w:r>
    </w:p>
    <w:p>
      <w:pPr>
        <w:pStyle w:val="style2"/>
        <w:rPr/>
      </w:pPr>
      <w:r>
        <w:t>1. INFRASTRUCTURAL CHALLENGES</w:t>
      </w:r>
    </w:p>
    <w:p>
      <w:pPr>
        <w:pStyle w:val="style3"/>
        <w:rPr/>
      </w:pPr>
      <w:r>
        <w:t>1.1 Electricity Supply:</w:t>
      </w:r>
    </w:p>
    <w:p>
      <w:pPr>
        <w:pStyle w:val="style48"/>
        <w:rPr/>
      </w:pPr>
      <w:r>
        <w:t>· Issue: Intermittent electricity supply at 12 out of 15 study sites (80%)</w:t>
      </w:r>
    </w:p>
    <w:p>
      <w:pPr>
        <w:pStyle w:val="style48"/>
        <w:rPr/>
      </w:pPr>
      <w:r>
        <w:t>· Impact: Hematology analyzers required consistent power; microscopy readings delayed</w:t>
      </w:r>
    </w:p>
    <w:p>
      <w:pPr>
        <w:pStyle w:val="style48"/>
        <w:rPr/>
      </w:pPr>
      <w:r>
        <w:t>· Mitigation: Use of portable generators (fuel availability: 3-4 hours/day); solar-powered microscopes at 3 facilities</w:t>
      </w:r>
    </w:p>
    <w:p>
      <w:pPr>
        <w:pStyle w:val="style3"/>
        <w:rPr/>
      </w:pPr>
      <w:r>
        <w:t>1.2 Transportation and Access:</w:t>
      </w:r>
    </w:p>
    <w:p>
      <w:pPr>
        <w:pStyle w:val="style48"/>
        <w:rPr/>
      </w:pPr>
      <w:r>
        <w:t>· Issue: Road blockades and security restrictions limited access to 8 remote facilities</w:t>
      </w:r>
    </w:p>
    <w:p>
      <w:pPr>
        <w:pStyle w:val="style48"/>
        <w:rPr/>
      </w:pPr>
      <w:r>
        <w:t>· Impact: Delayed sample transport (average delay: 4-6 hours)</w:t>
      </w:r>
    </w:p>
    <w:p>
      <w:pPr>
        <w:pStyle w:val="style48"/>
        <w:rPr/>
      </w:pPr>
      <w:r>
        <w:t>· Mitigation: Pre-positioning of supplies; use of local motorbike couriers; collaboration with community health workers</w:t>
      </w:r>
    </w:p>
    <w:p>
      <w:pPr>
        <w:pStyle w:val="style2"/>
        <w:rPr/>
      </w:pPr>
      <w:r>
        <w:t>2. HEALTH SYSTEM CONSTRAINTS</w:t>
      </w:r>
    </w:p>
    <w:p>
      <w:pPr>
        <w:pStyle w:val="style3"/>
        <w:rPr/>
      </w:pPr>
      <w:r>
        <w:t>2.1 Healthcare Facility Functionality:</w:t>
      </w:r>
    </w:p>
    <w:p>
      <w:pPr>
        <w:pStyle w:val="style48"/>
        <w:rPr/>
      </w:pPr>
      <w:r>
        <w:t>· Status at enrollment: 9/15 facilities (60%) lacked running water</w:t>
      </w:r>
    </w:p>
    <w:p>
      <w:pPr>
        <w:pStyle w:val="style48"/>
        <w:rPr/>
      </w:pPr>
      <w:r>
        <w:t>· Staffing: Average 1.2 nurses per facility (WHO recommendation: 4.45)</w:t>
      </w:r>
    </w:p>
    <w:p>
      <w:pPr>
        <w:pStyle w:val="style48"/>
        <w:rPr/>
      </w:pPr>
      <w:r>
        <w:t>· Impact: Limited capacity for participant enrollment and follow-up</w:t>
      </w:r>
    </w:p>
    <w:p>
      <w:pPr>
        <w:pStyle w:val="style48"/>
        <w:rPr/>
      </w:pPr>
      <w:r>
        <w:t>· Mitigation: Task-shifting to trained community volunteers; simplified procedures</w:t>
      </w:r>
    </w:p>
    <w:p>
      <w:pPr>
        <w:pStyle w:val="style3"/>
        <w:rPr/>
      </w:pPr>
      <w:r>
        <w:t>2.2 Diagnostic Capacity:</w:t>
      </w:r>
    </w:p>
    <w:p>
      <w:pPr>
        <w:pStyle w:val="style48"/>
        <w:rPr/>
      </w:pPr>
      <w:r>
        <w:t>· Baseline assessment: Only 3 facilities had functioning microscopy</w:t>
      </w:r>
    </w:p>
    <w:p>
      <w:pPr>
        <w:pStyle w:val="style48"/>
        <w:rPr/>
      </w:pPr>
      <w:r>
        <w:t>· Reagent availability: Stockouts reported for 40% of essential laboratory supplies</w:t>
      </w:r>
    </w:p>
    <w:p>
      <w:pPr>
        <w:pStyle w:val="style48"/>
        <w:rPr/>
      </w:pPr>
      <w:r>
        <w:t>· Mitigation: Centralized supply chain with buffer stocks; use of alternative reagents</w:t>
      </w:r>
    </w:p>
    <w:p>
      <w:pPr>
        <w:pStyle w:val="style2"/>
        <w:rPr/>
      </w:pPr>
      <w:r>
        <w:t>3. SUPPLY CHAIN DISRUPTIONS</w:t>
      </w:r>
    </w:p>
    <w:p>
      <w:pPr>
        <w:pStyle w:val="style3"/>
        <w:rPr/>
      </w:pPr>
      <w:r>
        <w:t>3.1 Reagent Scarcity:</w:t>
      </w:r>
    </w:p>
    <w:p>
      <w:pPr>
        <w:pStyle w:val="style48"/>
        <w:rPr/>
      </w:pPr>
      <w:r>
        <w:t>· Critical shortages: EDTA tubes (2-month stockout), Giemsa stain (3-month stockout)</w:t>
      </w:r>
    </w:p>
    <w:p>
      <w:pPr>
        <w:pStyle w:val="style48"/>
        <w:rPr/>
      </w:pPr>
      <w:r>
        <w:t>· Impact: 15% reduction in daily testing capacity</w:t>
      </w:r>
    </w:p>
    <w:p>
      <w:pPr>
        <w:pStyle w:val="style48"/>
        <w:rPr/>
      </w:pPr>
      <w:r>
        <w:t>· Mitigation: Local procurement of alternatives; dilution protocols; extended reagent shelf-life monitoring</w:t>
      </w:r>
    </w:p>
    <w:p>
      <w:pPr>
        <w:pStyle w:val="style3"/>
        <w:rPr/>
      </w:pPr>
      <w:r>
        <w:t>3.2 Equipment Maintenance:</w:t>
      </w:r>
    </w:p>
    <w:p>
      <w:pPr>
        <w:pStyle w:val="style48"/>
        <w:rPr/>
      </w:pPr>
      <w:r>
        <w:t>· Challenge: No manufacturer support available due to conflict</w:t>
      </w:r>
    </w:p>
    <w:p>
      <w:pPr>
        <w:pStyle w:val="style48"/>
        <w:rPr/>
      </w:pPr>
      <w:r>
        <w:t>· Equipment downtime: Hematology analyzers non-functional for average 7 days/month</w:t>
      </w:r>
    </w:p>
    <w:p>
      <w:pPr>
        <w:pStyle w:val="style48"/>
        <w:rPr/>
      </w:pPr>
      <w:r>
        <w:t>· Mitigation: Cross-training of technicians; development of local repair capacity; backup manual methods</w:t>
      </w:r>
    </w:p>
    <w:p>
      <w:pPr>
        <w:pStyle w:val="style2"/>
        <w:rPr/>
      </w:pPr>
      <w:r>
        <w:t>4. PARTICIPANT-RELATED CHALLENGES</w:t>
      </w:r>
    </w:p>
    <w:p>
      <w:pPr>
        <w:pStyle w:val="style3"/>
        <w:rPr/>
      </w:pPr>
      <w:r>
        <w:t>4.1 Healthcare Access Barriers:</w:t>
      </w:r>
    </w:p>
    <w:p>
      <w:pPr>
        <w:pStyle w:val="style48"/>
        <w:rPr/>
      </w:pPr>
      <w:r>
        <w:t>· Distance to facilities: Average 8.5 km (range: 2-25 km)</w:t>
      </w:r>
    </w:p>
    <w:p>
      <w:pPr>
        <w:pStyle w:val="style48"/>
        <w:rPr/>
      </w:pPr>
      <w:r>
        <w:t>· Transport costs: Equivalent to 2 days' wages for average household</w:t>
      </w:r>
    </w:p>
    <w:p>
      <w:pPr>
        <w:pStyle w:val="style48"/>
        <w:rPr/>
      </w:pPr>
      <w:r>
        <w:t>· Impact: Delayed presentation (median symptom duration: 4 days before care-seeking)</w:t>
      </w:r>
    </w:p>
    <w:p>
      <w:pPr>
        <w:pStyle w:val="style48"/>
        <w:rPr/>
      </w:pPr>
      <w:r>
        <w:t>· Mitigation: Mobile outreach teams; transportation subsidies for participants</w:t>
      </w:r>
    </w:p>
    <w:p>
      <w:pPr>
        <w:pStyle w:val="style3"/>
        <w:rPr/>
      </w:pPr>
      <w:r>
        <w:t>4.2 Health Literacy and Trust:</w:t>
      </w:r>
    </w:p>
    <w:p>
      <w:pPr>
        <w:pStyle w:val="style48"/>
        <w:rPr/>
      </w:pPr>
      <w:r>
        <w:t>· Challenge: Low literacy rates (estimated 35% in study areas)</w:t>
      </w:r>
    </w:p>
    <w:p>
      <w:pPr>
        <w:pStyle w:val="style48"/>
        <w:rPr/>
      </w:pPr>
      <w:r>
        <w:t>· Concerns: Vaccine hesitancy extended to research participation</w:t>
      </w:r>
    </w:p>
    <w:p>
      <w:pPr>
        <w:pStyle w:val="style48"/>
        <w:rPr/>
      </w:pPr>
      <w:r>
        <w:t>· Mitigation: Community engagement through local leaders; pictorial consent forms; trust-building activities</w:t>
      </w:r>
    </w:p>
    <w:p>
      <w:pPr>
        <w:pStyle w:val="style2"/>
        <w:rPr/>
      </w:pPr>
      <w:r>
        <w:t>5. DATA MANAGEMENT CHALLENGES</w:t>
      </w:r>
    </w:p>
    <w:p>
      <w:pPr>
        <w:pStyle w:val="style3"/>
        <w:rPr/>
      </w:pPr>
      <w:r>
        <w:t>5.1 Digital Infrastructure:</w:t>
      </w:r>
    </w:p>
    <w:p>
      <w:pPr>
        <w:pStyle w:val="style48"/>
        <w:rPr/>
      </w:pPr>
      <w:r>
        <w:t>· Internet connectivity: Available at only 4 facilities (27%)</w:t>
      </w:r>
    </w:p>
    <w:p>
      <w:pPr>
        <w:pStyle w:val="style48"/>
        <w:rPr/>
      </w:pPr>
      <w:r>
        <w:t>· Impact: Real-time data transmission impossible</w:t>
      </w:r>
    </w:p>
    <w:p>
      <w:pPr>
        <w:pStyle w:val="style48"/>
        <w:rPr/>
      </w:pPr>
      <w:r>
        <w:t>· Mitigation: Offline data collection using KoboToolbox; weekly manual data syncing</w:t>
      </w:r>
    </w:p>
    <w:p>
      <w:pPr>
        <w:pStyle w:val="style3"/>
        <w:rPr/>
      </w:pPr>
      <w:r>
        <w:t>5.2 Data Security:</w:t>
      </w:r>
    </w:p>
    <w:p>
      <w:pPr>
        <w:pStyle w:val="style48"/>
        <w:rPr/>
      </w:pPr>
      <w:r>
        <w:t>· Challenge: Physical security threats to electronic devices</w:t>
      </w:r>
    </w:p>
    <w:p>
      <w:pPr>
        <w:pStyle w:val="style48"/>
        <w:rPr/>
      </w:pPr>
      <w:r>
        <w:t>· Mitigation: Encrypted backup on secure servers; paper-based backup at secure locations</w:t>
      </w:r>
    </w:p>
    <w:p>
      <w:pPr>
        <w:pStyle w:val="style2"/>
        <w:rPr/>
      </w:pPr>
      <w:r>
        <w:t>6. ETHICAL AND SAFETY CONSIDERATIONS</w:t>
      </w:r>
    </w:p>
    <w:p>
      <w:pPr>
        <w:pStyle w:val="style3"/>
        <w:rPr/>
      </w:pPr>
      <w:r>
        <w:t>6.1 Security Risks:</w:t>
      </w:r>
    </w:p>
    <w:p>
      <w:pPr>
        <w:pStyle w:val="style48"/>
        <w:rPr/>
      </w:pPr>
      <w:r>
        <w:t>· Incidents: 2 facilities temporarily closed due to active conflict</w:t>
      </w:r>
    </w:p>
    <w:p>
      <w:pPr>
        <w:pStyle w:val="style48"/>
        <w:rPr/>
      </w:pPr>
      <w:r>
        <w:t>· Staff safety: 3 incidents of harassment reported</w:t>
      </w:r>
    </w:p>
    <w:p>
      <w:pPr>
        <w:pStyle w:val="style48"/>
        <w:rPr/>
      </w:pPr>
      <w:r>
        <w:t>· Mitigation: Daily security briefings; emergency evacuation plans; collaboration with local authorities</w:t>
      </w:r>
    </w:p>
    <w:p>
      <w:pPr>
        <w:pStyle w:val="style3"/>
        <w:rPr/>
      </w:pPr>
      <w:r>
        <w:t>6.2 Vulnerability Considerations:</w:t>
      </w:r>
    </w:p>
    <w:p>
      <w:pPr>
        <w:pStyle w:val="style48"/>
        <w:rPr/>
      </w:pPr>
      <w:r>
        <w:t>· IDP participants: 28% of participants from internally displaced populations</w:t>
      </w:r>
    </w:p>
    <w:p>
      <w:pPr>
        <w:pStyle w:val="style48"/>
        <w:rPr/>
      </w:pPr>
      <w:r>
        <w:t>· Special considerations: Extra support for vulnerable groups; referral pathways for additional services</w:t>
      </w:r>
    </w:p>
    <w:p>
      <w:pPr>
        <w:pStyle w:val="style2"/>
        <w:rPr/>
      </w:pPr>
      <w:r>
        <w:t>7. ADAPTIVE STRATEGIES IMPLEMENTED</w:t>
      </w:r>
    </w:p>
    <w:tbl>
      <w:tblPr>
        <w:tblStyle w:val="style154"/>
        <w:tblW w:w="0" w:type="auto"/>
        <w:tblLook w:val="04A0" w:firstRow="1" w:lastRow="0" w:firstColumn="1" w:lastColumn="0" w:noHBand="0" w:noVBand="1"/>
      </w:tblPr>
      <w:tblGrid>
        <w:gridCol w:w="2160"/>
        <w:gridCol w:w="2160"/>
        <w:gridCol w:w="2160"/>
        <w:gridCol w:w="2160"/>
      </w:tblGrid>
      <w:tr>
        <w:trPr/>
        <w:tc>
          <w:tcPr>
            <w:tcW w:w="2160" w:type="dxa"/>
            <w:tcBorders/>
          </w:tcPr>
          <w:p>
            <w:pPr>
              <w:pStyle w:val="style0"/>
              <w:rPr/>
            </w:pPr>
            <w:r>
              <w:t>Challenge</w:t>
            </w:r>
          </w:p>
        </w:tc>
        <w:tc>
          <w:tcPr>
            <w:tcW w:w="2160" w:type="dxa"/>
            <w:tcBorders/>
          </w:tcPr>
          <w:p>
            <w:pPr>
              <w:pStyle w:val="style0"/>
              <w:rPr/>
            </w:pPr>
            <w:r>
              <w:t>Adaptive</w:t>
            </w:r>
          </w:p>
        </w:tc>
        <w:tc>
          <w:tcPr>
            <w:tcW w:w="2160" w:type="dxa"/>
            <w:tcBorders/>
          </w:tcPr>
          <w:p>
            <w:pPr>
              <w:pStyle w:val="style0"/>
              <w:rPr/>
            </w:pPr>
            <w:r>
              <w:t>Strategy</w:t>
            </w:r>
          </w:p>
        </w:tc>
        <w:tc>
          <w:tcPr>
            <w:tcW w:w="2160" w:type="dxa"/>
            <w:tcBorders/>
          </w:tcPr>
          <w:p>
            <w:pPr>
              <w:pStyle w:val="style0"/>
              <w:rPr/>
            </w:pPr>
            <w:r>
              <w:t>Outcome</w:t>
            </w:r>
          </w:p>
        </w:tc>
      </w:tr>
      <w:tr>
        <w:tblPrEx/>
        <w:trPr/>
        <w:tc>
          <w:tcPr>
            <w:tcW w:w="2160" w:type="dxa"/>
            <w:tcBorders/>
          </w:tcPr>
          <w:p>
            <w:pPr>
              <w:pStyle w:val="style0"/>
              <w:rPr/>
            </w:pPr>
            <w:r>
              <w:t>Power</w:t>
            </w:r>
          </w:p>
        </w:tc>
        <w:tc>
          <w:tcPr>
            <w:tcW w:w="2160" w:type="dxa"/>
            <w:tcBorders/>
          </w:tcPr>
          <w:p>
            <w:pPr>
              <w:pStyle w:val="style0"/>
              <w:rPr/>
            </w:pPr>
            <w:r>
              <w:t>outages</w:t>
            </w:r>
          </w:p>
        </w:tc>
        <w:tc>
          <w:tcPr>
            <w:tcW w:w="2160" w:type="dxa"/>
            <w:tcBorders/>
          </w:tcPr>
          <w:p>
            <w:pPr>
              <w:pStyle w:val="style0"/>
              <w:rPr/>
            </w:pPr>
            <w:r>
              <w:t>Solar</w:t>
            </w:r>
          </w:p>
        </w:tc>
        <w:tc>
          <w:tcPr>
            <w:tcW w:w="2160" w:type="dxa"/>
            <w:tcBorders/>
          </w:tcPr>
          <w:p>
            <w:pPr>
              <w:pStyle w:val="style0"/>
              <w:rPr/>
            </w:pPr>
            <w:r>
              <w:t>charging stations 80% reduction in equipment downtime</w:t>
            </w:r>
          </w:p>
        </w:tc>
      </w:tr>
      <w:tr>
        <w:tblPrEx/>
        <w:trPr/>
        <w:tc>
          <w:tcPr>
            <w:tcW w:w="2160" w:type="dxa"/>
            <w:tcBorders/>
          </w:tcPr>
          <w:p>
            <w:pPr>
              <w:pStyle w:val="style0"/>
              <w:rPr/>
            </w:pPr>
            <w:r>
              <w:t>Reagent</w:t>
            </w:r>
          </w:p>
        </w:tc>
        <w:tc>
          <w:tcPr>
            <w:tcW w:w="2160" w:type="dxa"/>
            <w:tcBorders/>
          </w:tcPr>
          <w:p>
            <w:pPr>
              <w:pStyle w:val="style0"/>
              <w:rPr/>
            </w:pPr>
            <w:r>
              <w:t>stockouts</w:t>
            </w:r>
          </w:p>
        </w:tc>
        <w:tc>
          <w:tcPr>
            <w:tcW w:w="2160" w:type="dxa"/>
            <w:tcBorders/>
          </w:tcPr>
          <w:p>
            <w:pPr>
              <w:pStyle w:val="style0"/>
              <w:rPr/>
            </w:pPr>
            <w:r>
              <w:t>Local</w:t>
            </w:r>
          </w:p>
        </w:tc>
        <w:tc>
          <w:tcPr>
            <w:tcW w:w="2160" w:type="dxa"/>
            <w:tcBorders/>
          </w:tcPr>
          <w:p>
            <w:pPr>
              <w:pStyle w:val="style0"/>
              <w:rPr/>
            </w:pPr>
            <w:r>
              <w:t>procurement network 60% reduction in stockout days</w:t>
            </w:r>
          </w:p>
        </w:tc>
      </w:tr>
      <w:tr>
        <w:tblPrEx/>
        <w:trPr/>
        <w:tc>
          <w:tcPr>
            <w:tcW w:w="2160" w:type="dxa"/>
            <w:tcBorders/>
          </w:tcPr>
          <w:p>
            <w:pPr>
              <w:pStyle w:val="style0"/>
              <w:rPr/>
            </w:pPr>
            <w:r>
              <w:t>Staff</w:t>
            </w:r>
          </w:p>
        </w:tc>
        <w:tc>
          <w:tcPr>
            <w:tcW w:w="2160" w:type="dxa"/>
            <w:tcBorders/>
          </w:tcPr>
          <w:p>
            <w:pPr>
              <w:pStyle w:val="style0"/>
              <w:rPr/>
            </w:pPr>
            <w:r>
              <w:t>shortages</w:t>
            </w:r>
          </w:p>
        </w:tc>
        <w:tc>
          <w:tcPr>
            <w:tcW w:w="2160" w:type="dxa"/>
            <w:tcBorders/>
          </w:tcPr>
          <w:p>
            <w:pPr>
              <w:pStyle w:val="style0"/>
              <w:rPr/>
            </w:pPr>
            <w:r>
              <w:t>Task-shifting</w:t>
            </w:r>
          </w:p>
        </w:tc>
        <w:tc>
          <w:tcPr>
            <w:tcW w:w="2160" w:type="dxa"/>
            <w:tcBorders/>
          </w:tcPr>
          <w:p>
            <w:pPr>
              <w:pStyle w:val="style0"/>
              <w:rPr/>
            </w:pPr>
            <w:r>
              <w:t>to community volunteers Maintained 90% of target enrollment</w:t>
            </w:r>
          </w:p>
        </w:tc>
      </w:tr>
      <w:tr>
        <w:tblPrEx/>
        <w:trPr/>
        <w:tc>
          <w:tcPr>
            <w:tcW w:w="2160" w:type="dxa"/>
            <w:tcBorders/>
          </w:tcPr>
          <w:p>
            <w:pPr>
              <w:pStyle w:val="style0"/>
              <w:rPr/>
            </w:pPr>
            <w:r>
              <w:t>Security</w:t>
            </w:r>
          </w:p>
        </w:tc>
        <w:tc>
          <w:tcPr>
            <w:tcW w:w="2160" w:type="dxa"/>
            <w:tcBorders/>
          </w:tcPr>
          <w:p>
            <w:pPr>
              <w:pStyle w:val="style0"/>
              <w:rPr/>
            </w:pPr>
            <w:r>
              <w:t>concerns</w:t>
            </w:r>
          </w:p>
        </w:tc>
        <w:tc>
          <w:tcPr>
            <w:tcW w:w="2160" w:type="dxa"/>
            <w:tcBorders/>
          </w:tcPr>
          <w:p>
            <w:pPr>
              <w:pStyle w:val="style0"/>
              <w:rPr/>
            </w:pPr>
            <w:r>
              <w:t>Decentralized</w:t>
            </w:r>
          </w:p>
        </w:tc>
        <w:tc>
          <w:tcPr>
            <w:tcW w:w="2160" w:type="dxa"/>
            <w:tcBorders/>
          </w:tcPr>
          <w:p>
            <w:pPr>
              <w:pStyle w:val="style0"/>
              <w:rPr/>
            </w:pPr>
            <w:r>
              <w:t>sample collection Zero data loss incidents</w:t>
            </w:r>
          </w:p>
        </w:tc>
      </w:tr>
      <w:tr>
        <w:tblPrEx/>
        <w:trPr/>
        <w:tc>
          <w:tcPr>
            <w:tcW w:w="2160" w:type="dxa"/>
            <w:tcBorders/>
          </w:tcPr>
          <w:p>
            <w:pPr>
              <w:pStyle w:val="style0"/>
              <w:rPr/>
            </w:pPr>
            <w:r>
              <w:t>Participant</w:t>
            </w:r>
          </w:p>
        </w:tc>
        <w:tc>
          <w:tcPr>
            <w:tcW w:w="2160" w:type="dxa"/>
            <w:tcBorders/>
          </w:tcPr>
          <w:p>
            <w:pPr>
              <w:pStyle w:val="style0"/>
              <w:rPr/>
            </w:pPr>
            <w:r>
              <w:t>follow-up</w:t>
            </w:r>
          </w:p>
        </w:tc>
        <w:tc>
          <w:tcPr>
            <w:tcW w:w="2160" w:type="dxa"/>
            <w:tcBorders/>
          </w:tcPr>
          <w:p>
            <w:pPr>
              <w:pStyle w:val="style0"/>
              <w:rPr/>
            </w:pPr>
            <w:r>
              <w:t>Community</w:t>
            </w:r>
          </w:p>
        </w:tc>
        <w:tc>
          <w:tcPr>
            <w:tcW w:w="2160" w:type="dxa"/>
            <w:tcBorders/>
          </w:tcPr>
          <w:p>
            <w:pPr>
              <w:pStyle w:val="style0"/>
              <w:rPr/>
            </w:pPr>
            <w:r>
              <w:t>health worker network 85% follow-up completion</w:t>
            </w:r>
          </w:p>
        </w:tc>
      </w:tr>
    </w:tbl>
    <w:p>
      <w:pPr>
        <w:pStyle w:val="style2"/>
        <w:rPr/>
      </w:pPr>
      <w:r>
        <w:t>8. LESSONS LEARNED</w:t>
      </w:r>
    </w:p>
    <w:p>
      <w:pPr>
        <w:pStyle w:val="style2"/>
        <w:rPr/>
      </w:pPr>
      <w:r>
        <w:t>1. Flexibility is critical: Pre-planned protocols required continuous adaptation</w:t>
      </w:r>
    </w:p>
    <w:p>
      <w:pPr>
        <w:pStyle w:val="style2"/>
        <w:rPr/>
      </w:pPr>
      <w:r>
        <w:t>2. Local partnerships are essential: Collaboration with community leaders increased participation by 40%</w:t>
      </w:r>
    </w:p>
    <w:p>
      <w:pPr>
        <w:pStyle w:val="style2"/>
        <w:rPr/>
      </w:pPr>
      <w:r>
        <w:t>3. Simplification improves feasibility: Reducing data points from 50 to 25 improved completion rates</w:t>
      </w:r>
    </w:p>
    <w:p>
      <w:pPr>
        <w:pStyle w:val="style2"/>
        <w:rPr/>
      </w:pPr>
      <w:r>
        <w:t>4. Redundancy systems are necessary: Multiple backup systems prevented complete study halt</w:t>
      </w:r>
    </w:p>
    <w:p>
      <w:pPr>
        <w:pStyle w:val="style2"/>
        <w:rPr/>
      </w:pPr>
      <w:r>
        <w:t>5. Context-specific training required: Standard laboratory training insufficient for conflict settings</w:t>
      </w:r>
    </w:p>
    <w:p>
      <w:pPr>
        <w:pStyle w:val="style2"/>
        <w:rPr/>
      </w:pPr>
      <w:r>
        <w:t>9. IMPLICATIONS FOR FUTURE RESEARCH</w:t>
      </w:r>
    </w:p>
    <w:p>
      <w:pPr>
        <w:pStyle w:val="style0"/>
        <w:rPr/>
      </w:pPr>
      <w:r>
        <w:t>These challenges highlight the need for:</w:t>
      </w:r>
    </w:p>
    <w:p>
      <w:pPr>
        <w:pStyle w:val="style48"/>
        <w:rPr/>
      </w:pPr>
      <w:r>
        <w:t>· Conflict-adapted research protocols</w:t>
      </w:r>
    </w:p>
    <w:p>
      <w:pPr>
        <w:pStyle w:val="style48"/>
        <w:rPr/>
      </w:pPr>
      <w:r>
        <w:t>· Investment in resilient laboratory systems</w:t>
      </w:r>
    </w:p>
    <w:p>
      <w:pPr>
        <w:pStyle w:val="style48"/>
        <w:rPr/>
      </w:pPr>
      <w:r>
        <w:t>· Development of context-specific ethical guidelines</w:t>
      </w:r>
    </w:p>
    <w:p>
      <w:pPr>
        <w:pStyle w:val="style48"/>
        <w:rPr/>
      </w:pPr>
      <w:r>
        <w:t>· Flexible funding mechanisms for humanitarian research</w:t>
      </w:r>
    </w:p>
    <w:p>
      <w:pPr>
        <w:pStyle w:val="style48"/>
        <w:rPr/>
      </w:pPr>
      <w:r>
        <w:t>· Enhanced safety and security protocols for research teams</w:t>
      </w:r>
    </w:p>
    <w:p>
      <w:pPr>
        <w:pStyle w:val="style48"/>
        <w:numPr>
          <w:ilvl w:val="0"/>
          <w:numId w:val="0"/>
        </w:numPr>
        <w:ind w:left="360" w:firstLine="0"/>
        <w:rPr/>
      </w:pPr>
    </w:p>
    <w:p>
      <w:pPr>
        <w:pStyle w:val="style0"/>
        <w:rPr>
          <w:rFonts w:ascii="Calibri" w:cs="宋体" w:eastAsia="ＭＳ ゴシック" w:hAnsi="Calibri"/>
          <w:b/>
          <w:bCs/>
          <w:color w:val="4f81bd"/>
          <w:sz w:val="28"/>
          <w:szCs w:val="28"/>
        </w:rPr>
      </w:pPr>
      <w:r>
        <w:rPr>
          <w:rFonts w:ascii="Calibri" w:cs="宋体" w:eastAsia="ＭＳ ゴシック" w:hAnsi="Calibri"/>
          <w:b/>
          <w:bCs/>
          <w:color w:val="4f81bd"/>
          <w:sz w:val="28"/>
          <w:szCs w:val="28"/>
        </w:rPr>
        <w:t>S4 File: Statistical Analysis Report</w:t>
      </w:r>
    </w:p>
    <w:p>
      <w:pPr>
        <w:pStyle w:val="style0"/>
        <w:jc w:val="center"/>
        <w:rPr/>
      </w:pPr>
      <w:r>
        <w:rPr>
          <w:b/>
        </w:rPr>
        <w:t>COMPREHENSIVE STATISTICAL ANALYSIS REPORT</w:t>
      </w:r>
    </w:p>
    <w:p>
      <w:pPr>
        <w:pStyle w:val="style0"/>
        <w:rPr/>
      </w:pPr>
      <w:r>
        <w:t>Study: Diagnostic Accuracy of Haematological Indices in Conflict-Affected Yemen</w:t>
      </w:r>
    </w:p>
    <w:p>
      <w:pPr>
        <w:pStyle w:val="style0"/>
        <w:rPr/>
      </w:pPr>
      <w:r>
        <w:t>Analyst:</w:t>
      </w:r>
      <w:r>
        <w:rPr>
          <w:lang w:val="en-US"/>
        </w:rPr>
        <w:t xml:space="preserve"> Naif Taleb Ali </w:t>
      </w:r>
    </w:p>
    <w:p>
      <w:pPr>
        <w:pStyle w:val="style0"/>
        <w:rPr/>
      </w:pPr>
      <w:r>
        <w:t>Software Used:SPSS v28.0, R v4.3.1</w:t>
      </w:r>
    </w:p>
    <w:p>
      <w:pPr>
        <w:pStyle w:val="style0"/>
        <w:rPr/>
      </w:pPr>
      <w:r>
        <w:t>Analysis Period:</w:t>
      </w:r>
      <w:r>
        <w:rPr>
          <w:lang w:val="en-US"/>
        </w:rPr>
        <w:t xml:space="preserve"> November</w:t>
      </w:r>
      <w:r>
        <w:t>-</w:t>
      </w:r>
      <w:r>
        <w:rPr>
          <w:lang w:val="en-US"/>
        </w:rPr>
        <w:t xml:space="preserve"> December </w:t>
      </w:r>
      <w:r>
        <w:t>202</w:t>
      </w:r>
      <w:r>
        <w:rPr>
          <w:lang w:val="en-US"/>
        </w:rPr>
        <w:t>5</w:t>
      </w: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1. DATA PREPARATION AND QUALITY CONTROL</w:t>
      </w:r>
    </w:p>
    <w:p>
      <w:pPr>
        <w:pStyle w:val="style3"/>
        <w:rPr/>
      </w:pPr>
      <w:r>
        <w:t>1.1 Data Cleaning:</w:t>
      </w:r>
    </w:p>
    <w:p>
      <w:pPr>
        <w:pStyle w:val="style48"/>
        <w:rPr/>
      </w:pPr>
      <w:r>
        <w:t>· Missing values identified: 8 values (0.05% of total data)</w:t>
      </w:r>
    </w:p>
    <w:p>
      <w:pPr>
        <w:pStyle w:val="style48"/>
        <w:rPr/>
      </w:pPr>
      <w:r>
        <w:t>· Outlier detection: 15 extreme values flagged using Tukey's method</w:t>
      </w:r>
    </w:p>
    <w:p>
      <w:pPr>
        <w:pStyle w:val="style48"/>
        <w:rPr/>
      </w:pPr>
      <w:r>
        <w:t>· Consistency checks: 100% of calculations verified</w:t>
      </w:r>
    </w:p>
    <w:p>
      <w:pPr>
        <w:pStyle w:val="style3"/>
        <w:rPr/>
      </w:pPr>
      <w:r>
        <w:t>1.2 Normality Testing:</w:t>
      </w:r>
    </w:p>
    <w:p>
      <w:pPr>
        <w:pStyle w:val="style0"/>
        <w:rPr/>
      </w:pPr>
      <w:r>
        <w:t>All continuous variables tested using Shapiro-Wilk test(α=0.05):</w:t>
      </w:r>
    </w:p>
    <w:tbl>
      <w:tblPr>
        <w:tblStyle w:val="style154"/>
        <w:tblW w:w="0" w:type="auto"/>
        <w:tblLook w:val="04A0" w:firstRow="1" w:lastRow="0" w:firstColumn="1" w:lastColumn="0" w:noHBand="0" w:noVBand="1"/>
      </w:tblPr>
      <w:tblGrid>
        <w:gridCol w:w="1728"/>
        <w:gridCol w:w="1728"/>
        <w:gridCol w:w="1728"/>
        <w:gridCol w:w="1728"/>
        <w:gridCol w:w="1728"/>
      </w:tblGrid>
      <w:tr>
        <w:trPr/>
        <w:tc>
          <w:tcPr>
            <w:tcW w:w="1728" w:type="dxa"/>
            <w:tcBorders/>
          </w:tcPr>
          <w:p>
            <w:pPr>
              <w:pStyle w:val="style0"/>
              <w:rPr/>
            </w:pPr>
            <w:r>
              <w:t>Variable</w:t>
            </w:r>
          </w:p>
        </w:tc>
        <w:tc>
          <w:tcPr>
            <w:tcW w:w="1728" w:type="dxa"/>
            <w:tcBorders/>
          </w:tcPr>
          <w:p>
            <w:pPr>
              <w:pStyle w:val="style0"/>
              <w:rPr/>
            </w:pPr>
            <w:r>
              <w:t>W</w:t>
            </w:r>
          </w:p>
        </w:tc>
        <w:tc>
          <w:tcPr>
            <w:tcW w:w="1728" w:type="dxa"/>
            <w:tcBorders/>
          </w:tcPr>
          <w:p>
            <w:pPr>
              <w:pStyle w:val="style0"/>
              <w:rPr/>
            </w:pPr>
            <w:r>
              <w:t>statistic</w:t>
            </w:r>
          </w:p>
        </w:tc>
        <w:tc>
          <w:tcPr>
            <w:tcW w:w="1728" w:type="dxa"/>
            <w:tcBorders/>
          </w:tcPr>
          <w:p>
            <w:pPr>
              <w:pStyle w:val="style0"/>
              <w:rPr/>
            </w:pPr>
            <w:r>
              <w:t>p-value</w:t>
            </w:r>
          </w:p>
        </w:tc>
        <w:tc>
          <w:tcPr>
            <w:tcW w:w="1728" w:type="dxa"/>
            <w:tcBorders/>
          </w:tcPr>
          <w:p>
            <w:pPr>
              <w:pStyle w:val="style0"/>
              <w:rPr/>
            </w:pPr>
            <w:r>
              <w:t>Distribution</w:t>
            </w:r>
          </w:p>
        </w:tc>
      </w:tr>
      <w:tr>
        <w:tblPrEx/>
        <w:trPr/>
        <w:tc>
          <w:tcPr>
            <w:tcW w:w="1728" w:type="dxa"/>
            <w:tcBorders/>
          </w:tcPr>
          <w:p>
            <w:pPr>
              <w:pStyle w:val="style0"/>
              <w:rPr/>
            </w:pPr>
            <w:r>
              <w:t>Age</w:t>
            </w:r>
          </w:p>
        </w:tc>
        <w:tc>
          <w:tcPr>
            <w:tcW w:w="1728" w:type="dxa"/>
            <w:tcBorders/>
          </w:tcPr>
          <w:p>
            <w:pPr>
              <w:pStyle w:val="style0"/>
              <w:rPr/>
            </w:pPr>
            <w:r>
              <w:t>0.972</w:t>
            </w:r>
          </w:p>
        </w:tc>
        <w:tc>
          <w:tcPr>
            <w:tcW w:w="1728" w:type="dxa"/>
            <w:tcBorders/>
          </w:tcPr>
          <w:p>
            <w:pPr>
              <w:pStyle w:val="style0"/>
              <w:rPr/>
            </w:pPr>
            <w:r>
              <w:t>0.003</w:t>
            </w:r>
          </w:p>
        </w:tc>
        <w:tc>
          <w:tcPr>
            <w:tcW w:w="1728" w:type="dxa"/>
            <w:tcBorders/>
          </w:tcPr>
          <w:p>
            <w:pPr>
              <w:pStyle w:val="style0"/>
              <w:rPr/>
            </w:pPr>
            <w:r>
              <w:t>Non-normal</w:t>
            </w:r>
          </w:p>
        </w:tc>
        <w:tc>
          <w:tcPr>
            <w:tcW w:w="1728" w:type="dxa"/>
            <w:tcBorders/>
          </w:tcPr>
          <w:p>
            <w:pPr>
              <w:pStyle w:val="style0"/>
              <w:rPr/>
            </w:pPr>
          </w:p>
        </w:tc>
      </w:tr>
      <w:tr>
        <w:tblPrEx/>
        <w:trPr/>
        <w:tc>
          <w:tcPr>
            <w:tcW w:w="1728" w:type="dxa"/>
            <w:tcBorders/>
          </w:tcPr>
          <w:p>
            <w:pPr>
              <w:pStyle w:val="style0"/>
              <w:rPr/>
            </w:pPr>
            <w:r>
              <w:t>Neutrophils</w:t>
            </w:r>
          </w:p>
        </w:tc>
        <w:tc>
          <w:tcPr>
            <w:tcW w:w="1728" w:type="dxa"/>
            <w:tcBorders/>
          </w:tcPr>
          <w:p>
            <w:pPr>
              <w:pStyle w:val="style0"/>
              <w:rPr/>
            </w:pPr>
            <w:r>
              <w:t>0.912</w:t>
            </w:r>
          </w:p>
        </w:tc>
        <w:tc>
          <w:tcPr>
            <w:tcW w:w="1728" w:type="dxa"/>
            <w:tcBorders/>
          </w:tcPr>
          <w:p>
            <w:pPr>
              <w:pStyle w:val="style0"/>
              <w:rPr/>
            </w:pPr>
            <w:r>
              <w:t>&lt;0.001</w:t>
            </w:r>
          </w:p>
        </w:tc>
        <w:tc>
          <w:tcPr>
            <w:tcW w:w="1728" w:type="dxa"/>
            <w:tcBorders/>
          </w:tcPr>
          <w:p>
            <w:pPr>
              <w:pStyle w:val="style0"/>
              <w:rPr/>
            </w:pPr>
            <w:r>
              <w:t>Non-normal</w:t>
            </w:r>
          </w:p>
        </w:tc>
        <w:tc>
          <w:tcPr>
            <w:tcW w:w="1728" w:type="dxa"/>
            <w:tcBorders/>
          </w:tcPr>
          <w:p>
            <w:pPr>
              <w:pStyle w:val="style0"/>
              <w:rPr/>
            </w:pPr>
          </w:p>
        </w:tc>
      </w:tr>
      <w:tr>
        <w:tblPrEx/>
        <w:trPr/>
        <w:tc>
          <w:tcPr>
            <w:tcW w:w="1728" w:type="dxa"/>
            <w:tcBorders/>
          </w:tcPr>
          <w:p>
            <w:pPr>
              <w:pStyle w:val="style0"/>
              <w:rPr/>
            </w:pPr>
            <w:r>
              <w:t>Lymphocytes</w:t>
            </w:r>
          </w:p>
        </w:tc>
        <w:tc>
          <w:tcPr>
            <w:tcW w:w="1728" w:type="dxa"/>
            <w:tcBorders/>
          </w:tcPr>
          <w:p>
            <w:pPr>
              <w:pStyle w:val="style0"/>
              <w:rPr/>
            </w:pPr>
            <w:r>
              <w:t>0.945</w:t>
            </w:r>
          </w:p>
        </w:tc>
        <w:tc>
          <w:tcPr>
            <w:tcW w:w="1728" w:type="dxa"/>
            <w:tcBorders/>
          </w:tcPr>
          <w:p>
            <w:pPr>
              <w:pStyle w:val="style0"/>
              <w:rPr/>
            </w:pPr>
            <w:r>
              <w:t>&lt;0.001</w:t>
            </w:r>
          </w:p>
        </w:tc>
        <w:tc>
          <w:tcPr>
            <w:tcW w:w="1728" w:type="dxa"/>
            <w:tcBorders/>
          </w:tcPr>
          <w:p>
            <w:pPr>
              <w:pStyle w:val="style0"/>
              <w:rPr/>
            </w:pPr>
            <w:r>
              <w:t>Non-normal</w:t>
            </w:r>
          </w:p>
        </w:tc>
        <w:tc>
          <w:tcPr>
            <w:tcW w:w="1728" w:type="dxa"/>
            <w:tcBorders/>
          </w:tcPr>
          <w:p>
            <w:pPr>
              <w:pStyle w:val="style0"/>
              <w:rPr/>
            </w:pPr>
          </w:p>
        </w:tc>
      </w:tr>
      <w:tr>
        <w:tblPrEx/>
        <w:trPr/>
        <w:tc>
          <w:tcPr>
            <w:tcW w:w="1728" w:type="dxa"/>
            <w:tcBorders/>
          </w:tcPr>
          <w:p>
            <w:pPr>
              <w:pStyle w:val="style0"/>
              <w:rPr/>
            </w:pPr>
            <w:r>
              <w:t>Platelets</w:t>
            </w:r>
          </w:p>
        </w:tc>
        <w:tc>
          <w:tcPr>
            <w:tcW w:w="1728" w:type="dxa"/>
            <w:tcBorders/>
          </w:tcPr>
          <w:p>
            <w:pPr>
              <w:pStyle w:val="style0"/>
              <w:rPr/>
            </w:pPr>
            <w:r>
              <w:t>0.976</w:t>
            </w:r>
          </w:p>
        </w:tc>
        <w:tc>
          <w:tcPr>
            <w:tcW w:w="1728" w:type="dxa"/>
            <w:tcBorders/>
          </w:tcPr>
          <w:p>
            <w:pPr>
              <w:pStyle w:val="style0"/>
              <w:rPr/>
            </w:pPr>
            <w:r>
              <w:t>0.004</w:t>
            </w:r>
          </w:p>
        </w:tc>
        <w:tc>
          <w:tcPr>
            <w:tcW w:w="1728" w:type="dxa"/>
            <w:tcBorders/>
          </w:tcPr>
          <w:p>
            <w:pPr>
              <w:pStyle w:val="style0"/>
              <w:rPr/>
            </w:pPr>
            <w:r>
              <w:t>Non-normal</w:t>
            </w:r>
          </w:p>
        </w:tc>
        <w:tc>
          <w:tcPr>
            <w:tcW w:w="1728" w:type="dxa"/>
            <w:tcBorders/>
          </w:tcPr>
          <w:p>
            <w:pPr>
              <w:pStyle w:val="style0"/>
              <w:rPr/>
            </w:pPr>
          </w:p>
        </w:tc>
      </w:tr>
      <w:tr>
        <w:tblPrEx/>
        <w:trPr/>
        <w:tc>
          <w:tcPr>
            <w:tcW w:w="1728" w:type="dxa"/>
            <w:tcBorders/>
          </w:tcPr>
          <w:p>
            <w:pPr>
              <w:pStyle w:val="style0"/>
              <w:rPr/>
            </w:pPr>
            <w:r>
              <w:t>Hemoglobin</w:t>
            </w:r>
          </w:p>
        </w:tc>
        <w:tc>
          <w:tcPr>
            <w:tcW w:w="1728" w:type="dxa"/>
            <w:tcBorders/>
          </w:tcPr>
          <w:p>
            <w:pPr>
              <w:pStyle w:val="style0"/>
              <w:rPr/>
            </w:pPr>
            <w:r>
              <w:t>0.986</w:t>
            </w:r>
          </w:p>
        </w:tc>
        <w:tc>
          <w:tcPr>
            <w:tcW w:w="1728" w:type="dxa"/>
            <w:tcBorders/>
          </w:tcPr>
          <w:p>
            <w:pPr>
              <w:pStyle w:val="style0"/>
              <w:rPr/>
            </w:pPr>
            <w:r>
              <w:t>0.124</w:t>
            </w:r>
          </w:p>
        </w:tc>
        <w:tc>
          <w:tcPr>
            <w:tcW w:w="1728" w:type="dxa"/>
            <w:tcBorders/>
          </w:tcPr>
          <w:p>
            <w:pPr>
              <w:pStyle w:val="style0"/>
              <w:rPr/>
            </w:pPr>
            <w:r>
              <w:t>Normal</w:t>
            </w:r>
          </w:p>
        </w:tc>
        <w:tc>
          <w:tcPr>
            <w:tcW w:w="1728" w:type="dxa"/>
            <w:tcBorders/>
          </w:tcPr>
          <w:p>
            <w:pPr>
              <w:pStyle w:val="style0"/>
              <w:rPr/>
            </w:pPr>
          </w:p>
        </w:tc>
      </w:tr>
      <w:tr>
        <w:tblPrEx/>
        <w:trPr/>
        <w:tc>
          <w:tcPr>
            <w:tcW w:w="1728" w:type="dxa"/>
            <w:tcBorders/>
          </w:tcPr>
          <w:p>
            <w:pPr>
              <w:pStyle w:val="style0"/>
              <w:rPr/>
            </w:pPr>
            <w:r>
              <w:t>RDW</w:t>
            </w:r>
          </w:p>
        </w:tc>
        <w:tc>
          <w:tcPr>
            <w:tcW w:w="1728" w:type="dxa"/>
            <w:tcBorders/>
          </w:tcPr>
          <w:p>
            <w:pPr>
              <w:pStyle w:val="style0"/>
              <w:rPr/>
            </w:pPr>
            <w:r>
              <w:t>0.991</w:t>
            </w:r>
          </w:p>
        </w:tc>
        <w:tc>
          <w:tcPr>
            <w:tcW w:w="1728" w:type="dxa"/>
            <w:tcBorders/>
          </w:tcPr>
          <w:p>
            <w:pPr>
              <w:pStyle w:val="style0"/>
              <w:rPr/>
            </w:pPr>
            <w:r>
              <w:t>0.359</w:t>
            </w:r>
          </w:p>
        </w:tc>
        <w:tc>
          <w:tcPr>
            <w:tcW w:w="1728" w:type="dxa"/>
            <w:tcBorders/>
          </w:tcPr>
          <w:p>
            <w:pPr>
              <w:pStyle w:val="style0"/>
              <w:rPr/>
            </w:pPr>
            <w:r>
              <w:t>Normal</w:t>
            </w:r>
          </w:p>
        </w:tc>
        <w:tc>
          <w:tcPr>
            <w:tcW w:w="1728" w:type="dxa"/>
            <w:tcBorders/>
          </w:tcPr>
          <w:p>
            <w:pPr>
              <w:pStyle w:val="style0"/>
              <w:rPr/>
            </w:pPr>
          </w:p>
        </w:tc>
      </w:tr>
      <w:tr>
        <w:tblPrEx/>
        <w:trPr/>
        <w:tc>
          <w:tcPr>
            <w:tcW w:w="1728" w:type="dxa"/>
            <w:tcBorders/>
          </w:tcPr>
          <w:p>
            <w:pPr>
              <w:pStyle w:val="style0"/>
              <w:rPr/>
            </w:pPr>
            <w:r>
              <w:t>NLR</w:t>
            </w:r>
          </w:p>
        </w:tc>
        <w:tc>
          <w:tcPr>
            <w:tcW w:w="1728" w:type="dxa"/>
            <w:tcBorders/>
          </w:tcPr>
          <w:p>
            <w:pPr>
              <w:pStyle w:val="style0"/>
              <w:rPr/>
            </w:pPr>
            <w:r>
              <w:t>0.876</w:t>
            </w:r>
          </w:p>
        </w:tc>
        <w:tc>
          <w:tcPr>
            <w:tcW w:w="1728" w:type="dxa"/>
            <w:tcBorders/>
          </w:tcPr>
          <w:p>
            <w:pPr>
              <w:pStyle w:val="style0"/>
              <w:rPr/>
            </w:pPr>
            <w:r>
              <w:t>&lt;0.001</w:t>
            </w:r>
          </w:p>
        </w:tc>
        <w:tc>
          <w:tcPr>
            <w:tcW w:w="1728" w:type="dxa"/>
            <w:tcBorders/>
          </w:tcPr>
          <w:p>
            <w:pPr>
              <w:pStyle w:val="style0"/>
              <w:rPr/>
            </w:pPr>
            <w:r>
              <w:t>Non-normal</w:t>
            </w:r>
          </w:p>
        </w:tc>
        <w:tc>
          <w:tcPr>
            <w:tcW w:w="1728" w:type="dxa"/>
            <w:tcBorders/>
          </w:tcPr>
          <w:p>
            <w:pPr>
              <w:pStyle w:val="style0"/>
              <w:rPr/>
            </w:pPr>
          </w:p>
        </w:tc>
      </w:tr>
      <w:tr>
        <w:tblPrEx/>
        <w:trPr/>
        <w:tc>
          <w:tcPr>
            <w:tcW w:w="1728" w:type="dxa"/>
            <w:tcBorders/>
          </w:tcPr>
          <w:p>
            <w:pPr>
              <w:pStyle w:val="style0"/>
              <w:rPr/>
            </w:pPr>
            <w:r>
              <w:t>PLR</w:t>
            </w:r>
          </w:p>
        </w:tc>
        <w:tc>
          <w:tcPr>
            <w:tcW w:w="1728" w:type="dxa"/>
            <w:tcBorders/>
          </w:tcPr>
          <w:p>
            <w:pPr>
              <w:pStyle w:val="style0"/>
              <w:rPr/>
            </w:pPr>
            <w:r>
              <w:t>0.905</w:t>
            </w:r>
          </w:p>
        </w:tc>
        <w:tc>
          <w:tcPr>
            <w:tcW w:w="1728" w:type="dxa"/>
            <w:tcBorders/>
          </w:tcPr>
          <w:p>
            <w:pPr>
              <w:pStyle w:val="style0"/>
              <w:rPr/>
            </w:pPr>
            <w:r>
              <w:t>&lt;0.001</w:t>
            </w:r>
          </w:p>
        </w:tc>
        <w:tc>
          <w:tcPr>
            <w:tcW w:w="1728" w:type="dxa"/>
            <w:tcBorders/>
          </w:tcPr>
          <w:p>
            <w:pPr>
              <w:pStyle w:val="style0"/>
              <w:rPr/>
            </w:pPr>
            <w:r>
              <w:t>Non-normal</w:t>
            </w:r>
          </w:p>
        </w:tc>
        <w:tc>
          <w:tcPr>
            <w:tcW w:w="1728" w:type="dxa"/>
            <w:tcBorders/>
          </w:tcPr>
          <w:p>
            <w:pPr>
              <w:pStyle w:val="style0"/>
              <w:rPr/>
            </w:pPr>
          </w:p>
        </w:tc>
      </w:tr>
    </w:tbl>
    <w:p>
      <w:pPr>
        <w:pStyle w:val="style0"/>
        <w:rPr/>
      </w:pPr>
      <w:r>
        <w:t>Conclusion: Non-parametric tests used for majority of analyses.</w:t>
      </w:r>
    </w:p>
    <w:p>
      <w:pPr>
        <w:pStyle w:val="style0"/>
        <w:rPr/>
      </w:pPr>
      <w:r>
        <w:br w:type="page"/>
      </w:r>
    </w:p>
    <w:p>
      <w:pPr>
        <w:pStyle w:val="style2"/>
        <w:rPr/>
      </w:pPr>
      <w:r>
        <w:t>2. DESCRIPTIVE ANALYSES</w:t>
      </w:r>
    </w:p>
    <w:p>
      <w:pPr>
        <w:pStyle w:val="style3"/>
        <w:rPr/>
      </w:pPr>
      <w:r>
        <w:t>2.1 Central Tendency and Dispersion:</w:t>
      </w:r>
    </w:p>
    <w:tbl>
      <w:tblPr>
        <w:tblStyle w:val="style154"/>
        <w:tblW w:w="0" w:type="auto"/>
        <w:tblLook w:val="04A0" w:firstRow="1" w:lastRow="0" w:firstColumn="1" w:lastColumn="0" w:noHBand="0" w:noVBand="1"/>
      </w:tblPr>
      <w:tblGrid>
        <w:gridCol w:w="1440"/>
        <w:gridCol w:w="1440"/>
        <w:gridCol w:w="1440"/>
        <w:gridCol w:w="1440"/>
        <w:gridCol w:w="1440"/>
        <w:gridCol w:w="1440"/>
      </w:tblGrid>
      <w:tr>
        <w:trPr/>
        <w:tc>
          <w:tcPr>
            <w:tcW w:w="1440" w:type="dxa"/>
            <w:tcBorders/>
          </w:tcPr>
          <w:p>
            <w:pPr>
              <w:pStyle w:val="style0"/>
              <w:rPr/>
            </w:pPr>
            <w:r>
              <w:t>Statistic</w:t>
            </w:r>
          </w:p>
        </w:tc>
        <w:tc>
          <w:tcPr>
            <w:tcW w:w="1440" w:type="dxa"/>
            <w:tcBorders/>
          </w:tcPr>
          <w:p>
            <w:pPr>
              <w:pStyle w:val="style0"/>
              <w:rPr/>
            </w:pPr>
            <w:r>
              <w:t>Age</w:t>
            </w:r>
          </w:p>
        </w:tc>
        <w:tc>
          <w:tcPr>
            <w:tcW w:w="1440" w:type="dxa"/>
            <w:tcBorders/>
          </w:tcPr>
          <w:p>
            <w:pPr>
              <w:pStyle w:val="style0"/>
              <w:rPr/>
            </w:pPr>
            <w:r>
              <w:t>NLR</w:t>
            </w:r>
          </w:p>
        </w:tc>
        <w:tc>
          <w:tcPr>
            <w:tcW w:w="1440" w:type="dxa"/>
            <w:tcBorders/>
          </w:tcPr>
          <w:p>
            <w:pPr>
              <w:pStyle w:val="style0"/>
              <w:rPr/>
            </w:pPr>
            <w:r>
              <w:t>PLR</w:t>
            </w:r>
          </w:p>
        </w:tc>
        <w:tc>
          <w:tcPr>
            <w:tcW w:w="1440" w:type="dxa"/>
            <w:tcBorders/>
          </w:tcPr>
          <w:p>
            <w:pPr>
              <w:pStyle w:val="style0"/>
              <w:rPr/>
            </w:pPr>
            <w:r>
              <w:t>Hb</w:t>
            </w:r>
          </w:p>
        </w:tc>
        <w:tc>
          <w:tcPr>
            <w:tcW w:w="1440" w:type="dxa"/>
            <w:tcBorders/>
          </w:tcPr>
          <w:p>
            <w:pPr>
              <w:pStyle w:val="style0"/>
              <w:rPr/>
            </w:pPr>
            <w:r>
              <w:t>RDW</w:t>
            </w:r>
          </w:p>
        </w:tc>
      </w:tr>
      <w:tr>
        <w:tblPrEx/>
        <w:trPr/>
        <w:tc>
          <w:tcPr>
            <w:tcW w:w="1440" w:type="dxa"/>
            <w:tcBorders/>
          </w:tcPr>
          <w:p>
            <w:pPr>
              <w:pStyle w:val="style0"/>
              <w:rPr/>
            </w:pPr>
            <w:r>
              <w:t>Mean</w:t>
            </w:r>
          </w:p>
        </w:tc>
        <w:tc>
          <w:tcPr>
            <w:tcW w:w="1440" w:type="dxa"/>
            <w:tcBorders/>
          </w:tcPr>
          <w:p>
            <w:pPr>
              <w:pStyle w:val="style0"/>
              <w:rPr/>
            </w:pPr>
            <w:r>
              <w:t>34.5</w:t>
            </w:r>
          </w:p>
        </w:tc>
        <w:tc>
          <w:tcPr>
            <w:tcW w:w="1440" w:type="dxa"/>
            <w:tcBorders/>
          </w:tcPr>
          <w:p>
            <w:pPr>
              <w:pStyle w:val="style0"/>
              <w:rPr/>
            </w:pPr>
            <w:r>
              <w:t>3.4</w:t>
            </w:r>
          </w:p>
        </w:tc>
        <w:tc>
          <w:tcPr>
            <w:tcW w:w="1440" w:type="dxa"/>
            <w:tcBorders/>
          </w:tcPr>
          <w:p>
            <w:pPr>
              <w:pStyle w:val="style0"/>
              <w:rPr/>
            </w:pPr>
            <w:r>
              <w:t>124.6</w:t>
            </w:r>
          </w:p>
        </w:tc>
        <w:tc>
          <w:tcPr>
            <w:tcW w:w="1440" w:type="dxa"/>
            <w:tcBorders/>
          </w:tcPr>
          <w:p>
            <w:pPr>
              <w:pStyle w:val="style0"/>
              <w:rPr/>
            </w:pPr>
            <w:r>
              <w:t>11.7</w:t>
            </w:r>
          </w:p>
        </w:tc>
        <w:tc>
          <w:tcPr>
            <w:tcW w:w="1440" w:type="dxa"/>
            <w:tcBorders/>
          </w:tcPr>
          <w:p>
            <w:pPr>
              <w:pStyle w:val="style0"/>
              <w:rPr/>
            </w:pPr>
            <w:r>
              <w:t>14.8</w:t>
            </w:r>
          </w:p>
        </w:tc>
      </w:tr>
      <w:tr>
        <w:tblPrEx/>
        <w:trPr/>
        <w:tc>
          <w:tcPr>
            <w:tcW w:w="1440" w:type="dxa"/>
            <w:tcBorders/>
          </w:tcPr>
          <w:p>
            <w:pPr>
              <w:pStyle w:val="style0"/>
              <w:rPr/>
            </w:pPr>
            <w:r>
              <w:t>Median</w:t>
            </w:r>
          </w:p>
        </w:tc>
        <w:tc>
          <w:tcPr>
            <w:tcW w:w="1440" w:type="dxa"/>
            <w:tcBorders/>
          </w:tcPr>
          <w:p>
            <w:pPr>
              <w:pStyle w:val="style0"/>
              <w:rPr/>
            </w:pPr>
            <w:r>
              <w:t>33.0</w:t>
            </w:r>
          </w:p>
        </w:tc>
        <w:tc>
          <w:tcPr>
            <w:tcW w:w="1440" w:type="dxa"/>
            <w:tcBorders/>
          </w:tcPr>
          <w:p>
            <w:pPr>
              <w:pStyle w:val="style0"/>
              <w:rPr/>
            </w:pPr>
            <w:r>
              <w:t>2.6</w:t>
            </w:r>
          </w:p>
        </w:tc>
        <w:tc>
          <w:tcPr>
            <w:tcW w:w="1440" w:type="dxa"/>
            <w:tcBorders/>
          </w:tcPr>
          <w:p>
            <w:pPr>
              <w:pStyle w:val="style0"/>
              <w:rPr/>
            </w:pPr>
            <w:r>
              <w:t>115.0</w:t>
            </w:r>
          </w:p>
        </w:tc>
        <w:tc>
          <w:tcPr>
            <w:tcW w:w="1440" w:type="dxa"/>
            <w:tcBorders/>
          </w:tcPr>
          <w:p>
            <w:pPr>
              <w:pStyle w:val="style0"/>
              <w:rPr/>
            </w:pPr>
            <w:r>
              <w:t>11.7</w:t>
            </w:r>
          </w:p>
        </w:tc>
        <w:tc>
          <w:tcPr>
            <w:tcW w:w="1440" w:type="dxa"/>
            <w:tcBorders/>
          </w:tcPr>
          <w:p>
            <w:pPr>
              <w:pStyle w:val="style0"/>
              <w:rPr/>
            </w:pPr>
            <w:r>
              <w:t>14.8</w:t>
            </w:r>
          </w:p>
        </w:tc>
      </w:tr>
      <w:tr>
        <w:tblPrEx/>
        <w:trPr/>
        <w:tc>
          <w:tcPr>
            <w:tcW w:w="1440" w:type="dxa"/>
            <w:tcBorders/>
          </w:tcPr>
          <w:p>
            <w:pPr>
              <w:pStyle w:val="style0"/>
              <w:rPr/>
            </w:pPr>
            <w:r>
              <w:t>SD</w:t>
            </w:r>
          </w:p>
        </w:tc>
        <w:tc>
          <w:tcPr>
            <w:tcW w:w="1440" w:type="dxa"/>
            <w:tcBorders/>
          </w:tcPr>
          <w:p>
            <w:pPr>
              <w:pStyle w:val="style0"/>
              <w:rPr/>
            </w:pPr>
            <w:r>
              <w:t>14.2</w:t>
            </w:r>
          </w:p>
        </w:tc>
        <w:tc>
          <w:tcPr>
            <w:tcW w:w="1440" w:type="dxa"/>
            <w:tcBorders/>
          </w:tcPr>
          <w:p>
            <w:pPr>
              <w:pStyle w:val="style0"/>
              <w:rPr/>
            </w:pPr>
            <w:r>
              <w:t>3.1</w:t>
            </w:r>
          </w:p>
        </w:tc>
        <w:tc>
          <w:tcPr>
            <w:tcW w:w="1440" w:type="dxa"/>
            <w:tcBorders/>
          </w:tcPr>
          <w:p>
            <w:pPr>
              <w:pStyle w:val="style0"/>
              <w:rPr/>
            </w:pPr>
            <w:r>
              <w:t>56.3</w:t>
            </w:r>
          </w:p>
        </w:tc>
        <w:tc>
          <w:tcPr>
            <w:tcW w:w="1440" w:type="dxa"/>
            <w:tcBorders/>
          </w:tcPr>
          <w:p>
            <w:pPr>
              <w:pStyle w:val="style0"/>
              <w:rPr/>
            </w:pPr>
            <w:r>
              <w:t>1.8</w:t>
            </w:r>
          </w:p>
        </w:tc>
        <w:tc>
          <w:tcPr>
            <w:tcW w:w="1440" w:type="dxa"/>
            <w:tcBorders/>
          </w:tcPr>
          <w:p>
            <w:pPr>
              <w:pStyle w:val="style0"/>
              <w:rPr/>
            </w:pPr>
            <w:r>
              <w:t>1.8</w:t>
            </w:r>
          </w:p>
        </w:tc>
      </w:tr>
      <w:tr>
        <w:tblPrEx/>
        <w:trPr/>
        <w:tc>
          <w:tcPr>
            <w:tcW w:w="1440" w:type="dxa"/>
            <w:tcBorders/>
          </w:tcPr>
          <w:p>
            <w:pPr>
              <w:pStyle w:val="style0"/>
              <w:rPr/>
            </w:pPr>
            <w:r>
              <w:t>IQR</w:t>
            </w:r>
          </w:p>
        </w:tc>
        <w:tc>
          <w:tcPr>
            <w:tcW w:w="1440" w:type="dxa"/>
            <w:tcBorders/>
          </w:tcPr>
          <w:p>
            <w:pPr>
              <w:pStyle w:val="style0"/>
              <w:rPr/>
            </w:pPr>
            <w:r>
              <w:t>21.0</w:t>
            </w:r>
          </w:p>
        </w:tc>
        <w:tc>
          <w:tcPr>
            <w:tcW w:w="1440" w:type="dxa"/>
            <w:tcBorders/>
          </w:tcPr>
          <w:p>
            <w:pPr>
              <w:pStyle w:val="style0"/>
              <w:rPr/>
            </w:pPr>
            <w:r>
              <w:t>2.3</w:t>
            </w:r>
          </w:p>
        </w:tc>
        <w:tc>
          <w:tcPr>
            <w:tcW w:w="1440" w:type="dxa"/>
            <w:tcBorders/>
          </w:tcPr>
          <w:p>
            <w:pPr>
              <w:pStyle w:val="style0"/>
              <w:rPr/>
            </w:pPr>
            <w:r>
              <w:t>50.0</w:t>
            </w:r>
          </w:p>
        </w:tc>
        <w:tc>
          <w:tcPr>
            <w:tcW w:w="1440" w:type="dxa"/>
            <w:tcBorders/>
          </w:tcPr>
          <w:p>
            <w:pPr>
              <w:pStyle w:val="style0"/>
              <w:rPr/>
            </w:pPr>
            <w:r>
              <w:t>2.3</w:t>
            </w:r>
          </w:p>
        </w:tc>
        <w:tc>
          <w:tcPr>
            <w:tcW w:w="1440" w:type="dxa"/>
            <w:tcBorders/>
          </w:tcPr>
          <w:p>
            <w:pPr>
              <w:pStyle w:val="style0"/>
              <w:rPr/>
            </w:pPr>
            <w:r>
              <w:t>2.6</w:t>
            </w:r>
          </w:p>
        </w:tc>
      </w:tr>
      <w:tr>
        <w:tblPrEx/>
        <w:trPr/>
        <w:tc>
          <w:tcPr>
            <w:tcW w:w="1440" w:type="dxa"/>
            <w:tcBorders/>
          </w:tcPr>
          <w:p>
            <w:pPr>
              <w:pStyle w:val="style0"/>
              <w:rPr/>
            </w:pPr>
            <w:r>
              <w:t>Skewness</w:t>
            </w:r>
          </w:p>
        </w:tc>
        <w:tc>
          <w:tcPr>
            <w:tcW w:w="1440" w:type="dxa"/>
            <w:tcBorders/>
          </w:tcPr>
          <w:p>
            <w:pPr>
              <w:pStyle w:val="style0"/>
              <w:rPr/>
            </w:pPr>
            <w:r>
              <w:t>0.65</w:t>
            </w:r>
          </w:p>
        </w:tc>
        <w:tc>
          <w:tcPr>
            <w:tcW w:w="1440" w:type="dxa"/>
            <w:tcBorders/>
          </w:tcPr>
          <w:p>
            <w:pPr>
              <w:pStyle w:val="style0"/>
              <w:rPr/>
            </w:pPr>
            <w:r>
              <w:t>2.12</w:t>
            </w:r>
          </w:p>
        </w:tc>
        <w:tc>
          <w:tcPr>
            <w:tcW w:w="1440" w:type="dxa"/>
            <w:tcBorders/>
          </w:tcPr>
          <w:p>
            <w:pPr>
              <w:pStyle w:val="style0"/>
              <w:rPr/>
            </w:pPr>
            <w:r>
              <w:t>1.89</w:t>
            </w:r>
          </w:p>
        </w:tc>
        <w:tc>
          <w:tcPr>
            <w:tcW w:w="1440" w:type="dxa"/>
            <w:tcBorders/>
          </w:tcPr>
          <w:p>
            <w:pPr>
              <w:pStyle w:val="style0"/>
              <w:rPr/>
            </w:pPr>
            <w:r>
              <w:t>0.12</w:t>
            </w:r>
          </w:p>
        </w:tc>
        <w:tc>
          <w:tcPr>
            <w:tcW w:w="1440" w:type="dxa"/>
            <w:tcBorders/>
          </w:tcPr>
          <w:p>
            <w:pPr>
              <w:pStyle w:val="style0"/>
              <w:rPr/>
            </w:pPr>
            <w:r>
              <w:t>0.45</w:t>
            </w:r>
          </w:p>
        </w:tc>
      </w:tr>
      <w:tr>
        <w:tblPrEx/>
        <w:trPr/>
        <w:tc>
          <w:tcPr>
            <w:tcW w:w="1440" w:type="dxa"/>
            <w:tcBorders/>
          </w:tcPr>
          <w:p>
            <w:pPr>
              <w:pStyle w:val="style0"/>
              <w:rPr/>
            </w:pPr>
            <w:r>
              <w:t>Kurtosis</w:t>
            </w:r>
          </w:p>
        </w:tc>
        <w:tc>
          <w:tcPr>
            <w:tcW w:w="1440" w:type="dxa"/>
            <w:tcBorders/>
          </w:tcPr>
          <w:p>
            <w:pPr>
              <w:pStyle w:val="style0"/>
              <w:rPr/>
            </w:pPr>
            <w:r>
              <w:t>-0.23</w:t>
            </w:r>
          </w:p>
        </w:tc>
        <w:tc>
          <w:tcPr>
            <w:tcW w:w="1440" w:type="dxa"/>
            <w:tcBorders/>
          </w:tcPr>
          <w:p>
            <w:pPr>
              <w:pStyle w:val="style0"/>
              <w:rPr/>
            </w:pPr>
            <w:r>
              <w:t>5.78</w:t>
            </w:r>
          </w:p>
        </w:tc>
        <w:tc>
          <w:tcPr>
            <w:tcW w:w="1440" w:type="dxa"/>
            <w:tcBorders/>
          </w:tcPr>
          <w:p>
            <w:pPr>
              <w:pStyle w:val="style0"/>
              <w:rPr/>
            </w:pPr>
            <w:r>
              <w:t>4.56</w:t>
            </w:r>
          </w:p>
        </w:tc>
        <w:tc>
          <w:tcPr>
            <w:tcW w:w="1440" w:type="dxa"/>
            <w:tcBorders/>
          </w:tcPr>
          <w:p>
            <w:pPr>
              <w:pStyle w:val="style0"/>
              <w:rPr/>
            </w:pPr>
            <w:r>
              <w:t>-0.35</w:t>
            </w:r>
          </w:p>
        </w:tc>
        <w:tc>
          <w:tcPr>
            <w:tcW w:w="1440" w:type="dxa"/>
            <w:tcBorders/>
          </w:tcPr>
          <w:p>
            <w:pPr>
              <w:pStyle w:val="style0"/>
              <w:rPr/>
            </w:pPr>
            <w:r>
              <w:t>-0.21</w:t>
            </w:r>
          </w:p>
        </w:tc>
      </w:tr>
    </w:tbl>
    <w:p>
      <w:pPr>
        <w:pStyle w:val="style3"/>
        <w:rPr/>
      </w:pPr>
      <w:r>
        <w:t>2.2 Frequency Distributions:</w:t>
      </w:r>
    </w:p>
    <w:p>
      <w:pPr>
        <w:pStyle w:val="style48"/>
        <w:rPr/>
      </w:pPr>
      <w:r>
        <w:t>· Infection prevalence: 31.0% (95% CI: 27.6-34.6%)</w:t>
      </w:r>
    </w:p>
    <w:p>
      <w:pPr>
        <w:pStyle w:val="style48"/>
        <w:rPr/>
      </w:pPr>
      <w:r>
        <w:t>· Fever prevalence: 65.0% (95% CI: 61.4-68.5%)</w:t>
      </w:r>
    </w:p>
    <w:p>
      <w:pPr>
        <w:pStyle w:val="style48"/>
        <w:rPr/>
      </w:pPr>
      <w:r>
        <w:t>· Anemia prevalence (Hb&lt;12): 55.0% (95% CI: 51.3-58.7%)</w:t>
      </w: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3. COMPARATIVE ANALYSES</w:t>
      </w:r>
    </w:p>
    <w:p>
      <w:pPr>
        <w:pStyle w:val="style3"/>
        <w:rPr/>
      </w:pPr>
      <w:r>
        <w:t>3.1 Group Comparisons (Mann-Whitney U Test):</w:t>
      </w:r>
    </w:p>
    <w:tbl>
      <w:tblPr>
        <w:tblStyle w:val="style154"/>
        <w:tblW w:w="0" w:type="auto"/>
        <w:tblLook w:val="04A0" w:firstRow="1" w:lastRow="0" w:firstColumn="1" w:lastColumn="0" w:noHBand="0" w:noVBand="1"/>
      </w:tblPr>
      <w:tblGrid>
        <w:gridCol w:w="1234"/>
        <w:gridCol w:w="1234"/>
        <w:gridCol w:w="1234"/>
        <w:gridCol w:w="1234"/>
        <w:gridCol w:w="1234"/>
        <w:gridCol w:w="1234"/>
        <w:gridCol w:w="1234"/>
      </w:tblGrid>
      <w:tr>
        <w:trPr/>
        <w:tc>
          <w:tcPr>
            <w:tcW w:w="1234" w:type="dxa"/>
            <w:tcBorders/>
          </w:tcPr>
          <w:p>
            <w:pPr>
              <w:pStyle w:val="style0"/>
              <w:rPr/>
            </w:pPr>
            <w:r>
              <w:t>Variable</w:t>
            </w:r>
          </w:p>
        </w:tc>
        <w:tc>
          <w:tcPr>
            <w:tcW w:w="1234" w:type="dxa"/>
            <w:tcBorders/>
          </w:tcPr>
          <w:p>
            <w:pPr>
              <w:pStyle w:val="style0"/>
              <w:rPr/>
            </w:pPr>
            <w:r>
              <w:t>Infected Median</w:t>
            </w:r>
          </w:p>
        </w:tc>
        <w:tc>
          <w:tcPr>
            <w:tcW w:w="1234" w:type="dxa"/>
            <w:tcBorders/>
          </w:tcPr>
          <w:p>
            <w:pPr>
              <w:pStyle w:val="style0"/>
              <w:rPr/>
            </w:pPr>
            <w:r>
              <w:t>Non-infected Median</w:t>
            </w:r>
          </w:p>
        </w:tc>
        <w:tc>
          <w:tcPr>
            <w:tcW w:w="1234" w:type="dxa"/>
            <w:tcBorders/>
          </w:tcPr>
          <w:p>
            <w:pPr>
              <w:pStyle w:val="style0"/>
              <w:rPr/>
            </w:pPr>
            <w:r>
              <w:t>U statistic</w:t>
            </w:r>
          </w:p>
        </w:tc>
        <w:tc>
          <w:tcPr>
            <w:tcW w:w="1234" w:type="dxa"/>
            <w:tcBorders/>
          </w:tcPr>
          <w:p>
            <w:pPr>
              <w:pStyle w:val="style0"/>
              <w:rPr/>
            </w:pPr>
            <w:r>
              <w:t>Z-score</w:t>
            </w:r>
          </w:p>
        </w:tc>
        <w:tc>
          <w:tcPr>
            <w:tcW w:w="1234" w:type="dxa"/>
            <w:tcBorders/>
          </w:tcPr>
          <w:p>
            <w:pPr>
              <w:pStyle w:val="style0"/>
              <w:rPr/>
            </w:pPr>
            <w:r>
              <w:t>p-value</w:t>
            </w:r>
          </w:p>
        </w:tc>
        <w:tc>
          <w:tcPr>
            <w:tcW w:w="1234" w:type="dxa"/>
            <w:tcBorders/>
          </w:tcPr>
          <w:p>
            <w:pPr>
              <w:pStyle w:val="style0"/>
              <w:rPr/>
            </w:pPr>
            <w:r>
              <w:t>Effect size (r)</w:t>
            </w:r>
          </w:p>
        </w:tc>
      </w:tr>
      <w:tr>
        <w:tblPrEx/>
        <w:trPr/>
        <w:tc>
          <w:tcPr>
            <w:tcW w:w="1234" w:type="dxa"/>
            <w:tcBorders/>
          </w:tcPr>
          <w:p>
            <w:pPr>
              <w:pStyle w:val="style0"/>
              <w:rPr/>
            </w:pPr>
            <w:r>
              <w:t>NLR</w:t>
            </w:r>
          </w:p>
        </w:tc>
        <w:tc>
          <w:tcPr>
            <w:tcW w:w="1234" w:type="dxa"/>
            <w:tcBorders/>
          </w:tcPr>
          <w:p>
            <w:pPr>
              <w:pStyle w:val="style0"/>
              <w:rPr/>
            </w:pPr>
            <w:r>
              <w:t>4.1</w:t>
            </w:r>
          </w:p>
        </w:tc>
        <w:tc>
          <w:tcPr>
            <w:tcW w:w="1234" w:type="dxa"/>
            <w:tcBorders/>
          </w:tcPr>
          <w:p>
            <w:pPr>
              <w:pStyle w:val="style0"/>
              <w:rPr/>
            </w:pPr>
            <w:r>
              <w:t>1.6</w:t>
            </w:r>
          </w:p>
        </w:tc>
        <w:tc>
          <w:tcPr>
            <w:tcW w:w="1234" w:type="dxa"/>
            <w:tcBorders/>
          </w:tcPr>
          <w:p>
            <w:pPr>
              <w:pStyle w:val="style0"/>
              <w:rPr/>
            </w:pPr>
            <w:r>
              <w:t>18632.5</w:t>
            </w:r>
          </w:p>
        </w:tc>
        <w:tc>
          <w:tcPr>
            <w:tcW w:w="1234" w:type="dxa"/>
            <w:tcBorders/>
          </w:tcPr>
          <w:p>
            <w:pPr>
              <w:pStyle w:val="style0"/>
              <w:rPr/>
            </w:pPr>
            <w:r>
              <w:t>15.87</w:t>
            </w:r>
          </w:p>
        </w:tc>
        <w:tc>
          <w:tcPr>
            <w:tcW w:w="1234" w:type="dxa"/>
            <w:tcBorders/>
          </w:tcPr>
          <w:p>
            <w:pPr>
              <w:pStyle w:val="style0"/>
              <w:rPr/>
            </w:pPr>
            <w:r>
              <w:t>&lt;0.001</w:t>
            </w:r>
          </w:p>
        </w:tc>
        <w:tc>
          <w:tcPr>
            <w:tcW w:w="1234" w:type="dxa"/>
            <w:tcBorders/>
          </w:tcPr>
          <w:p>
            <w:pPr>
              <w:pStyle w:val="style0"/>
              <w:rPr/>
            </w:pPr>
            <w:r>
              <w:t>0.60</w:t>
            </w:r>
          </w:p>
        </w:tc>
      </w:tr>
      <w:tr>
        <w:tblPrEx/>
        <w:trPr/>
        <w:tc>
          <w:tcPr>
            <w:tcW w:w="1234" w:type="dxa"/>
            <w:tcBorders/>
          </w:tcPr>
          <w:p>
            <w:pPr>
              <w:pStyle w:val="style0"/>
              <w:rPr/>
            </w:pPr>
            <w:r>
              <w:t>PLR</w:t>
            </w:r>
          </w:p>
        </w:tc>
        <w:tc>
          <w:tcPr>
            <w:tcW w:w="1234" w:type="dxa"/>
            <w:tcBorders/>
          </w:tcPr>
          <w:p>
            <w:pPr>
              <w:pStyle w:val="style0"/>
              <w:rPr/>
            </w:pPr>
            <w:r>
              <w:t>135.0</w:t>
            </w:r>
          </w:p>
        </w:tc>
        <w:tc>
          <w:tcPr>
            <w:tcW w:w="1234" w:type="dxa"/>
            <w:tcBorders/>
          </w:tcPr>
          <w:p>
            <w:pPr>
              <w:pStyle w:val="style0"/>
              <w:rPr/>
            </w:pPr>
            <w:r>
              <w:t>100.0</w:t>
            </w:r>
          </w:p>
        </w:tc>
        <w:tc>
          <w:tcPr>
            <w:tcW w:w="1234" w:type="dxa"/>
            <w:tcBorders/>
          </w:tcPr>
          <w:p>
            <w:pPr>
              <w:pStyle w:val="style0"/>
              <w:rPr/>
            </w:pPr>
            <w:r>
              <w:t>28745.5</w:t>
            </w:r>
          </w:p>
        </w:tc>
        <w:tc>
          <w:tcPr>
            <w:tcW w:w="1234" w:type="dxa"/>
            <w:tcBorders/>
          </w:tcPr>
          <w:p>
            <w:pPr>
              <w:pStyle w:val="style0"/>
              <w:rPr/>
            </w:pPr>
            <w:r>
              <w:t>10.24</w:t>
            </w:r>
          </w:p>
        </w:tc>
        <w:tc>
          <w:tcPr>
            <w:tcW w:w="1234" w:type="dxa"/>
            <w:tcBorders/>
          </w:tcPr>
          <w:p>
            <w:pPr>
              <w:pStyle w:val="style0"/>
              <w:rPr/>
            </w:pPr>
            <w:r>
              <w:t>&lt;0.001</w:t>
            </w:r>
          </w:p>
        </w:tc>
        <w:tc>
          <w:tcPr>
            <w:tcW w:w="1234" w:type="dxa"/>
            <w:tcBorders/>
          </w:tcPr>
          <w:p>
            <w:pPr>
              <w:pStyle w:val="style0"/>
              <w:rPr/>
            </w:pPr>
            <w:r>
              <w:t>0.39</w:t>
            </w:r>
          </w:p>
        </w:tc>
      </w:tr>
      <w:tr>
        <w:tblPrEx/>
        <w:trPr/>
        <w:tc>
          <w:tcPr>
            <w:tcW w:w="1234" w:type="dxa"/>
            <w:tcBorders/>
          </w:tcPr>
          <w:p>
            <w:pPr>
              <w:pStyle w:val="style0"/>
              <w:rPr/>
            </w:pPr>
            <w:r>
              <w:t>RDW</w:t>
            </w:r>
          </w:p>
        </w:tc>
        <w:tc>
          <w:tcPr>
            <w:tcW w:w="1234" w:type="dxa"/>
            <w:tcBorders/>
          </w:tcPr>
          <w:p>
            <w:pPr>
              <w:pStyle w:val="style0"/>
              <w:rPr/>
            </w:pPr>
            <w:r>
              <w:t>15.8</w:t>
            </w:r>
          </w:p>
        </w:tc>
        <w:tc>
          <w:tcPr>
            <w:tcW w:w="1234" w:type="dxa"/>
            <w:tcBorders/>
          </w:tcPr>
          <w:p>
            <w:pPr>
              <w:pStyle w:val="style0"/>
              <w:rPr/>
            </w:pPr>
            <w:r>
              <w:t>14.2</w:t>
            </w:r>
          </w:p>
        </w:tc>
        <w:tc>
          <w:tcPr>
            <w:tcW w:w="1234" w:type="dxa"/>
            <w:tcBorders/>
          </w:tcPr>
          <w:p>
            <w:pPr>
              <w:pStyle w:val="style0"/>
              <w:rPr/>
            </w:pPr>
            <w:r>
              <w:t>31245.0</w:t>
            </w:r>
          </w:p>
        </w:tc>
        <w:tc>
          <w:tcPr>
            <w:tcW w:w="1234" w:type="dxa"/>
            <w:tcBorders/>
          </w:tcPr>
          <w:p>
            <w:pPr>
              <w:pStyle w:val="style0"/>
              <w:rPr/>
            </w:pPr>
            <w:r>
              <w:t>8.56</w:t>
            </w:r>
          </w:p>
        </w:tc>
        <w:tc>
          <w:tcPr>
            <w:tcW w:w="1234" w:type="dxa"/>
            <w:tcBorders/>
          </w:tcPr>
          <w:p>
            <w:pPr>
              <w:pStyle w:val="style0"/>
              <w:rPr/>
            </w:pPr>
            <w:r>
              <w:t>&lt;0.001</w:t>
            </w:r>
          </w:p>
        </w:tc>
        <w:tc>
          <w:tcPr>
            <w:tcW w:w="1234" w:type="dxa"/>
            <w:tcBorders/>
          </w:tcPr>
          <w:p>
            <w:pPr>
              <w:pStyle w:val="style0"/>
              <w:rPr/>
            </w:pPr>
            <w:r>
              <w:t>0.32</w:t>
            </w:r>
          </w:p>
        </w:tc>
      </w:tr>
      <w:tr>
        <w:tblPrEx/>
        <w:trPr/>
        <w:tc>
          <w:tcPr>
            <w:tcW w:w="1234" w:type="dxa"/>
            <w:tcBorders/>
          </w:tcPr>
          <w:p>
            <w:pPr>
              <w:pStyle w:val="style0"/>
              <w:rPr/>
            </w:pPr>
            <w:r>
              <w:t>Hb</w:t>
            </w:r>
          </w:p>
        </w:tc>
        <w:tc>
          <w:tcPr>
            <w:tcW w:w="1234" w:type="dxa"/>
            <w:tcBorders/>
          </w:tcPr>
          <w:p>
            <w:pPr>
              <w:pStyle w:val="style0"/>
              <w:rPr/>
            </w:pPr>
            <w:r>
              <w:t>11.0</w:t>
            </w:r>
          </w:p>
        </w:tc>
        <w:tc>
          <w:tcPr>
            <w:tcW w:w="1234" w:type="dxa"/>
            <w:tcBorders/>
          </w:tcPr>
          <w:p>
            <w:pPr>
              <w:pStyle w:val="style0"/>
              <w:rPr/>
            </w:pPr>
            <w:r>
              <w:t>12.3</w:t>
            </w:r>
          </w:p>
        </w:tc>
        <w:tc>
          <w:tcPr>
            <w:tcW w:w="1234" w:type="dxa"/>
            <w:tcBorders/>
          </w:tcPr>
          <w:p>
            <w:pPr>
              <w:pStyle w:val="style0"/>
              <w:rPr/>
            </w:pPr>
            <w:r>
              <w:t>35678.0</w:t>
            </w:r>
          </w:p>
        </w:tc>
        <w:tc>
          <w:tcPr>
            <w:tcW w:w="1234" w:type="dxa"/>
            <w:tcBorders/>
          </w:tcPr>
          <w:p>
            <w:pPr>
              <w:pStyle w:val="style0"/>
              <w:rPr/>
            </w:pPr>
            <w:r>
              <w:t>-7.89</w:t>
            </w:r>
          </w:p>
        </w:tc>
        <w:tc>
          <w:tcPr>
            <w:tcW w:w="1234" w:type="dxa"/>
            <w:tcBorders/>
          </w:tcPr>
          <w:p>
            <w:pPr>
              <w:pStyle w:val="style0"/>
              <w:rPr/>
            </w:pPr>
            <w:r>
              <w:t>&lt;0.001</w:t>
            </w:r>
          </w:p>
        </w:tc>
        <w:tc>
          <w:tcPr>
            <w:tcW w:w="1234" w:type="dxa"/>
            <w:tcBorders/>
          </w:tcPr>
          <w:p>
            <w:pPr>
              <w:pStyle w:val="style0"/>
              <w:rPr/>
            </w:pPr>
            <w:r>
              <w:t>0.30</w:t>
            </w:r>
          </w:p>
        </w:tc>
      </w:tr>
    </w:tbl>
    <w:p>
      <w:pPr>
        <w:pStyle w:val="style0"/>
        <w:rPr/>
      </w:pPr>
      <w:r>
        <w:t>Effect size interpretation: r &gt; 0.5 = large, 0.3-0.5 = medium, &lt;0.3 = small</w:t>
      </w:r>
    </w:p>
    <w:p>
      <w:pPr>
        <w:pStyle w:val="style3"/>
        <w:rPr/>
      </w:pPr>
      <w:r>
        <w:t>3.2 Chi-square Tests for Categorical Variables:</w:t>
      </w:r>
    </w:p>
    <w:tbl>
      <w:tblPr>
        <w:tblStyle w:val="style154"/>
        <w:tblW w:w="0" w:type="auto"/>
        <w:tblLook w:val="04A0" w:firstRow="1" w:lastRow="0" w:firstColumn="1" w:lastColumn="0" w:noHBand="0" w:noVBand="1"/>
      </w:tblPr>
      <w:tblGrid>
        <w:gridCol w:w="1440"/>
        <w:gridCol w:w="1440"/>
        <w:gridCol w:w="1440"/>
        <w:gridCol w:w="1440"/>
        <w:gridCol w:w="1440"/>
        <w:gridCol w:w="1440"/>
      </w:tblGrid>
      <w:tr>
        <w:trPr/>
        <w:tc>
          <w:tcPr>
            <w:tcW w:w="1440" w:type="dxa"/>
            <w:tcBorders/>
          </w:tcPr>
          <w:p>
            <w:pPr>
              <w:pStyle w:val="style0"/>
              <w:rPr/>
            </w:pPr>
            <w:r>
              <w:t>Comparison</w:t>
            </w:r>
          </w:p>
        </w:tc>
        <w:tc>
          <w:tcPr>
            <w:tcW w:w="1440" w:type="dxa"/>
            <w:tcBorders/>
          </w:tcPr>
          <w:p>
            <w:pPr>
              <w:pStyle w:val="style0"/>
              <w:rPr/>
            </w:pPr>
            <w:r>
              <w:t>χ²</w:t>
            </w:r>
          </w:p>
        </w:tc>
        <w:tc>
          <w:tcPr>
            <w:tcW w:w="1440" w:type="dxa"/>
            <w:tcBorders/>
          </w:tcPr>
          <w:p>
            <w:pPr>
              <w:pStyle w:val="style0"/>
              <w:rPr/>
            </w:pPr>
            <w:r>
              <w:t>df</w:t>
            </w:r>
          </w:p>
        </w:tc>
        <w:tc>
          <w:tcPr>
            <w:tcW w:w="1440" w:type="dxa"/>
            <w:tcBorders/>
          </w:tcPr>
          <w:p>
            <w:pPr>
              <w:pStyle w:val="style0"/>
              <w:rPr/>
            </w:pPr>
            <w:r>
              <w:t>p-value</w:t>
            </w:r>
          </w:p>
        </w:tc>
        <w:tc>
          <w:tcPr>
            <w:tcW w:w="1440" w:type="dxa"/>
            <w:tcBorders/>
          </w:tcPr>
          <w:p>
            <w:pPr>
              <w:pStyle w:val="style0"/>
              <w:rPr/>
            </w:pPr>
            <w:r>
              <w:t>Phi</w:t>
            </w:r>
          </w:p>
        </w:tc>
        <w:tc>
          <w:tcPr>
            <w:tcW w:w="1440" w:type="dxa"/>
            <w:tcBorders/>
          </w:tcPr>
          <w:p>
            <w:pPr>
              <w:pStyle w:val="style0"/>
              <w:rPr/>
            </w:pPr>
            <w:r>
              <w:t>coefficient</w:t>
            </w:r>
          </w:p>
        </w:tc>
      </w:tr>
      <w:tr>
        <w:tblPrEx/>
        <w:trPr/>
        <w:tc>
          <w:tcPr>
            <w:tcW w:w="1440" w:type="dxa"/>
            <w:tcBorders/>
          </w:tcPr>
          <w:p>
            <w:pPr>
              <w:pStyle w:val="style0"/>
              <w:rPr/>
            </w:pPr>
            <w:r>
              <w:t>Infection</w:t>
            </w:r>
          </w:p>
        </w:tc>
        <w:tc>
          <w:tcPr>
            <w:tcW w:w="1440" w:type="dxa"/>
            <w:tcBorders/>
          </w:tcPr>
          <w:p>
            <w:pPr>
              <w:pStyle w:val="style0"/>
              <w:rPr/>
            </w:pPr>
            <w:r>
              <w:t>×</w:t>
            </w:r>
          </w:p>
        </w:tc>
        <w:tc>
          <w:tcPr>
            <w:tcW w:w="1440" w:type="dxa"/>
            <w:tcBorders/>
          </w:tcPr>
          <w:p>
            <w:pPr>
              <w:pStyle w:val="style0"/>
              <w:rPr/>
            </w:pPr>
            <w:r>
              <w:t>Fever</w:t>
            </w:r>
          </w:p>
        </w:tc>
        <w:tc>
          <w:tcPr>
            <w:tcW w:w="1440" w:type="dxa"/>
            <w:tcBorders/>
          </w:tcPr>
          <w:p>
            <w:pPr>
              <w:pStyle w:val="style0"/>
              <w:rPr/>
            </w:pPr>
            <w:r>
              <w:t>45.67</w:t>
            </w:r>
          </w:p>
        </w:tc>
        <w:tc>
          <w:tcPr>
            <w:tcW w:w="1440" w:type="dxa"/>
            <w:tcBorders/>
          </w:tcPr>
          <w:p>
            <w:pPr>
              <w:pStyle w:val="style0"/>
              <w:rPr/>
            </w:pPr>
            <w:r>
              <w:t>1</w:t>
            </w:r>
          </w:p>
        </w:tc>
        <w:tc>
          <w:tcPr>
            <w:tcW w:w="1440" w:type="dxa"/>
            <w:tcBorders/>
          </w:tcPr>
          <w:p>
            <w:pPr>
              <w:pStyle w:val="style0"/>
              <w:rPr/>
            </w:pPr>
            <w:r>
              <w:t>&lt;0.001 0.26</w:t>
            </w:r>
          </w:p>
        </w:tc>
      </w:tr>
      <w:tr>
        <w:tblPrEx/>
        <w:trPr/>
        <w:tc>
          <w:tcPr>
            <w:tcW w:w="1440" w:type="dxa"/>
            <w:tcBorders/>
          </w:tcPr>
          <w:p>
            <w:pPr>
              <w:pStyle w:val="style0"/>
              <w:rPr/>
            </w:pPr>
            <w:r>
              <w:t>Infection</w:t>
            </w:r>
          </w:p>
        </w:tc>
        <w:tc>
          <w:tcPr>
            <w:tcW w:w="1440" w:type="dxa"/>
            <w:tcBorders/>
          </w:tcPr>
          <w:p>
            <w:pPr>
              <w:pStyle w:val="style0"/>
              <w:rPr/>
            </w:pPr>
            <w:r>
              <w:t>×</w:t>
            </w:r>
          </w:p>
        </w:tc>
        <w:tc>
          <w:tcPr>
            <w:tcW w:w="1440" w:type="dxa"/>
            <w:tcBorders/>
          </w:tcPr>
          <w:p>
            <w:pPr>
              <w:pStyle w:val="style0"/>
              <w:rPr/>
            </w:pPr>
            <w:r>
              <w:t>Governorate</w:t>
            </w:r>
          </w:p>
        </w:tc>
        <w:tc>
          <w:tcPr>
            <w:tcW w:w="1440" w:type="dxa"/>
            <w:tcBorders/>
          </w:tcPr>
          <w:p>
            <w:pPr>
              <w:pStyle w:val="style0"/>
              <w:rPr/>
            </w:pPr>
            <w:r>
              <w:t>0.01</w:t>
            </w:r>
          </w:p>
        </w:tc>
        <w:tc>
          <w:tcPr>
            <w:tcW w:w="1440" w:type="dxa"/>
            <w:tcBorders/>
          </w:tcPr>
          <w:p>
            <w:pPr>
              <w:pStyle w:val="style0"/>
              <w:rPr/>
            </w:pPr>
            <w:r>
              <w:t>1</w:t>
            </w:r>
          </w:p>
        </w:tc>
        <w:tc>
          <w:tcPr>
            <w:tcW w:w="1440" w:type="dxa"/>
            <w:tcBorders/>
          </w:tcPr>
          <w:p>
            <w:pPr>
              <w:pStyle w:val="style0"/>
              <w:rPr/>
            </w:pPr>
            <w:r>
              <w:t>0.94 0.004</w:t>
            </w:r>
          </w:p>
        </w:tc>
      </w:tr>
      <w:tr>
        <w:tblPrEx/>
        <w:trPr/>
        <w:tc>
          <w:tcPr>
            <w:tcW w:w="1440" w:type="dxa"/>
            <w:tcBorders/>
          </w:tcPr>
          <w:p>
            <w:pPr>
              <w:pStyle w:val="style0"/>
              <w:rPr/>
            </w:pPr>
            <w:r>
              <w:t>Infection</w:t>
            </w:r>
          </w:p>
        </w:tc>
        <w:tc>
          <w:tcPr>
            <w:tcW w:w="1440" w:type="dxa"/>
            <w:tcBorders/>
          </w:tcPr>
          <w:p>
            <w:pPr>
              <w:pStyle w:val="style0"/>
              <w:rPr/>
            </w:pPr>
            <w:r>
              <w:t>×</w:t>
            </w:r>
          </w:p>
        </w:tc>
        <w:tc>
          <w:tcPr>
            <w:tcW w:w="1440" w:type="dxa"/>
            <w:tcBorders/>
          </w:tcPr>
          <w:p>
            <w:pPr>
              <w:pStyle w:val="style0"/>
              <w:rPr/>
            </w:pPr>
            <w:r>
              <w:t>Sex</w:t>
            </w:r>
          </w:p>
        </w:tc>
        <w:tc>
          <w:tcPr>
            <w:tcW w:w="1440" w:type="dxa"/>
            <w:tcBorders/>
          </w:tcPr>
          <w:p>
            <w:pPr>
              <w:pStyle w:val="style0"/>
              <w:rPr/>
            </w:pPr>
            <w:r>
              <w:t>0.19</w:t>
            </w:r>
          </w:p>
        </w:tc>
        <w:tc>
          <w:tcPr>
            <w:tcW w:w="1440" w:type="dxa"/>
            <w:tcBorders/>
          </w:tcPr>
          <w:p>
            <w:pPr>
              <w:pStyle w:val="style0"/>
              <w:rPr/>
            </w:pPr>
            <w:r>
              <w:t>1</w:t>
            </w:r>
          </w:p>
        </w:tc>
        <w:tc>
          <w:tcPr>
            <w:tcW w:w="1440" w:type="dxa"/>
            <w:tcBorders/>
          </w:tcPr>
          <w:p>
            <w:pPr>
              <w:pStyle w:val="style0"/>
              <w:rPr/>
            </w:pPr>
            <w:r>
              <w:t>0.66 0.02</w:t>
            </w:r>
          </w:p>
        </w:tc>
      </w:tr>
    </w:tbl>
    <w:p>
      <w:pPr>
        <w:pStyle w:val="style0"/>
        <w:rPr/>
      </w:pP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4. DIAGNOSTIC ACCURACY ANALYSES</w:t>
      </w:r>
    </w:p>
    <w:p>
      <w:pPr>
        <w:pStyle w:val="style3"/>
        <w:rPr/>
      </w:pPr>
      <w:r>
        <w:t>4.1 ROC Curve Analysis Details:</w:t>
      </w:r>
    </w:p>
    <w:p>
      <w:pPr>
        <w:pStyle w:val="style0"/>
        <w:rPr/>
      </w:pPr>
      <w:r>
        <w:t>Method: Non-parametric method (trapezoidal rule)</w:t>
      </w:r>
    </w:p>
    <w:p>
      <w:pPr>
        <w:pStyle w:val="style0"/>
        <w:rPr/>
      </w:pPr>
      <w:r>
        <w:t>Confidence intervals:DeLong method (95% CI)</w:t>
      </w:r>
    </w:p>
    <w:p>
      <w:pPr>
        <w:pStyle w:val="style0"/>
        <w:rPr/>
      </w:pPr>
      <w:r>
        <w:t>Comparison test:DeLong test for two correlated ROC curves</w:t>
      </w:r>
    </w:p>
    <w:p>
      <w:pPr>
        <w:pStyle w:val="style0"/>
        <w:rPr/>
      </w:pPr>
      <w:r>
        <w:t>Complete AUC Results:</w:t>
      </w:r>
    </w:p>
    <w:tbl>
      <w:tblPr>
        <w:tblStyle w:val="style154"/>
        <w:tblW w:w="0" w:type="auto"/>
        <w:tblLook w:val="04A0" w:firstRow="1" w:lastRow="0" w:firstColumn="1" w:lastColumn="0" w:noHBand="0" w:noVBand="1"/>
      </w:tblPr>
      <w:tblGrid>
        <w:gridCol w:w="1440"/>
        <w:gridCol w:w="1440"/>
        <w:gridCol w:w="1440"/>
        <w:gridCol w:w="1440"/>
        <w:gridCol w:w="1440"/>
        <w:gridCol w:w="1440"/>
      </w:tblGrid>
      <w:tr>
        <w:trPr/>
        <w:tc>
          <w:tcPr>
            <w:tcW w:w="1440" w:type="dxa"/>
            <w:tcBorders/>
          </w:tcPr>
          <w:p>
            <w:pPr>
              <w:pStyle w:val="style0"/>
              <w:rPr/>
            </w:pPr>
            <w:r>
              <w:t>Index</w:t>
            </w:r>
          </w:p>
        </w:tc>
        <w:tc>
          <w:tcPr>
            <w:tcW w:w="1440" w:type="dxa"/>
            <w:tcBorders/>
          </w:tcPr>
          <w:p>
            <w:pPr>
              <w:pStyle w:val="style0"/>
              <w:rPr/>
            </w:pPr>
            <w:r>
              <w:t>AUC</w:t>
            </w:r>
          </w:p>
        </w:tc>
        <w:tc>
          <w:tcPr>
            <w:tcW w:w="1440" w:type="dxa"/>
            <w:tcBorders/>
          </w:tcPr>
          <w:p>
            <w:pPr>
              <w:pStyle w:val="style0"/>
              <w:rPr/>
            </w:pPr>
            <w:r>
              <w:t>SE</w:t>
            </w:r>
          </w:p>
        </w:tc>
        <w:tc>
          <w:tcPr>
            <w:tcW w:w="1440" w:type="dxa"/>
            <w:tcBorders/>
          </w:tcPr>
          <w:p>
            <w:pPr>
              <w:pStyle w:val="style0"/>
              <w:rPr/>
            </w:pPr>
            <w:r>
              <w:t>95% CI Lower</w:t>
            </w:r>
          </w:p>
        </w:tc>
        <w:tc>
          <w:tcPr>
            <w:tcW w:w="1440" w:type="dxa"/>
            <w:tcBorders/>
          </w:tcPr>
          <w:p>
            <w:pPr>
              <w:pStyle w:val="style0"/>
              <w:rPr/>
            </w:pPr>
            <w:r>
              <w:t>95% CI Upper</w:t>
            </w:r>
          </w:p>
        </w:tc>
        <w:tc>
          <w:tcPr>
            <w:tcW w:w="1440" w:type="dxa"/>
            <w:tcBorders/>
          </w:tcPr>
          <w:p>
            <w:pPr>
              <w:pStyle w:val="style0"/>
              <w:rPr/>
            </w:pPr>
            <w:r>
              <w:t>Standard Error</w:t>
            </w:r>
          </w:p>
        </w:tc>
      </w:tr>
      <w:tr>
        <w:tblPrEx/>
        <w:trPr/>
        <w:tc>
          <w:tcPr>
            <w:tcW w:w="1440" w:type="dxa"/>
            <w:tcBorders/>
          </w:tcPr>
          <w:p>
            <w:pPr>
              <w:pStyle w:val="style0"/>
              <w:rPr/>
            </w:pPr>
            <w:r>
              <w:t>NLR</w:t>
            </w:r>
          </w:p>
        </w:tc>
        <w:tc>
          <w:tcPr>
            <w:tcW w:w="1440" w:type="dxa"/>
            <w:tcBorders/>
          </w:tcPr>
          <w:p>
            <w:pPr>
              <w:pStyle w:val="style0"/>
              <w:rPr/>
            </w:pPr>
            <w:r>
              <w:t>0.812</w:t>
            </w:r>
          </w:p>
        </w:tc>
        <w:tc>
          <w:tcPr>
            <w:tcW w:w="1440" w:type="dxa"/>
            <w:tcBorders/>
          </w:tcPr>
          <w:p>
            <w:pPr>
              <w:pStyle w:val="style0"/>
              <w:rPr/>
            </w:pPr>
            <w:r>
              <w:t>0.018</w:t>
            </w:r>
          </w:p>
        </w:tc>
        <w:tc>
          <w:tcPr>
            <w:tcW w:w="1440" w:type="dxa"/>
            <w:tcBorders/>
          </w:tcPr>
          <w:p>
            <w:pPr>
              <w:pStyle w:val="style0"/>
              <w:rPr/>
            </w:pPr>
            <w:r>
              <w:t>0.767</w:t>
            </w:r>
          </w:p>
        </w:tc>
        <w:tc>
          <w:tcPr>
            <w:tcW w:w="1440" w:type="dxa"/>
            <w:tcBorders/>
          </w:tcPr>
          <w:p>
            <w:pPr>
              <w:pStyle w:val="style0"/>
              <w:rPr/>
            </w:pPr>
            <w:r>
              <w:t>0.848</w:t>
            </w:r>
          </w:p>
        </w:tc>
        <w:tc>
          <w:tcPr>
            <w:tcW w:w="1440" w:type="dxa"/>
            <w:tcBorders/>
          </w:tcPr>
          <w:p>
            <w:pPr>
              <w:pStyle w:val="style0"/>
              <w:rPr/>
            </w:pPr>
            <w:r>
              <w:t>0.018</w:t>
            </w:r>
          </w:p>
        </w:tc>
      </w:tr>
      <w:tr>
        <w:tblPrEx/>
        <w:trPr/>
        <w:tc>
          <w:tcPr>
            <w:tcW w:w="1440" w:type="dxa"/>
            <w:tcBorders/>
          </w:tcPr>
          <w:p>
            <w:pPr>
              <w:pStyle w:val="style0"/>
              <w:rPr/>
            </w:pPr>
            <w:r>
              <w:t>PLR</w:t>
            </w:r>
          </w:p>
        </w:tc>
        <w:tc>
          <w:tcPr>
            <w:tcW w:w="1440" w:type="dxa"/>
            <w:tcBorders/>
          </w:tcPr>
          <w:p>
            <w:pPr>
              <w:pStyle w:val="style0"/>
              <w:rPr/>
            </w:pPr>
            <w:r>
              <w:t>0.742</w:t>
            </w:r>
          </w:p>
        </w:tc>
        <w:tc>
          <w:tcPr>
            <w:tcW w:w="1440" w:type="dxa"/>
            <w:tcBorders/>
          </w:tcPr>
          <w:p>
            <w:pPr>
              <w:pStyle w:val="style0"/>
              <w:rPr/>
            </w:pPr>
            <w:r>
              <w:t>0.021</w:t>
            </w:r>
          </w:p>
        </w:tc>
        <w:tc>
          <w:tcPr>
            <w:tcW w:w="1440" w:type="dxa"/>
            <w:tcBorders/>
          </w:tcPr>
          <w:p>
            <w:pPr>
              <w:pStyle w:val="style0"/>
              <w:rPr/>
            </w:pPr>
            <w:r>
              <w:t>0.698</w:t>
            </w:r>
          </w:p>
        </w:tc>
        <w:tc>
          <w:tcPr>
            <w:tcW w:w="1440" w:type="dxa"/>
            <w:tcBorders/>
          </w:tcPr>
          <w:p>
            <w:pPr>
              <w:pStyle w:val="style0"/>
              <w:rPr/>
            </w:pPr>
            <w:r>
              <w:t>0.782</w:t>
            </w:r>
          </w:p>
        </w:tc>
        <w:tc>
          <w:tcPr>
            <w:tcW w:w="1440" w:type="dxa"/>
            <w:tcBorders/>
          </w:tcPr>
          <w:p>
            <w:pPr>
              <w:pStyle w:val="style0"/>
              <w:rPr/>
            </w:pPr>
            <w:r>
              <w:t>0.021</w:t>
            </w:r>
          </w:p>
        </w:tc>
      </w:tr>
      <w:tr>
        <w:tblPrEx/>
        <w:trPr/>
        <w:tc>
          <w:tcPr>
            <w:tcW w:w="1440" w:type="dxa"/>
            <w:tcBorders/>
          </w:tcPr>
          <w:p>
            <w:pPr>
              <w:pStyle w:val="style0"/>
              <w:rPr/>
            </w:pPr>
            <w:r>
              <w:t>RDW</w:t>
            </w:r>
          </w:p>
        </w:tc>
        <w:tc>
          <w:tcPr>
            <w:tcW w:w="1440" w:type="dxa"/>
            <w:tcBorders/>
          </w:tcPr>
          <w:p>
            <w:pPr>
              <w:pStyle w:val="style0"/>
              <w:rPr/>
            </w:pPr>
            <w:r>
              <w:t>0.681</w:t>
            </w:r>
          </w:p>
        </w:tc>
        <w:tc>
          <w:tcPr>
            <w:tcW w:w="1440" w:type="dxa"/>
            <w:tcBorders/>
          </w:tcPr>
          <w:p>
            <w:pPr>
              <w:pStyle w:val="style0"/>
              <w:rPr/>
            </w:pPr>
            <w:r>
              <w:t>0.023</w:t>
            </w:r>
          </w:p>
        </w:tc>
        <w:tc>
          <w:tcPr>
            <w:tcW w:w="1440" w:type="dxa"/>
            <w:tcBorders/>
          </w:tcPr>
          <w:p>
            <w:pPr>
              <w:pStyle w:val="style0"/>
              <w:rPr/>
            </w:pPr>
            <w:r>
              <w:t>0.635</w:t>
            </w:r>
          </w:p>
        </w:tc>
        <w:tc>
          <w:tcPr>
            <w:tcW w:w="1440" w:type="dxa"/>
            <w:tcBorders/>
          </w:tcPr>
          <w:p>
            <w:pPr>
              <w:pStyle w:val="style0"/>
              <w:rPr/>
            </w:pPr>
            <w:r>
              <w:t>0.724</w:t>
            </w:r>
          </w:p>
        </w:tc>
        <w:tc>
          <w:tcPr>
            <w:tcW w:w="1440" w:type="dxa"/>
            <w:tcBorders/>
          </w:tcPr>
          <w:p>
            <w:pPr>
              <w:pStyle w:val="style0"/>
              <w:rPr/>
            </w:pPr>
            <w:r>
              <w:t>0.023</w:t>
            </w:r>
          </w:p>
        </w:tc>
      </w:tr>
      <w:tr>
        <w:tblPrEx/>
        <w:trPr/>
        <w:tc>
          <w:tcPr>
            <w:tcW w:w="1440" w:type="dxa"/>
            <w:tcBorders/>
          </w:tcPr>
          <w:p>
            <w:pPr>
              <w:pStyle w:val="style0"/>
              <w:rPr/>
            </w:pPr>
            <w:r>
              <w:t>Hb</w:t>
            </w:r>
          </w:p>
        </w:tc>
        <w:tc>
          <w:tcPr>
            <w:tcW w:w="1440" w:type="dxa"/>
            <w:tcBorders/>
          </w:tcPr>
          <w:p>
            <w:pPr>
              <w:pStyle w:val="style0"/>
              <w:rPr/>
            </w:pPr>
            <w:r>
              <w:t>0.631</w:t>
            </w:r>
          </w:p>
        </w:tc>
        <w:tc>
          <w:tcPr>
            <w:tcW w:w="1440" w:type="dxa"/>
            <w:tcBorders/>
          </w:tcPr>
          <w:p>
            <w:pPr>
              <w:pStyle w:val="style0"/>
              <w:rPr/>
            </w:pPr>
            <w:r>
              <w:t>0.024</w:t>
            </w:r>
          </w:p>
        </w:tc>
        <w:tc>
          <w:tcPr>
            <w:tcW w:w="1440" w:type="dxa"/>
            <w:tcBorders/>
          </w:tcPr>
          <w:p>
            <w:pPr>
              <w:pStyle w:val="style0"/>
              <w:rPr/>
            </w:pPr>
            <w:r>
              <w:t>0.585</w:t>
            </w:r>
          </w:p>
        </w:tc>
        <w:tc>
          <w:tcPr>
            <w:tcW w:w="1440" w:type="dxa"/>
            <w:tcBorders/>
          </w:tcPr>
          <w:p>
            <w:pPr>
              <w:pStyle w:val="style0"/>
              <w:rPr/>
            </w:pPr>
            <w:r>
              <w:t>0.675</w:t>
            </w:r>
          </w:p>
        </w:tc>
        <w:tc>
          <w:tcPr>
            <w:tcW w:w="1440" w:type="dxa"/>
            <w:tcBorders/>
          </w:tcPr>
          <w:p>
            <w:pPr>
              <w:pStyle w:val="style0"/>
              <w:rPr/>
            </w:pPr>
            <w:r>
              <w:t>0.024</w:t>
            </w:r>
          </w:p>
        </w:tc>
      </w:tr>
    </w:tbl>
    <w:p>
      <w:pPr>
        <w:pStyle w:val="style3"/>
        <w:rPr/>
      </w:pPr>
      <w:r>
        <w:t>4.2 Cut-off Determination:</w:t>
      </w:r>
    </w:p>
    <w:p>
      <w:pPr>
        <w:pStyle w:val="style0"/>
        <w:rPr/>
      </w:pPr>
      <w:r>
        <w:t>Youden Index Calculation: J = Sensitivity + Specificity - 1</w:t>
      </w:r>
    </w:p>
    <w:tbl>
      <w:tblPr>
        <w:tblStyle w:val="style154"/>
        <w:tblW w:w="0" w:type="auto"/>
        <w:tblLook w:val="04A0" w:firstRow="1" w:lastRow="0" w:firstColumn="1" w:lastColumn="0" w:noHBand="0" w:noVBand="1"/>
      </w:tblPr>
      <w:tblGrid>
        <w:gridCol w:w="1440"/>
        <w:gridCol w:w="1440"/>
        <w:gridCol w:w="1440"/>
        <w:gridCol w:w="1440"/>
        <w:gridCol w:w="1440"/>
        <w:gridCol w:w="1440"/>
      </w:tblGrid>
      <w:tr>
        <w:trPr/>
        <w:tc>
          <w:tcPr>
            <w:tcW w:w="1440" w:type="dxa"/>
            <w:tcBorders/>
          </w:tcPr>
          <w:p>
            <w:pPr>
              <w:pStyle w:val="style0"/>
              <w:rPr/>
            </w:pPr>
            <w:r>
              <w:t>NLR</w:t>
            </w:r>
          </w:p>
        </w:tc>
        <w:tc>
          <w:tcPr>
            <w:tcW w:w="1440" w:type="dxa"/>
            <w:tcBorders/>
          </w:tcPr>
          <w:p>
            <w:pPr>
              <w:pStyle w:val="style0"/>
              <w:rPr/>
            </w:pPr>
            <w:r>
              <w:t>Cut-off</w:t>
            </w:r>
          </w:p>
        </w:tc>
        <w:tc>
          <w:tcPr>
            <w:tcW w:w="1440" w:type="dxa"/>
            <w:tcBorders/>
          </w:tcPr>
          <w:p>
            <w:pPr>
              <w:pStyle w:val="style0"/>
              <w:rPr/>
            </w:pPr>
            <w:r>
              <w:t>Sensitivity</w:t>
            </w:r>
          </w:p>
        </w:tc>
        <w:tc>
          <w:tcPr>
            <w:tcW w:w="1440" w:type="dxa"/>
            <w:tcBorders/>
          </w:tcPr>
          <w:p>
            <w:pPr>
              <w:pStyle w:val="style0"/>
              <w:rPr/>
            </w:pPr>
            <w:r>
              <w:t>Specificity</w:t>
            </w:r>
          </w:p>
        </w:tc>
        <w:tc>
          <w:tcPr>
            <w:tcW w:w="1440" w:type="dxa"/>
            <w:tcBorders/>
          </w:tcPr>
          <w:p>
            <w:pPr>
              <w:pStyle w:val="style0"/>
              <w:rPr/>
            </w:pPr>
            <w:r>
              <w:t>Youden</w:t>
            </w:r>
          </w:p>
        </w:tc>
        <w:tc>
          <w:tcPr>
            <w:tcW w:w="1440" w:type="dxa"/>
            <w:tcBorders/>
          </w:tcPr>
          <w:p>
            <w:pPr>
              <w:pStyle w:val="style0"/>
              <w:rPr/>
            </w:pPr>
            <w:r>
              <w:t>Index</w:t>
            </w:r>
          </w:p>
        </w:tc>
      </w:tr>
      <w:tr>
        <w:tblPrEx/>
        <w:trPr/>
        <w:tc>
          <w:tcPr>
            <w:tcW w:w="1440" w:type="dxa"/>
            <w:tcBorders/>
          </w:tcPr>
          <w:p>
            <w:pPr>
              <w:pStyle w:val="style0"/>
              <w:rPr/>
            </w:pPr>
            <w:r>
              <w:t>2.0</w:t>
            </w:r>
          </w:p>
        </w:tc>
        <w:tc>
          <w:tcPr>
            <w:tcW w:w="1440" w:type="dxa"/>
            <w:tcBorders/>
          </w:tcPr>
          <w:p>
            <w:pPr>
              <w:pStyle w:val="style0"/>
              <w:rPr/>
            </w:pPr>
            <w:r>
              <w:t>0.912</w:t>
            </w:r>
          </w:p>
        </w:tc>
        <w:tc>
          <w:tcPr>
            <w:tcW w:w="1440" w:type="dxa"/>
            <w:tcBorders/>
          </w:tcPr>
          <w:p>
            <w:pPr>
              <w:pStyle w:val="style0"/>
              <w:rPr/>
            </w:pPr>
            <w:r>
              <w:t>0.642</w:t>
            </w:r>
          </w:p>
        </w:tc>
        <w:tc>
          <w:tcPr>
            <w:tcW w:w="1440" w:type="dxa"/>
            <w:tcBorders/>
          </w:tcPr>
          <w:p>
            <w:pPr>
              <w:pStyle w:val="style0"/>
              <w:rPr/>
            </w:pPr>
            <w:r>
              <w:t>0.554</w:t>
            </w:r>
          </w:p>
        </w:tc>
        <w:tc>
          <w:tcPr>
            <w:tcW w:w="1440" w:type="dxa"/>
            <w:tcBorders/>
          </w:tcPr>
          <w:p>
            <w:pPr>
              <w:pStyle w:val="style0"/>
              <w:rPr/>
            </w:pPr>
          </w:p>
        </w:tc>
        <w:tc>
          <w:tcPr>
            <w:tcW w:w="1440" w:type="dxa"/>
            <w:tcBorders/>
          </w:tcPr>
          <w:p>
            <w:pPr>
              <w:pStyle w:val="style0"/>
              <w:rPr/>
            </w:pPr>
          </w:p>
        </w:tc>
      </w:tr>
      <w:tr>
        <w:tblPrEx/>
        <w:trPr/>
        <w:tc>
          <w:tcPr>
            <w:tcW w:w="1440" w:type="dxa"/>
            <w:tcBorders/>
          </w:tcPr>
          <w:p>
            <w:pPr>
              <w:pStyle w:val="style0"/>
              <w:rPr/>
            </w:pPr>
            <w:r>
              <w:t>2.5</w:t>
            </w:r>
          </w:p>
        </w:tc>
        <w:tc>
          <w:tcPr>
            <w:tcW w:w="1440" w:type="dxa"/>
            <w:tcBorders/>
          </w:tcPr>
          <w:p>
            <w:pPr>
              <w:pStyle w:val="style0"/>
              <w:rPr/>
            </w:pPr>
            <w:r>
              <w:t>0.866</w:t>
            </w:r>
          </w:p>
        </w:tc>
        <w:tc>
          <w:tcPr>
            <w:tcW w:w="1440" w:type="dxa"/>
            <w:tcBorders/>
          </w:tcPr>
          <w:p>
            <w:pPr>
              <w:pStyle w:val="style0"/>
              <w:rPr/>
            </w:pPr>
            <w:r>
              <w:t>0.714</w:t>
            </w:r>
          </w:p>
        </w:tc>
        <w:tc>
          <w:tcPr>
            <w:tcW w:w="1440" w:type="dxa"/>
            <w:tcBorders/>
          </w:tcPr>
          <w:p>
            <w:pPr>
              <w:pStyle w:val="style0"/>
              <w:rPr/>
            </w:pPr>
            <w:r>
              <w:t>0.580</w:t>
            </w:r>
          </w:p>
        </w:tc>
        <w:tc>
          <w:tcPr>
            <w:tcW w:w="1440" w:type="dxa"/>
            <w:tcBorders/>
          </w:tcPr>
          <w:p>
            <w:pPr>
              <w:pStyle w:val="style0"/>
              <w:rPr/>
            </w:pPr>
          </w:p>
        </w:tc>
        <w:tc>
          <w:tcPr>
            <w:tcW w:w="1440" w:type="dxa"/>
            <w:tcBorders/>
          </w:tcPr>
          <w:p>
            <w:pPr>
              <w:pStyle w:val="style0"/>
              <w:rPr/>
            </w:pPr>
          </w:p>
        </w:tc>
      </w:tr>
      <w:tr>
        <w:tblPrEx/>
        <w:trPr/>
        <w:tc>
          <w:tcPr>
            <w:tcW w:w="1440" w:type="dxa"/>
            <w:tcBorders/>
          </w:tcPr>
          <w:p>
            <w:pPr>
              <w:pStyle w:val="style0"/>
              <w:rPr/>
            </w:pPr>
            <w:r>
              <w:t>3.0</w:t>
            </w:r>
          </w:p>
        </w:tc>
        <w:tc>
          <w:tcPr>
            <w:tcW w:w="1440" w:type="dxa"/>
            <w:tcBorders/>
          </w:tcPr>
          <w:p>
            <w:pPr>
              <w:pStyle w:val="style0"/>
              <w:rPr/>
            </w:pPr>
            <w:r>
              <w:t>0.820</w:t>
            </w:r>
          </w:p>
        </w:tc>
        <w:tc>
          <w:tcPr>
            <w:tcW w:w="1440" w:type="dxa"/>
            <w:tcBorders/>
          </w:tcPr>
          <w:p>
            <w:pPr>
              <w:pStyle w:val="style0"/>
              <w:rPr/>
            </w:pPr>
            <w:r>
              <w:t>0.756</w:t>
            </w:r>
          </w:p>
        </w:tc>
        <w:tc>
          <w:tcPr>
            <w:tcW w:w="1440" w:type="dxa"/>
            <w:tcBorders/>
          </w:tcPr>
          <w:p>
            <w:pPr>
              <w:pStyle w:val="style0"/>
              <w:rPr/>
            </w:pPr>
            <w:r>
              <w:t>0.576</w:t>
            </w:r>
          </w:p>
        </w:tc>
        <w:tc>
          <w:tcPr>
            <w:tcW w:w="1440" w:type="dxa"/>
            <w:tcBorders/>
          </w:tcPr>
          <w:p>
            <w:pPr>
              <w:pStyle w:val="style0"/>
              <w:rPr/>
            </w:pPr>
          </w:p>
        </w:tc>
        <w:tc>
          <w:tcPr>
            <w:tcW w:w="1440" w:type="dxa"/>
            <w:tcBorders/>
          </w:tcPr>
          <w:p>
            <w:pPr>
              <w:pStyle w:val="style0"/>
              <w:rPr/>
            </w:pPr>
          </w:p>
        </w:tc>
      </w:tr>
      <w:tr>
        <w:tblPrEx/>
        <w:trPr/>
        <w:tc>
          <w:tcPr>
            <w:tcW w:w="1440" w:type="dxa"/>
            <w:tcBorders/>
          </w:tcPr>
          <w:p>
            <w:pPr>
              <w:pStyle w:val="style0"/>
              <w:rPr/>
            </w:pPr>
            <w:r>
              <w:t>3.5</w:t>
            </w:r>
          </w:p>
        </w:tc>
        <w:tc>
          <w:tcPr>
            <w:tcW w:w="1440" w:type="dxa"/>
            <w:tcBorders/>
          </w:tcPr>
          <w:p>
            <w:pPr>
              <w:pStyle w:val="style0"/>
              <w:rPr/>
            </w:pPr>
            <w:r>
              <w:t>0.756</w:t>
            </w:r>
          </w:p>
        </w:tc>
        <w:tc>
          <w:tcPr>
            <w:tcW w:w="1440" w:type="dxa"/>
            <w:tcBorders/>
          </w:tcPr>
          <w:p>
            <w:pPr>
              <w:pStyle w:val="style0"/>
              <w:rPr/>
            </w:pPr>
            <w:r>
              <w:t>0.799</w:t>
            </w:r>
          </w:p>
        </w:tc>
        <w:tc>
          <w:tcPr>
            <w:tcW w:w="1440" w:type="dxa"/>
            <w:tcBorders/>
          </w:tcPr>
          <w:p>
            <w:pPr>
              <w:pStyle w:val="style0"/>
              <w:rPr/>
            </w:pPr>
            <w:r>
              <w:t>0.555</w:t>
            </w:r>
          </w:p>
        </w:tc>
        <w:tc>
          <w:tcPr>
            <w:tcW w:w="1440" w:type="dxa"/>
            <w:tcBorders/>
          </w:tcPr>
          <w:p>
            <w:pPr>
              <w:pStyle w:val="style0"/>
              <w:rPr/>
            </w:pPr>
          </w:p>
        </w:tc>
        <w:tc>
          <w:tcPr>
            <w:tcW w:w="1440" w:type="dxa"/>
            <w:tcBorders/>
          </w:tcPr>
          <w:p>
            <w:pPr>
              <w:pStyle w:val="style0"/>
              <w:rPr/>
            </w:pPr>
          </w:p>
        </w:tc>
      </w:tr>
      <w:tr>
        <w:tblPrEx/>
        <w:trPr/>
        <w:tc>
          <w:tcPr>
            <w:tcW w:w="1440" w:type="dxa"/>
            <w:tcBorders/>
          </w:tcPr>
          <w:p>
            <w:pPr>
              <w:pStyle w:val="style0"/>
              <w:rPr/>
            </w:pPr>
            <w:r>
              <w:t>4.0</w:t>
            </w:r>
          </w:p>
        </w:tc>
        <w:tc>
          <w:tcPr>
            <w:tcW w:w="1440" w:type="dxa"/>
            <w:tcBorders/>
          </w:tcPr>
          <w:p>
            <w:pPr>
              <w:pStyle w:val="style0"/>
              <w:rPr/>
            </w:pPr>
            <w:r>
              <w:t>0.682</w:t>
            </w:r>
          </w:p>
        </w:tc>
        <w:tc>
          <w:tcPr>
            <w:tcW w:w="1440" w:type="dxa"/>
            <w:tcBorders/>
          </w:tcPr>
          <w:p>
            <w:pPr>
              <w:pStyle w:val="style0"/>
              <w:rPr/>
            </w:pPr>
            <w:r>
              <w:t>0.834</w:t>
            </w:r>
          </w:p>
        </w:tc>
        <w:tc>
          <w:tcPr>
            <w:tcW w:w="1440" w:type="dxa"/>
            <w:tcBorders/>
          </w:tcPr>
          <w:p>
            <w:pPr>
              <w:pStyle w:val="style0"/>
              <w:rPr/>
            </w:pPr>
            <w:r>
              <w:t>0.516</w:t>
            </w:r>
          </w:p>
        </w:tc>
        <w:tc>
          <w:tcPr>
            <w:tcW w:w="1440" w:type="dxa"/>
            <w:tcBorders/>
          </w:tcPr>
          <w:p>
            <w:pPr>
              <w:pStyle w:val="style0"/>
              <w:rPr/>
            </w:pPr>
          </w:p>
        </w:tc>
        <w:tc>
          <w:tcPr>
            <w:tcW w:w="1440" w:type="dxa"/>
            <w:tcBorders/>
          </w:tcPr>
          <w:p>
            <w:pPr>
              <w:pStyle w:val="style0"/>
              <w:rPr/>
            </w:pPr>
          </w:p>
        </w:tc>
      </w:tr>
    </w:tbl>
    <w:p>
      <w:pPr>
        <w:pStyle w:val="style0"/>
        <w:rPr/>
      </w:pPr>
      <w:r>
        <w:t>Optimal cut-off: NLR = 3.0 (maximizes Youden Index)</w:t>
      </w:r>
    </w:p>
    <w:p>
      <w:pPr>
        <w:pStyle w:val="style3"/>
        <w:rPr/>
      </w:pPr>
      <w:r>
        <w:t>4.3 Diagnostic Measures at Optimal Cut-offs:</w:t>
      </w:r>
    </w:p>
    <w:tbl>
      <w:tblPr>
        <w:tblStyle w:val="style154"/>
        <w:tblW w:w="0" w:type="auto"/>
        <w:tblLook w:val="04A0" w:firstRow="1" w:lastRow="0" w:firstColumn="1" w:lastColumn="0" w:noHBand="0" w:noVBand="1"/>
      </w:tblPr>
      <w:tblGrid>
        <w:gridCol w:w="1728"/>
        <w:gridCol w:w="1728"/>
        <w:gridCol w:w="1728"/>
        <w:gridCol w:w="1728"/>
        <w:gridCol w:w="1728"/>
      </w:tblGrid>
      <w:tr>
        <w:trPr/>
        <w:tc>
          <w:tcPr>
            <w:tcW w:w="1728" w:type="dxa"/>
            <w:tcBorders/>
          </w:tcPr>
          <w:p>
            <w:pPr>
              <w:pStyle w:val="style0"/>
              <w:rPr/>
            </w:pPr>
            <w:r>
              <w:t>Measure</w:t>
            </w:r>
          </w:p>
        </w:tc>
        <w:tc>
          <w:tcPr>
            <w:tcW w:w="1728" w:type="dxa"/>
            <w:tcBorders/>
          </w:tcPr>
          <w:p>
            <w:pPr>
              <w:pStyle w:val="style0"/>
              <w:rPr/>
            </w:pPr>
            <w:r>
              <w:t>NLR ≥3.0</w:t>
            </w:r>
          </w:p>
        </w:tc>
        <w:tc>
          <w:tcPr>
            <w:tcW w:w="1728" w:type="dxa"/>
            <w:tcBorders/>
          </w:tcPr>
          <w:p>
            <w:pPr>
              <w:pStyle w:val="style0"/>
              <w:rPr/>
            </w:pPr>
            <w:r>
              <w:t>PLR ≥120</w:t>
            </w:r>
          </w:p>
        </w:tc>
        <w:tc>
          <w:tcPr>
            <w:tcW w:w="1728" w:type="dxa"/>
            <w:tcBorders/>
          </w:tcPr>
          <w:p>
            <w:pPr>
              <w:pStyle w:val="style0"/>
              <w:rPr/>
            </w:pPr>
            <w:r>
              <w:t>RDW ≥15.5%</w:t>
            </w:r>
          </w:p>
        </w:tc>
        <w:tc>
          <w:tcPr>
            <w:tcW w:w="1728" w:type="dxa"/>
            <w:tcBorders/>
          </w:tcPr>
          <w:p>
            <w:pPr>
              <w:pStyle w:val="style0"/>
              <w:rPr/>
            </w:pPr>
            <w:r>
              <w:t>Hb ≤11.2</w:t>
            </w:r>
          </w:p>
        </w:tc>
      </w:tr>
      <w:tr>
        <w:tblPrEx/>
        <w:trPr/>
        <w:tc>
          <w:tcPr>
            <w:tcW w:w="1728" w:type="dxa"/>
            <w:tcBorders/>
          </w:tcPr>
          <w:p>
            <w:pPr>
              <w:pStyle w:val="style0"/>
              <w:rPr/>
            </w:pPr>
            <w:r>
              <w:t>Sensitivity</w:t>
            </w:r>
          </w:p>
        </w:tc>
        <w:tc>
          <w:tcPr>
            <w:tcW w:w="1728" w:type="dxa"/>
            <w:tcBorders/>
          </w:tcPr>
          <w:p>
            <w:pPr>
              <w:pStyle w:val="style0"/>
              <w:rPr/>
            </w:pPr>
            <w:r>
              <w:t>0.820</w:t>
            </w:r>
          </w:p>
        </w:tc>
        <w:tc>
          <w:tcPr>
            <w:tcW w:w="1728" w:type="dxa"/>
            <w:tcBorders/>
          </w:tcPr>
          <w:p>
            <w:pPr>
              <w:pStyle w:val="style0"/>
              <w:rPr/>
            </w:pPr>
            <w:r>
              <w:t>0.747</w:t>
            </w:r>
          </w:p>
        </w:tc>
        <w:tc>
          <w:tcPr>
            <w:tcW w:w="1728" w:type="dxa"/>
            <w:tcBorders/>
          </w:tcPr>
          <w:p>
            <w:pPr>
              <w:pStyle w:val="style0"/>
              <w:rPr/>
            </w:pPr>
            <w:r>
              <w:t>0.622</w:t>
            </w:r>
          </w:p>
        </w:tc>
        <w:tc>
          <w:tcPr>
            <w:tcW w:w="1728" w:type="dxa"/>
            <w:tcBorders/>
          </w:tcPr>
          <w:p>
            <w:pPr>
              <w:pStyle w:val="style0"/>
              <w:rPr/>
            </w:pPr>
            <w:r>
              <w:t>0.580</w:t>
            </w:r>
          </w:p>
        </w:tc>
      </w:tr>
      <w:tr>
        <w:tblPrEx/>
        <w:trPr/>
        <w:tc>
          <w:tcPr>
            <w:tcW w:w="1728" w:type="dxa"/>
            <w:tcBorders/>
          </w:tcPr>
          <w:p>
            <w:pPr>
              <w:pStyle w:val="style0"/>
              <w:rPr/>
            </w:pPr>
            <w:r>
              <w:t>Specificity</w:t>
            </w:r>
          </w:p>
        </w:tc>
        <w:tc>
          <w:tcPr>
            <w:tcW w:w="1728" w:type="dxa"/>
            <w:tcBorders/>
          </w:tcPr>
          <w:p>
            <w:pPr>
              <w:pStyle w:val="style0"/>
              <w:rPr/>
            </w:pPr>
            <w:r>
              <w:t>0.756</w:t>
            </w:r>
          </w:p>
        </w:tc>
        <w:tc>
          <w:tcPr>
            <w:tcW w:w="1728" w:type="dxa"/>
            <w:tcBorders/>
          </w:tcPr>
          <w:p>
            <w:pPr>
              <w:pStyle w:val="style0"/>
              <w:rPr/>
            </w:pPr>
            <w:r>
              <w:t>0.696</w:t>
            </w:r>
          </w:p>
        </w:tc>
        <w:tc>
          <w:tcPr>
            <w:tcW w:w="1728" w:type="dxa"/>
            <w:tcBorders/>
          </w:tcPr>
          <w:p>
            <w:pPr>
              <w:pStyle w:val="style0"/>
              <w:rPr/>
            </w:pPr>
            <w:r>
              <w:t>0.650</w:t>
            </w:r>
          </w:p>
        </w:tc>
        <w:tc>
          <w:tcPr>
            <w:tcW w:w="1728" w:type="dxa"/>
            <w:tcBorders/>
          </w:tcPr>
          <w:p>
            <w:pPr>
              <w:pStyle w:val="style0"/>
              <w:rPr/>
            </w:pPr>
            <w:r>
              <w:t>0.600</w:t>
            </w:r>
          </w:p>
        </w:tc>
      </w:tr>
      <w:tr>
        <w:tblPrEx/>
        <w:trPr/>
        <w:tc>
          <w:tcPr>
            <w:tcW w:w="1728" w:type="dxa"/>
            <w:tcBorders/>
          </w:tcPr>
          <w:p>
            <w:pPr>
              <w:pStyle w:val="style0"/>
              <w:rPr/>
            </w:pPr>
            <w:r>
              <w:t>PPV</w:t>
            </w:r>
          </w:p>
        </w:tc>
        <w:tc>
          <w:tcPr>
            <w:tcW w:w="1728" w:type="dxa"/>
            <w:tcBorders/>
          </w:tcPr>
          <w:p>
            <w:pPr>
              <w:pStyle w:val="style0"/>
              <w:rPr/>
            </w:pPr>
            <w:r>
              <w:t>0.678</w:t>
            </w:r>
          </w:p>
        </w:tc>
        <w:tc>
          <w:tcPr>
            <w:tcW w:w="1728" w:type="dxa"/>
            <w:tcBorders/>
          </w:tcPr>
          <w:p>
            <w:pPr>
              <w:pStyle w:val="style0"/>
              <w:rPr/>
            </w:pPr>
            <w:r>
              <w:t>0.599</w:t>
            </w:r>
          </w:p>
        </w:tc>
        <w:tc>
          <w:tcPr>
            <w:tcW w:w="1728" w:type="dxa"/>
            <w:tcBorders/>
          </w:tcPr>
          <w:p>
            <w:pPr>
              <w:pStyle w:val="style0"/>
              <w:rPr/>
            </w:pPr>
            <w:r>
              <w:t>0.497</w:t>
            </w:r>
          </w:p>
        </w:tc>
        <w:tc>
          <w:tcPr>
            <w:tcW w:w="1728" w:type="dxa"/>
            <w:tcBorders/>
          </w:tcPr>
          <w:p>
            <w:pPr>
              <w:pStyle w:val="style0"/>
              <w:rPr/>
            </w:pPr>
            <w:r>
              <w:t>0.475</w:t>
            </w:r>
          </w:p>
        </w:tc>
      </w:tr>
      <w:tr>
        <w:tblPrEx/>
        <w:trPr/>
        <w:tc>
          <w:tcPr>
            <w:tcW w:w="1728" w:type="dxa"/>
            <w:tcBorders/>
          </w:tcPr>
          <w:p>
            <w:pPr>
              <w:pStyle w:val="style0"/>
              <w:rPr/>
            </w:pPr>
            <w:r>
              <w:t>NPV</w:t>
            </w:r>
          </w:p>
        </w:tc>
        <w:tc>
          <w:tcPr>
            <w:tcW w:w="1728" w:type="dxa"/>
            <w:tcBorders/>
          </w:tcPr>
          <w:p>
            <w:pPr>
              <w:pStyle w:val="style0"/>
              <w:rPr/>
            </w:pPr>
            <w:r>
              <w:t>0.873</w:t>
            </w:r>
          </w:p>
        </w:tc>
        <w:tc>
          <w:tcPr>
            <w:tcW w:w="1728" w:type="dxa"/>
            <w:tcBorders/>
          </w:tcPr>
          <w:p>
            <w:pPr>
              <w:pStyle w:val="style0"/>
              <w:rPr/>
            </w:pPr>
            <w:r>
              <w:t>0.819</w:t>
            </w:r>
          </w:p>
        </w:tc>
        <w:tc>
          <w:tcPr>
            <w:tcW w:w="1728" w:type="dxa"/>
            <w:tcBorders/>
          </w:tcPr>
          <w:p>
            <w:pPr>
              <w:pStyle w:val="style0"/>
              <w:rPr/>
            </w:pPr>
            <w:r>
              <w:t>0.743</w:t>
            </w:r>
          </w:p>
        </w:tc>
        <w:tc>
          <w:tcPr>
            <w:tcW w:w="1728" w:type="dxa"/>
            <w:tcBorders/>
          </w:tcPr>
          <w:p>
            <w:pPr>
              <w:pStyle w:val="style0"/>
              <w:rPr/>
            </w:pPr>
            <w:r>
              <w:t>0.690</w:t>
            </w:r>
          </w:p>
        </w:tc>
      </w:tr>
      <w:tr>
        <w:tblPrEx/>
        <w:trPr/>
        <w:tc>
          <w:tcPr>
            <w:tcW w:w="1728" w:type="dxa"/>
            <w:tcBorders/>
          </w:tcPr>
          <w:p>
            <w:pPr>
              <w:pStyle w:val="style0"/>
              <w:rPr/>
            </w:pPr>
            <w:r>
              <w:t>LR+</w:t>
            </w:r>
          </w:p>
        </w:tc>
        <w:tc>
          <w:tcPr>
            <w:tcW w:w="1728" w:type="dxa"/>
            <w:tcBorders/>
          </w:tcPr>
          <w:p>
            <w:pPr>
              <w:pStyle w:val="style0"/>
              <w:rPr/>
            </w:pPr>
            <w:r>
              <w:t>3.36</w:t>
            </w:r>
          </w:p>
        </w:tc>
        <w:tc>
          <w:tcPr>
            <w:tcW w:w="1728" w:type="dxa"/>
            <w:tcBorders/>
          </w:tcPr>
          <w:p>
            <w:pPr>
              <w:pStyle w:val="style0"/>
              <w:rPr/>
            </w:pPr>
            <w:r>
              <w:t>2.46</w:t>
            </w:r>
          </w:p>
        </w:tc>
        <w:tc>
          <w:tcPr>
            <w:tcW w:w="1728" w:type="dxa"/>
            <w:tcBorders/>
          </w:tcPr>
          <w:p>
            <w:pPr>
              <w:pStyle w:val="style0"/>
              <w:rPr/>
            </w:pPr>
            <w:r>
              <w:t>1.78</w:t>
            </w:r>
          </w:p>
        </w:tc>
        <w:tc>
          <w:tcPr>
            <w:tcW w:w="1728" w:type="dxa"/>
            <w:tcBorders/>
          </w:tcPr>
          <w:p>
            <w:pPr>
              <w:pStyle w:val="style0"/>
              <w:rPr/>
            </w:pPr>
            <w:r>
              <w:t>1.45</w:t>
            </w:r>
          </w:p>
        </w:tc>
      </w:tr>
      <w:tr>
        <w:tblPrEx/>
        <w:trPr/>
        <w:tc>
          <w:tcPr>
            <w:tcW w:w="1728" w:type="dxa"/>
            <w:tcBorders/>
          </w:tcPr>
          <w:p>
            <w:pPr>
              <w:pStyle w:val="style0"/>
              <w:rPr/>
            </w:pPr>
            <w:r>
              <w:t>LR-</w:t>
            </w:r>
          </w:p>
        </w:tc>
        <w:tc>
          <w:tcPr>
            <w:tcW w:w="1728" w:type="dxa"/>
            <w:tcBorders/>
          </w:tcPr>
          <w:p>
            <w:pPr>
              <w:pStyle w:val="style0"/>
              <w:rPr/>
            </w:pPr>
            <w:r>
              <w:t>0.24</w:t>
            </w:r>
          </w:p>
        </w:tc>
        <w:tc>
          <w:tcPr>
            <w:tcW w:w="1728" w:type="dxa"/>
            <w:tcBorders/>
          </w:tcPr>
          <w:p>
            <w:pPr>
              <w:pStyle w:val="style0"/>
              <w:rPr/>
            </w:pPr>
            <w:r>
              <w:t>0.36</w:t>
            </w:r>
          </w:p>
        </w:tc>
        <w:tc>
          <w:tcPr>
            <w:tcW w:w="1728" w:type="dxa"/>
            <w:tcBorders/>
          </w:tcPr>
          <w:p>
            <w:pPr>
              <w:pStyle w:val="style0"/>
              <w:rPr/>
            </w:pPr>
            <w:r>
              <w:t>0.58</w:t>
            </w:r>
          </w:p>
        </w:tc>
        <w:tc>
          <w:tcPr>
            <w:tcW w:w="1728" w:type="dxa"/>
            <w:tcBorders/>
          </w:tcPr>
          <w:p>
            <w:pPr>
              <w:pStyle w:val="style0"/>
              <w:rPr/>
            </w:pPr>
            <w:r>
              <w:t>0.70</w:t>
            </w:r>
          </w:p>
        </w:tc>
      </w:tr>
      <w:tr>
        <w:tblPrEx/>
        <w:trPr/>
        <w:tc>
          <w:tcPr>
            <w:tcW w:w="1728" w:type="dxa"/>
            <w:tcBorders/>
          </w:tcPr>
          <w:p>
            <w:pPr>
              <w:pStyle w:val="style0"/>
              <w:rPr/>
            </w:pPr>
            <w:r>
              <w:t>Accuracy</w:t>
            </w:r>
          </w:p>
        </w:tc>
        <w:tc>
          <w:tcPr>
            <w:tcW w:w="1728" w:type="dxa"/>
            <w:tcBorders/>
          </w:tcPr>
          <w:p>
            <w:pPr>
              <w:pStyle w:val="style0"/>
              <w:rPr/>
            </w:pPr>
            <w:r>
              <w:t>0.776</w:t>
            </w:r>
          </w:p>
        </w:tc>
        <w:tc>
          <w:tcPr>
            <w:tcW w:w="1728" w:type="dxa"/>
            <w:tcBorders/>
          </w:tcPr>
          <w:p>
            <w:pPr>
              <w:pStyle w:val="style0"/>
              <w:rPr/>
            </w:pPr>
            <w:r>
              <w:t>0.712</w:t>
            </w:r>
          </w:p>
        </w:tc>
        <w:tc>
          <w:tcPr>
            <w:tcW w:w="1728" w:type="dxa"/>
            <w:tcBorders/>
          </w:tcPr>
          <w:p>
            <w:pPr>
              <w:pStyle w:val="style0"/>
              <w:rPr/>
            </w:pPr>
            <w:r>
              <w:t>0.642</w:t>
            </w:r>
          </w:p>
        </w:tc>
        <w:tc>
          <w:tcPr>
            <w:tcW w:w="1728" w:type="dxa"/>
            <w:tcBorders/>
          </w:tcPr>
          <w:p>
            <w:pPr>
              <w:pStyle w:val="style0"/>
              <w:rPr/>
            </w:pPr>
            <w:r>
              <w:t>0.594</w:t>
            </w:r>
          </w:p>
        </w:tc>
      </w:tr>
    </w:tbl>
    <w:p>
      <w:pPr>
        <w:pStyle w:val="style0"/>
        <w:rPr/>
      </w:pP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5. CORRELATION ANALYSES</w:t>
      </w:r>
    </w:p>
    <w:p>
      <w:pPr>
        <w:pStyle w:val="style3"/>
        <w:rPr/>
      </w:pPr>
      <w:r>
        <w:t>5.1 Spearman's Rank Correlation Matrix:</w:t>
      </w:r>
    </w:p>
    <w:tbl>
      <w:tblPr>
        <w:tblStyle w:val="style154"/>
        <w:tblW w:w="0" w:type="auto"/>
        <w:tblLook w:val="04A0" w:firstRow="1" w:lastRow="0" w:firstColumn="1" w:lastColumn="0" w:noHBand="0" w:noVBand="1"/>
      </w:tblPr>
      <w:tblGrid>
        <w:gridCol w:w="1440"/>
        <w:gridCol w:w="1440"/>
        <w:gridCol w:w="1440"/>
        <w:gridCol w:w="1440"/>
        <w:gridCol w:w="1440"/>
        <w:gridCol w:w="1440"/>
      </w:tblGrid>
      <w:tr>
        <w:trPr/>
        <w:tc>
          <w:tcPr>
            <w:tcW w:w="1440" w:type="dxa"/>
            <w:tcBorders/>
          </w:tcPr>
          <w:p>
            <w:pPr>
              <w:pStyle w:val="style0"/>
              <w:rPr/>
            </w:pPr>
            <w:r>
              <w:t>Variable</w:t>
            </w:r>
          </w:p>
        </w:tc>
        <w:tc>
          <w:tcPr>
            <w:tcW w:w="1440" w:type="dxa"/>
            <w:tcBorders/>
          </w:tcPr>
          <w:p>
            <w:pPr>
              <w:pStyle w:val="style0"/>
              <w:rPr/>
            </w:pPr>
            <w:r>
              <w:t>NLR</w:t>
            </w:r>
          </w:p>
        </w:tc>
        <w:tc>
          <w:tcPr>
            <w:tcW w:w="1440" w:type="dxa"/>
            <w:tcBorders/>
          </w:tcPr>
          <w:p>
            <w:pPr>
              <w:pStyle w:val="style0"/>
              <w:rPr/>
            </w:pPr>
            <w:r>
              <w:t>PLR</w:t>
            </w:r>
          </w:p>
        </w:tc>
        <w:tc>
          <w:tcPr>
            <w:tcW w:w="1440" w:type="dxa"/>
            <w:tcBorders/>
          </w:tcPr>
          <w:p>
            <w:pPr>
              <w:pStyle w:val="style0"/>
              <w:rPr/>
            </w:pPr>
            <w:r>
              <w:t>RDW</w:t>
            </w:r>
          </w:p>
        </w:tc>
        <w:tc>
          <w:tcPr>
            <w:tcW w:w="1440" w:type="dxa"/>
            <w:tcBorders/>
          </w:tcPr>
          <w:p>
            <w:pPr>
              <w:pStyle w:val="style0"/>
              <w:rPr/>
            </w:pPr>
            <w:r>
              <w:t>Hb</w:t>
            </w:r>
          </w:p>
        </w:tc>
        <w:tc>
          <w:tcPr>
            <w:tcW w:w="1440" w:type="dxa"/>
            <w:tcBorders/>
          </w:tcPr>
          <w:p>
            <w:pPr>
              <w:pStyle w:val="style0"/>
              <w:rPr/>
            </w:pPr>
            <w:r>
              <w:t>Age</w:t>
            </w:r>
          </w:p>
        </w:tc>
      </w:tr>
      <w:tr>
        <w:tblPrEx/>
        <w:trPr/>
        <w:tc>
          <w:tcPr>
            <w:tcW w:w="1440" w:type="dxa"/>
            <w:tcBorders/>
          </w:tcPr>
          <w:p>
            <w:pPr>
              <w:pStyle w:val="style0"/>
              <w:rPr/>
            </w:pPr>
            <w:r>
              <w:t>NLR</w:t>
            </w:r>
          </w:p>
        </w:tc>
        <w:tc>
          <w:tcPr>
            <w:tcW w:w="1440" w:type="dxa"/>
            <w:tcBorders/>
          </w:tcPr>
          <w:p>
            <w:pPr>
              <w:pStyle w:val="style0"/>
              <w:rPr/>
            </w:pPr>
            <w:r>
              <w:t>1.000</w:t>
            </w:r>
          </w:p>
        </w:tc>
        <w:tc>
          <w:tcPr>
            <w:tcW w:w="1440" w:type="dxa"/>
            <w:tcBorders/>
          </w:tcPr>
          <w:p>
            <w:pPr>
              <w:pStyle w:val="style0"/>
              <w:rPr/>
            </w:pPr>
            <w:r>
              <w:t>0.452**</w:t>
            </w:r>
          </w:p>
        </w:tc>
        <w:tc>
          <w:tcPr>
            <w:tcW w:w="1440" w:type="dxa"/>
            <w:tcBorders/>
          </w:tcPr>
          <w:p>
            <w:pPr>
              <w:pStyle w:val="style0"/>
              <w:rPr/>
            </w:pPr>
            <w:r>
              <w:t>0.254**</w:t>
            </w:r>
          </w:p>
        </w:tc>
        <w:tc>
          <w:tcPr>
            <w:tcW w:w="1440" w:type="dxa"/>
            <w:tcBorders/>
          </w:tcPr>
          <w:p>
            <w:pPr>
              <w:pStyle w:val="style0"/>
              <w:rPr/>
            </w:pPr>
            <w:r>
              <w:t>-0.179**</w:t>
            </w:r>
          </w:p>
        </w:tc>
        <w:tc>
          <w:tcPr>
            <w:tcW w:w="1440" w:type="dxa"/>
            <w:tcBorders/>
          </w:tcPr>
          <w:p>
            <w:pPr>
              <w:pStyle w:val="style0"/>
              <w:rPr/>
            </w:pPr>
            <w:r>
              <w:t>0.078</w:t>
            </w:r>
          </w:p>
        </w:tc>
      </w:tr>
      <w:tr>
        <w:tblPrEx/>
        <w:trPr/>
        <w:tc>
          <w:tcPr>
            <w:tcW w:w="1440" w:type="dxa"/>
            <w:tcBorders/>
          </w:tcPr>
          <w:p>
            <w:pPr>
              <w:pStyle w:val="style0"/>
              <w:rPr/>
            </w:pPr>
            <w:r>
              <w:t>PLR</w:t>
            </w:r>
          </w:p>
        </w:tc>
        <w:tc>
          <w:tcPr>
            <w:tcW w:w="1440" w:type="dxa"/>
            <w:tcBorders/>
          </w:tcPr>
          <w:p>
            <w:pPr>
              <w:pStyle w:val="style0"/>
              <w:rPr/>
            </w:pPr>
            <w:r>
              <w:t>0.452**</w:t>
            </w:r>
          </w:p>
        </w:tc>
        <w:tc>
          <w:tcPr>
            <w:tcW w:w="1440" w:type="dxa"/>
            <w:tcBorders/>
          </w:tcPr>
          <w:p>
            <w:pPr>
              <w:pStyle w:val="style0"/>
              <w:rPr/>
            </w:pPr>
            <w:r>
              <w:t>1.000</w:t>
            </w:r>
          </w:p>
        </w:tc>
        <w:tc>
          <w:tcPr>
            <w:tcW w:w="1440" w:type="dxa"/>
            <w:tcBorders/>
          </w:tcPr>
          <w:p>
            <w:pPr>
              <w:pStyle w:val="style0"/>
              <w:rPr/>
            </w:pPr>
            <w:r>
              <w:t>0.123*</w:t>
            </w:r>
          </w:p>
        </w:tc>
        <w:tc>
          <w:tcPr>
            <w:tcW w:w="1440" w:type="dxa"/>
            <w:tcBorders/>
          </w:tcPr>
          <w:p>
            <w:pPr>
              <w:pStyle w:val="style0"/>
              <w:rPr/>
            </w:pPr>
            <w:r>
              <w:t>-0.224**</w:t>
            </w:r>
          </w:p>
        </w:tc>
        <w:tc>
          <w:tcPr>
            <w:tcW w:w="1440" w:type="dxa"/>
            <w:tcBorders/>
          </w:tcPr>
          <w:p>
            <w:pPr>
              <w:pStyle w:val="style0"/>
              <w:rPr/>
            </w:pPr>
            <w:r>
              <w:t>0.145**</w:t>
            </w:r>
          </w:p>
        </w:tc>
      </w:tr>
      <w:tr>
        <w:tblPrEx/>
        <w:trPr/>
        <w:tc>
          <w:tcPr>
            <w:tcW w:w="1440" w:type="dxa"/>
            <w:tcBorders/>
          </w:tcPr>
          <w:p>
            <w:pPr>
              <w:pStyle w:val="style0"/>
              <w:rPr/>
            </w:pPr>
            <w:r>
              <w:t>RDW</w:t>
            </w:r>
          </w:p>
        </w:tc>
        <w:tc>
          <w:tcPr>
            <w:tcW w:w="1440" w:type="dxa"/>
            <w:tcBorders/>
          </w:tcPr>
          <w:p>
            <w:pPr>
              <w:pStyle w:val="style0"/>
              <w:rPr/>
            </w:pPr>
            <w:r>
              <w:t>0.254**</w:t>
            </w:r>
          </w:p>
        </w:tc>
        <w:tc>
          <w:tcPr>
            <w:tcW w:w="1440" w:type="dxa"/>
            <w:tcBorders/>
          </w:tcPr>
          <w:p>
            <w:pPr>
              <w:pStyle w:val="style0"/>
              <w:rPr/>
            </w:pPr>
            <w:r>
              <w:t>0.123*</w:t>
            </w:r>
          </w:p>
        </w:tc>
        <w:tc>
          <w:tcPr>
            <w:tcW w:w="1440" w:type="dxa"/>
            <w:tcBorders/>
          </w:tcPr>
          <w:p>
            <w:pPr>
              <w:pStyle w:val="style0"/>
              <w:rPr/>
            </w:pPr>
            <w:r>
              <w:t>1.000</w:t>
            </w:r>
          </w:p>
        </w:tc>
        <w:tc>
          <w:tcPr>
            <w:tcW w:w="1440" w:type="dxa"/>
            <w:tcBorders/>
          </w:tcPr>
          <w:p>
            <w:pPr>
              <w:pStyle w:val="style0"/>
              <w:rPr/>
            </w:pPr>
            <w:r>
              <w:t>-0.348**</w:t>
            </w:r>
          </w:p>
        </w:tc>
        <w:tc>
          <w:tcPr>
            <w:tcW w:w="1440" w:type="dxa"/>
            <w:tcBorders/>
          </w:tcPr>
          <w:p>
            <w:pPr>
              <w:pStyle w:val="style0"/>
              <w:rPr/>
            </w:pPr>
            <w:r>
              <w:t>0.224**</w:t>
            </w:r>
          </w:p>
        </w:tc>
      </w:tr>
      <w:tr>
        <w:tblPrEx/>
        <w:trPr/>
        <w:tc>
          <w:tcPr>
            <w:tcW w:w="1440" w:type="dxa"/>
            <w:tcBorders/>
          </w:tcPr>
          <w:p>
            <w:pPr>
              <w:pStyle w:val="style0"/>
              <w:rPr/>
            </w:pPr>
            <w:r>
              <w:t>Hb</w:t>
            </w:r>
          </w:p>
        </w:tc>
        <w:tc>
          <w:tcPr>
            <w:tcW w:w="1440" w:type="dxa"/>
            <w:tcBorders/>
          </w:tcPr>
          <w:p>
            <w:pPr>
              <w:pStyle w:val="style0"/>
              <w:rPr/>
            </w:pPr>
            <w:r>
              <w:t>-0.179**</w:t>
            </w:r>
          </w:p>
        </w:tc>
        <w:tc>
          <w:tcPr>
            <w:tcW w:w="1440" w:type="dxa"/>
            <w:tcBorders/>
          </w:tcPr>
          <w:p>
            <w:pPr>
              <w:pStyle w:val="style0"/>
              <w:rPr/>
            </w:pPr>
            <w:r>
              <w:t>-0.224**</w:t>
            </w:r>
          </w:p>
        </w:tc>
        <w:tc>
          <w:tcPr>
            <w:tcW w:w="1440" w:type="dxa"/>
            <w:tcBorders/>
          </w:tcPr>
          <w:p>
            <w:pPr>
              <w:pStyle w:val="style0"/>
              <w:rPr/>
            </w:pPr>
            <w:r>
              <w:t>-0.348**</w:t>
            </w:r>
          </w:p>
        </w:tc>
        <w:tc>
          <w:tcPr>
            <w:tcW w:w="1440" w:type="dxa"/>
            <w:tcBorders/>
          </w:tcPr>
          <w:p>
            <w:pPr>
              <w:pStyle w:val="style0"/>
              <w:rPr/>
            </w:pPr>
            <w:r>
              <w:t>1.000</w:t>
            </w:r>
          </w:p>
        </w:tc>
        <w:tc>
          <w:tcPr>
            <w:tcW w:w="1440" w:type="dxa"/>
            <w:tcBorders/>
          </w:tcPr>
          <w:p>
            <w:pPr>
              <w:pStyle w:val="style0"/>
              <w:rPr/>
            </w:pPr>
            <w:r>
              <w:t>-0.081</w:t>
            </w:r>
          </w:p>
        </w:tc>
      </w:tr>
      <w:tr>
        <w:tblPrEx/>
        <w:trPr/>
        <w:tc>
          <w:tcPr>
            <w:tcW w:w="1440" w:type="dxa"/>
            <w:tcBorders/>
          </w:tcPr>
          <w:p>
            <w:pPr>
              <w:pStyle w:val="style0"/>
              <w:rPr/>
            </w:pPr>
            <w:r>
              <w:t>Age</w:t>
            </w:r>
          </w:p>
        </w:tc>
        <w:tc>
          <w:tcPr>
            <w:tcW w:w="1440" w:type="dxa"/>
            <w:tcBorders/>
          </w:tcPr>
          <w:p>
            <w:pPr>
              <w:pStyle w:val="style0"/>
              <w:rPr/>
            </w:pPr>
            <w:r>
              <w:t>0.078</w:t>
            </w:r>
          </w:p>
        </w:tc>
        <w:tc>
          <w:tcPr>
            <w:tcW w:w="1440" w:type="dxa"/>
            <w:tcBorders/>
          </w:tcPr>
          <w:p>
            <w:pPr>
              <w:pStyle w:val="style0"/>
              <w:rPr/>
            </w:pPr>
            <w:r>
              <w:t>0.145**</w:t>
            </w:r>
          </w:p>
        </w:tc>
        <w:tc>
          <w:tcPr>
            <w:tcW w:w="1440" w:type="dxa"/>
            <w:tcBorders/>
          </w:tcPr>
          <w:p>
            <w:pPr>
              <w:pStyle w:val="style0"/>
              <w:rPr/>
            </w:pPr>
            <w:r>
              <w:t>0.224**</w:t>
            </w:r>
          </w:p>
        </w:tc>
        <w:tc>
          <w:tcPr>
            <w:tcW w:w="1440" w:type="dxa"/>
            <w:tcBorders/>
          </w:tcPr>
          <w:p>
            <w:pPr>
              <w:pStyle w:val="style0"/>
              <w:rPr/>
            </w:pPr>
            <w:r>
              <w:t>-0.081</w:t>
            </w:r>
          </w:p>
        </w:tc>
        <w:tc>
          <w:tcPr>
            <w:tcW w:w="1440" w:type="dxa"/>
            <w:tcBorders/>
          </w:tcPr>
          <w:p>
            <w:pPr>
              <w:pStyle w:val="style0"/>
              <w:rPr/>
            </w:pPr>
            <w:r>
              <w:t>1.000</w:t>
            </w:r>
          </w:p>
        </w:tc>
      </w:tr>
    </w:tbl>
    <w:p>
      <w:pPr>
        <w:pStyle w:val="style0"/>
        <w:rPr/>
      </w:pPr>
      <w:r>
        <w:t>** p &lt; 0.01, * p &lt; 0.05</w:t>
      </w:r>
    </w:p>
    <w:p>
      <w:pPr>
        <w:pStyle w:val="style3"/>
        <w:rPr/>
      </w:pPr>
      <w:r>
        <w:t>5.2 Multicollinearity Assessment (VIF):</w:t>
      </w:r>
    </w:p>
    <w:tbl>
      <w:tblPr>
        <w:tblStyle w:val="style154"/>
        <w:tblW w:w="0" w:type="auto"/>
        <w:tblLook w:val="04A0" w:firstRow="1" w:lastRow="0" w:firstColumn="1" w:lastColumn="0" w:noHBand="0" w:noVBand="1"/>
      </w:tblPr>
      <w:tblGrid>
        <w:gridCol w:w="2880"/>
        <w:gridCol w:w="2880"/>
        <w:gridCol w:w="2880"/>
      </w:tblGrid>
      <w:tr>
        <w:trPr/>
        <w:tc>
          <w:tcPr>
            <w:tcW w:w="2880" w:type="dxa"/>
            <w:tcBorders/>
          </w:tcPr>
          <w:p>
            <w:pPr>
              <w:pStyle w:val="style0"/>
              <w:rPr/>
            </w:pPr>
            <w:r>
              <w:t>Variable</w:t>
            </w:r>
          </w:p>
        </w:tc>
        <w:tc>
          <w:tcPr>
            <w:tcW w:w="2880" w:type="dxa"/>
            <w:tcBorders/>
          </w:tcPr>
          <w:p>
            <w:pPr>
              <w:pStyle w:val="style0"/>
              <w:rPr/>
            </w:pPr>
            <w:r>
              <w:t>VIF</w:t>
            </w:r>
          </w:p>
        </w:tc>
        <w:tc>
          <w:tcPr>
            <w:tcW w:w="2880" w:type="dxa"/>
            <w:tcBorders/>
          </w:tcPr>
          <w:p>
            <w:pPr>
              <w:pStyle w:val="style0"/>
              <w:rPr/>
            </w:pPr>
            <w:r>
              <w:t>Tolerance</w:t>
            </w:r>
          </w:p>
        </w:tc>
      </w:tr>
      <w:tr>
        <w:tblPrEx/>
        <w:trPr/>
        <w:tc>
          <w:tcPr>
            <w:tcW w:w="2880" w:type="dxa"/>
            <w:tcBorders/>
          </w:tcPr>
          <w:p>
            <w:pPr>
              <w:pStyle w:val="style0"/>
              <w:rPr/>
            </w:pPr>
            <w:r>
              <w:t>NLR</w:t>
            </w:r>
          </w:p>
        </w:tc>
        <w:tc>
          <w:tcPr>
            <w:tcW w:w="2880" w:type="dxa"/>
            <w:tcBorders/>
          </w:tcPr>
          <w:p>
            <w:pPr>
              <w:pStyle w:val="style0"/>
              <w:rPr/>
            </w:pPr>
            <w:r>
              <w:t>1.32</w:t>
            </w:r>
          </w:p>
        </w:tc>
        <w:tc>
          <w:tcPr>
            <w:tcW w:w="2880" w:type="dxa"/>
            <w:tcBorders/>
          </w:tcPr>
          <w:p>
            <w:pPr>
              <w:pStyle w:val="style0"/>
              <w:rPr/>
            </w:pPr>
            <w:r>
              <w:t>0.758</w:t>
            </w:r>
          </w:p>
        </w:tc>
      </w:tr>
      <w:tr>
        <w:tblPrEx/>
        <w:trPr/>
        <w:tc>
          <w:tcPr>
            <w:tcW w:w="2880" w:type="dxa"/>
            <w:tcBorders/>
          </w:tcPr>
          <w:p>
            <w:pPr>
              <w:pStyle w:val="style0"/>
              <w:rPr/>
            </w:pPr>
            <w:r>
              <w:t>PLR</w:t>
            </w:r>
          </w:p>
        </w:tc>
        <w:tc>
          <w:tcPr>
            <w:tcW w:w="2880" w:type="dxa"/>
            <w:tcBorders/>
          </w:tcPr>
          <w:p>
            <w:pPr>
              <w:pStyle w:val="style0"/>
              <w:rPr/>
            </w:pPr>
            <w:r>
              <w:t>1.28</w:t>
            </w:r>
          </w:p>
        </w:tc>
        <w:tc>
          <w:tcPr>
            <w:tcW w:w="2880" w:type="dxa"/>
            <w:tcBorders/>
          </w:tcPr>
          <w:p>
            <w:pPr>
              <w:pStyle w:val="style0"/>
              <w:rPr/>
            </w:pPr>
            <w:r>
              <w:t>0.781</w:t>
            </w:r>
          </w:p>
        </w:tc>
      </w:tr>
      <w:tr>
        <w:tblPrEx/>
        <w:trPr/>
        <w:tc>
          <w:tcPr>
            <w:tcW w:w="2880" w:type="dxa"/>
            <w:tcBorders/>
          </w:tcPr>
          <w:p>
            <w:pPr>
              <w:pStyle w:val="style0"/>
              <w:rPr/>
            </w:pPr>
            <w:r>
              <w:t>RDW</w:t>
            </w:r>
          </w:p>
        </w:tc>
        <w:tc>
          <w:tcPr>
            <w:tcW w:w="2880" w:type="dxa"/>
            <w:tcBorders/>
          </w:tcPr>
          <w:p>
            <w:pPr>
              <w:pStyle w:val="style0"/>
              <w:rPr/>
            </w:pPr>
            <w:r>
              <w:t>1.19</w:t>
            </w:r>
          </w:p>
        </w:tc>
        <w:tc>
          <w:tcPr>
            <w:tcW w:w="2880" w:type="dxa"/>
            <w:tcBorders/>
          </w:tcPr>
          <w:p>
            <w:pPr>
              <w:pStyle w:val="style0"/>
              <w:rPr/>
            </w:pPr>
            <w:r>
              <w:t>0.840</w:t>
            </w:r>
          </w:p>
        </w:tc>
      </w:tr>
      <w:tr>
        <w:tblPrEx/>
        <w:trPr/>
        <w:tc>
          <w:tcPr>
            <w:tcW w:w="2880" w:type="dxa"/>
            <w:tcBorders/>
          </w:tcPr>
          <w:p>
            <w:pPr>
              <w:pStyle w:val="style0"/>
              <w:rPr/>
            </w:pPr>
            <w:r>
              <w:t>Hb</w:t>
            </w:r>
          </w:p>
        </w:tc>
        <w:tc>
          <w:tcPr>
            <w:tcW w:w="2880" w:type="dxa"/>
            <w:tcBorders/>
          </w:tcPr>
          <w:p>
            <w:pPr>
              <w:pStyle w:val="style0"/>
              <w:rPr/>
            </w:pPr>
            <w:r>
              <w:t>1.15</w:t>
            </w:r>
          </w:p>
        </w:tc>
        <w:tc>
          <w:tcPr>
            <w:tcW w:w="2880" w:type="dxa"/>
            <w:tcBorders/>
          </w:tcPr>
          <w:p>
            <w:pPr>
              <w:pStyle w:val="style0"/>
              <w:rPr/>
            </w:pPr>
            <w:r>
              <w:t>0.870</w:t>
            </w:r>
          </w:p>
        </w:tc>
      </w:tr>
      <w:tr>
        <w:tblPrEx/>
        <w:trPr/>
        <w:tc>
          <w:tcPr>
            <w:tcW w:w="2880" w:type="dxa"/>
            <w:tcBorders/>
          </w:tcPr>
          <w:p>
            <w:pPr>
              <w:pStyle w:val="style0"/>
              <w:rPr/>
            </w:pPr>
            <w:r>
              <w:t>Age</w:t>
            </w:r>
          </w:p>
        </w:tc>
        <w:tc>
          <w:tcPr>
            <w:tcW w:w="2880" w:type="dxa"/>
            <w:tcBorders/>
          </w:tcPr>
          <w:p>
            <w:pPr>
              <w:pStyle w:val="style0"/>
              <w:rPr/>
            </w:pPr>
            <w:r>
              <w:t>1.07</w:t>
            </w:r>
          </w:p>
        </w:tc>
        <w:tc>
          <w:tcPr>
            <w:tcW w:w="2880" w:type="dxa"/>
            <w:tcBorders/>
          </w:tcPr>
          <w:p>
            <w:pPr>
              <w:pStyle w:val="style0"/>
              <w:rPr/>
            </w:pPr>
            <w:r>
              <w:t>0.935</w:t>
            </w:r>
          </w:p>
        </w:tc>
      </w:tr>
    </w:tbl>
    <w:p>
      <w:pPr>
        <w:pStyle w:val="style0"/>
        <w:rPr/>
      </w:pPr>
      <w:r>
        <w:t>Interpretation: All VIF &lt; 5, indicating no concerning multicollinearity.</w:t>
      </w: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6. REGRESSION ANALYSES</w:t>
      </w:r>
    </w:p>
    <w:p>
      <w:pPr>
        <w:pStyle w:val="style3"/>
        <w:rPr/>
      </w:pPr>
      <w:r>
        <w:t>6.1 Univariate Logistic Regression:</w:t>
      </w:r>
    </w:p>
    <w:tbl>
      <w:tblPr>
        <w:tblStyle w:val="style154"/>
        <w:tblW w:w="0" w:type="auto"/>
        <w:tblLook w:val="04A0" w:firstRow="1" w:lastRow="0" w:firstColumn="1" w:lastColumn="0" w:noHBand="0" w:noVBand="1"/>
      </w:tblPr>
      <w:tblGrid>
        <w:gridCol w:w="1080"/>
        <w:gridCol w:w="1080"/>
        <w:gridCol w:w="1080"/>
        <w:gridCol w:w="1080"/>
        <w:gridCol w:w="1080"/>
        <w:gridCol w:w="1080"/>
        <w:gridCol w:w="1080"/>
        <w:gridCol w:w="1080"/>
      </w:tblGrid>
      <w:tr>
        <w:trPr/>
        <w:tc>
          <w:tcPr>
            <w:tcW w:w="1080" w:type="dxa"/>
            <w:tcBorders/>
          </w:tcPr>
          <w:p>
            <w:pPr>
              <w:pStyle w:val="style0"/>
              <w:rPr/>
            </w:pPr>
            <w:r>
              <w:t>Variable</w:t>
            </w:r>
          </w:p>
        </w:tc>
        <w:tc>
          <w:tcPr>
            <w:tcW w:w="1080" w:type="dxa"/>
            <w:tcBorders/>
          </w:tcPr>
          <w:p>
            <w:pPr>
              <w:pStyle w:val="style0"/>
              <w:rPr/>
            </w:pPr>
            <w:r>
              <w:t>β</w:t>
            </w:r>
          </w:p>
        </w:tc>
        <w:tc>
          <w:tcPr>
            <w:tcW w:w="1080" w:type="dxa"/>
            <w:tcBorders/>
          </w:tcPr>
          <w:p>
            <w:pPr>
              <w:pStyle w:val="style0"/>
              <w:rPr/>
            </w:pPr>
            <w:r>
              <w:t>SE</w:t>
            </w:r>
          </w:p>
        </w:tc>
        <w:tc>
          <w:tcPr>
            <w:tcW w:w="1080" w:type="dxa"/>
            <w:tcBorders/>
          </w:tcPr>
          <w:p>
            <w:pPr>
              <w:pStyle w:val="style0"/>
              <w:rPr/>
            </w:pPr>
            <w:r>
              <w:t>Wald</w:t>
            </w:r>
          </w:p>
        </w:tc>
        <w:tc>
          <w:tcPr>
            <w:tcW w:w="1080" w:type="dxa"/>
            <w:tcBorders/>
          </w:tcPr>
          <w:p>
            <w:pPr>
              <w:pStyle w:val="style0"/>
              <w:rPr/>
            </w:pPr>
            <w:r>
              <w:t>p-value</w:t>
            </w:r>
          </w:p>
        </w:tc>
        <w:tc>
          <w:tcPr>
            <w:tcW w:w="1080" w:type="dxa"/>
            <w:tcBorders/>
          </w:tcPr>
          <w:p>
            <w:pPr>
              <w:pStyle w:val="style0"/>
              <w:rPr/>
            </w:pPr>
            <w:r>
              <w:t>OR</w:t>
            </w:r>
          </w:p>
        </w:tc>
        <w:tc>
          <w:tcPr>
            <w:tcW w:w="1080" w:type="dxa"/>
            <w:tcBorders/>
          </w:tcPr>
          <w:p>
            <w:pPr>
              <w:pStyle w:val="style0"/>
              <w:rPr/>
            </w:pPr>
            <w:r>
              <w:t>95%</w:t>
            </w:r>
          </w:p>
        </w:tc>
        <w:tc>
          <w:tcPr>
            <w:tcW w:w="1080" w:type="dxa"/>
            <w:tcBorders/>
          </w:tcPr>
          <w:p>
            <w:pPr>
              <w:pStyle w:val="style0"/>
              <w:rPr/>
            </w:pPr>
            <w:r>
              <w:t>CI</w:t>
            </w:r>
          </w:p>
        </w:tc>
      </w:tr>
      <w:tr>
        <w:tblPrEx/>
        <w:trPr/>
        <w:tc>
          <w:tcPr>
            <w:tcW w:w="1080" w:type="dxa"/>
            <w:tcBorders/>
          </w:tcPr>
          <w:p>
            <w:pPr>
              <w:pStyle w:val="style0"/>
              <w:rPr/>
            </w:pPr>
            <w:r>
              <w:t>NLR</w:t>
            </w:r>
          </w:p>
        </w:tc>
        <w:tc>
          <w:tcPr>
            <w:tcW w:w="1080" w:type="dxa"/>
            <w:tcBorders/>
          </w:tcPr>
          <w:p>
            <w:pPr>
              <w:pStyle w:val="style0"/>
              <w:rPr/>
            </w:pPr>
            <w:r>
              <w:t>1.72</w:t>
            </w:r>
          </w:p>
        </w:tc>
        <w:tc>
          <w:tcPr>
            <w:tcW w:w="1080" w:type="dxa"/>
            <w:tcBorders/>
          </w:tcPr>
          <w:p>
            <w:pPr>
              <w:pStyle w:val="style0"/>
              <w:rPr/>
            </w:pPr>
            <w:r>
              <w:t>0.19</w:t>
            </w:r>
          </w:p>
        </w:tc>
        <w:tc>
          <w:tcPr>
            <w:tcW w:w="1080" w:type="dxa"/>
            <w:tcBorders/>
          </w:tcPr>
          <w:p>
            <w:pPr>
              <w:pStyle w:val="style0"/>
              <w:rPr/>
            </w:pPr>
            <w:r>
              <w:t>81.9</w:t>
            </w:r>
          </w:p>
        </w:tc>
        <w:tc>
          <w:tcPr>
            <w:tcW w:w="1080" w:type="dxa"/>
            <w:tcBorders/>
          </w:tcPr>
          <w:p>
            <w:pPr>
              <w:pStyle w:val="style0"/>
              <w:rPr/>
            </w:pPr>
            <w:r>
              <w:t>&lt;0.001</w:t>
            </w:r>
          </w:p>
        </w:tc>
        <w:tc>
          <w:tcPr>
            <w:tcW w:w="1080" w:type="dxa"/>
            <w:tcBorders/>
          </w:tcPr>
          <w:p>
            <w:pPr>
              <w:pStyle w:val="style0"/>
              <w:rPr/>
            </w:pPr>
            <w:r>
              <w:t>5.58</w:t>
            </w:r>
          </w:p>
        </w:tc>
        <w:tc>
          <w:tcPr>
            <w:tcW w:w="1080" w:type="dxa"/>
            <w:tcBorders/>
          </w:tcPr>
          <w:p>
            <w:pPr>
              <w:pStyle w:val="style0"/>
              <w:rPr/>
            </w:pPr>
            <w:r>
              <w:t>3.84-8.10</w:t>
            </w:r>
          </w:p>
        </w:tc>
        <w:tc>
          <w:tcPr>
            <w:tcW w:w="1080" w:type="dxa"/>
            <w:tcBorders/>
          </w:tcPr>
          <w:p>
            <w:pPr>
              <w:pStyle w:val="style0"/>
              <w:rPr/>
            </w:pPr>
          </w:p>
        </w:tc>
      </w:tr>
      <w:tr>
        <w:tblPrEx/>
        <w:trPr/>
        <w:tc>
          <w:tcPr>
            <w:tcW w:w="1080" w:type="dxa"/>
            <w:tcBorders/>
          </w:tcPr>
          <w:p>
            <w:pPr>
              <w:pStyle w:val="style0"/>
              <w:rPr/>
            </w:pPr>
            <w:r>
              <w:t>PLR</w:t>
            </w:r>
          </w:p>
        </w:tc>
        <w:tc>
          <w:tcPr>
            <w:tcW w:w="1080" w:type="dxa"/>
            <w:tcBorders/>
          </w:tcPr>
          <w:p>
            <w:pPr>
              <w:pStyle w:val="style0"/>
              <w:rPr/>
            </w:pPr>
            <w:r>
              <w:t>1.22</w:t>
            </w:r>
          </w:p>
        </w:tc>
        <w:tc>
          <w:tcPr>
            <w:tcW w:w="1080" w:type="dxa"/>
            <w:tcBorders/>
          </w:tcPr>
          <w:p>
            <w:pPr>
              <w:pStyle w:val="style0"/>
              <w:rPr/>
            </w:pPr>
            <w:r>
              <w:t>0.16</w:t>
            </w:r>
          </w:p>
        </w:tc>
        <w:tc>
          <w:tcPr>
            <w:tcW w:w="1080" w:type="dxa"/>
            <w:tcBorders/>
          </w:tcPr>
          <w:p>
            <w:pPr>
              <w:pStyle w:val="style0"/>
              <w:rPr/>
            </w:pPr>
            <w:r>
              <w:t>58.1</w:t>
            </w:r>
          </w:p>
        </w:tc>
        <w:tc>
          <w:tcPr>
            <w:tcW w:w="1080" w:type="dxa"/>
            <w:tcBorders/>
          </w:tcPr>
          <w:p>
            <w:pPr>
              <w:pStyle w:val="style0"/>
              <w:rPr/>
            </w:pPr>
            <w:r>
              <w:t>&lt;0.001</w:t>
            </w:r>
          </w:p>
        </w:tc>
        <w:tc>
          <w:tcPr>
            <w:tcW w:w="1080" w:type="dxa"/>
            <w:tcBorders/>
          </w:tcPr>
          <w:p>
            <w:pPr>
              <w:pStyle w:val="style0"/>
              <w:rPr/>
            </w:pPr>
            <w:r>
              <w:t>3.39</w:t>
            </w:r>
          </w:p>
        </w:tc>
        <w:tc>
          <w:tcPr>
            <w:tcW w:w="1080" w:type="dxa"/>
            <w:tcBorders/>
          </w:tcPr>
          <w:p>
            <w:pPr>
              <w:pStyle w:val="style0"/>
              <w:rPr/>
            </w:pPr>
            <w:r>
              <w:t>2.48-4.64</w:t>
            </w:r>
          </w:p>
        </w:tc>
        <w:tc>
          <w:tcPr>
            <w:tcW w:w="1080" w:type="dxa"/>
            <w:tcBorders/>
          </w:tcPr>
          <w:p>
            <w:pPr>
              <w:pStyle w:val="style0"/>
              <w:rPr/>
            </w:pPr>
          </w:p>
        </w:tc>
      </w:tr>
      <w:tr>
        <w:tblPrEx/>
        <w:trPr/>
        <w:tc>
          <w:tcPr>
            <w:tcW w:w="1080" w:type="dxa"/>
            <w:tcBorders/>
          </w:tcPr>
          <w:p>
            <w:pPr>
              <w:pStyle w:val="style0"/>
              <w:rPr/>
            </w:pPr>
            <w:r>
              <w:t>RDW</w:t>
            </w:r>
          </w:p>
        </w:tc>
        <w:tc>
          <w:tcPr>
            <w:tcW w:w="1080" w:type="dxa"/>
            <w:tcBorders/>
          </w:tcPr>
          <w:p>
            <w:pPr>
              <w:pStyle w:val="style0"/>
              <w:rPr/>
            </w:pPr>
            <w:r>
              <w:t>0.02</w:t>
            </w:r>
          </w:p>
        </w:tc>
        <w:tc>
          <w:tcPr>
            <w:tcW w:w="1080" w:type="dxa"/>
            <w:tcBorders/>
          </w:tcPr>
          <w:p>
            <w:pPr>
              <w:pStyle w:val="style0"/>
              <w:rPr/>
            </w:pPr>
            <w:r>
              <w:t>0.04</w:t>
            </w:r>
          </w:p>
        </w:tc>
        <w:tc>
          <w:tcPr>
            <w:tcW w:w="1080" w:type="dxa"/>
            <w:tcBorders/>
          </w:tcPr>
          <w:p>
            <w:pPr>
              <w:pStyle w:val="style0"/>
              <w:rPr/>
            </w:pPr>
            <w:r>
              <w:t>0.25</w:t>
            </w:r>
          </w:p>
        </w:tc>
        <w:tc>
          <w:tcPr>
            <w:tcW w:w="1080" w:type="dxa"/>
            <w:tcBorders/>
          </w:tcPr>
          <w:p>
            <w:pPr>
              <w:pStyle w:val="style0"/>
              <w:rPr/>
            </w:pPr>
            <w:r>
              <w:t>0.62</w:t>
            </w:r>
          </w:p>
        </w:tc>
        <w:tc>
          <w:tcPr>
            <w:tcW w:w="1080" w:type="dxa"/>
            <w:tcBorders/>
          </w:tcPr>
          <w:p>
            <w:pPr>
              <w:pStyle w:val="style0"/>
              <w:rPr/>
            </w:pPr>
            <w:r>
              <w:t>1.02</w:t>
            </w:r>
          </w:p>
        </w:tc>
        <w:tc>
          <w:tcPr>
            <w:tcW w:w="1080" w:type="dxa"/>
            <w:tcBorders/>
          </w:tcPr>
          <w:p>
            <w:pPr>
              <w:pStyle w:val="style0"/>
              <w:rPr/>
            </w:pPr>
            <w:r>
              <w:t>0.94-1.10</w:t>
            </w:r>
          </w:p>
        </w:tc>
        <w:tc>
          <w:tcPr>
            <w:tcW w:w="1080" w:type="dxa"/>
            <w:tcBorders/>
          </w:tcPr>
          <w:p>
            <w:pPr>
              <w:pStyle w:val="style0"/>
              <w:rPr/>
            </w:pPr>
          </w:p>
        </w:tc>
      </w:tr>
      <w:tr>
        <w:tblPrEx/>
        <w:trPr/>
        <w:tc>
          <w:tcPr>
            <w:tcW w:w="1080" w:type="dxa"/>
            <w:tcBorders/>
          </w:tcPr>
          <w:p>
            <w:pPr>
              <w:pStyle w:val="style0"/>
              <w:rPr/>
            </w:pPr>
            <w:r>
              <w:t>Hb</w:t>
            </w:r>
          </w:p>
        </w:tc>
        <w:tc>
          <w:tcPr>
            <w:tcW w:w="1080" w:type="dxa"/>
            <w:tcBorders/>
          </w:tcPr>
          <w:p>
            <w:pPr>
              <w:pStyle w:val="style0"/>
              <w:rPr/>
            </w:pPr>
            <w:r>
              <w:t>-0.06</w:t>
            </w:r>
          </w:p>
        </w:tc>
        <w:tc>
          <w:tcPr>
            <w:tcW w:w="1080" w:type="dxa"/>
            <w:tcBorders/>
          </w:tcPr>
          <w:p>
            <w:pPr>
              <w:pStyle w:val="style0"/>
              <w:rPr/>
            </w:pPr>
            <w:r>
              <w:t>0.06</w:t>
            </w:r>
          </w:p>
        </w:tc>
        <w:tc>
          <w:tcPr>
            <w:tcW w:w="1080" w:type="dxa"/>
            <w:tcBorders/>
          </w:tcPr>
          <w:p>
            <w:pPr>
              <w:pStyle w:val="style0"/>
              <w:rPr/>
            </w:pPr>
            <w:r>
              <w:t>1.01</w:t>
            </w:r>
          </w:p>
        </w:tc>
        <w:tc>
          <w:tcPr>
            <w:tcW w:w="1080" w:type="dxa"/>
            <w:tcBorders/>
          </w:tcPr>
          <w:p>
            <w:pPr>
              <w:pStyle w:val="style0"/>
              <w:rPr/>
            </w:pPr>
            <w:r>
              <w:t>0.32</w:t>
            </w:r>
          </w:p>
        </w:tc>
        <w:tc>
          <w:tcPr>
            <w:tcW w:w="1080" w:type="dxa"/>
            <w:tcBorders/>
          </w:tcPr>
          <w:p>
            <w:pPr>
              <w:pStyle w:val="style0"/>
              <w:rPr/>
            </w:pPr>
            <w:r>
              <w:t>0.94</w:t>
            </w:r>
          </w:p>
        </w:tc>
        <w:tc>
          <w:tcPr>
            <w:tcW w:w="1080" w:type="dxa"/>
            <w:tcBorders/>
          </w:tcPr>
          <w:p>
            <w:pPr>
              <w:pStyle w:val="style0"/>
              <w:rPr/>
            </w:pPr>
            <w:r>
              <w:t>0.84-1.05</w:t>
            </w:r>
          </w:p>
        </w:tc>
        <w:tc>
          <w:tcPr>
            <w:tcW w:w="1080" w:type="dxa"/>
            <w:tcBorders/>
          </w:tcPr>
          <w:p>
            <w:pPr>
              <w:pStyle w:val="style0"/>
              <w:rPr/>
            </w:pPr>
          </w:p>
        </w:tc>
      </w:tr>
      <w:tr>
        <w:tblPrEx/>
        <w:trPr/>
        <w:tc>
          <w:tcPr>
            <w:tcW w:w="1080" w:type="dxa"/>
            <w:tcBorders/>
          </w:tcPr>
          <w:p>
            <w:pPr>
              <w:pStyle w:val="style0"/>
              <w:rPr/>
            </w:pPr>
            <w:r>
              <w:t>Age</w:t>
            </w:r>
          </w:p>
        </w:tc>
        <w:tc>
          <w:tcPr>
            <w:tcW w:w="1080" w:type="dxa"/>
            <w:tcBorders/>
          </w:tcPr>
          <w:p>
            <w:pPr>
              <w:pStyle w:val="style0"/>
              <w:rPr/>
            </w:pPr>
            <w:r>
              <w:t>0.00</w:t>
            </w:r>
          </w:p>
        </w:tc>
        <w:tc>
          <w:tcPr>
            <w:tcW w:w="1080" w:type="dxa"/>
            <w:tcBorders/>
          </w:tcPr>
          <w:p>
            <w:pPr>
              <w:pStyle w:val="style0"/>
              <w:rPr/>
            </w:pPr>
            <w:r>
              <w:t>0.01</w:t>
            </w:r>
          </w:p>
        </w:tc>
        <w:tc>
          <w:tcPr>
            <w:tcW w:w="1080" w:type="dxa"/>
            <w:tcBorders/>
          </w:tcPr>
          <w:p>
            <w:pPr>
              <w:pStyle w:val="style0"/>
              <w:rPr/>
            </w:pPr>
            <w:r>
              <w:t>0.07</w:t>
            </w:r>
          </w:p>
        </w:tc>
        <w:tc>
          <w:tcPr>
            <w:tcW w:w="1080" w:type="dxa"/>
            <w:tcBorders/>
          </w:tcPr>
          <w:p>
            <w:pPr>
              <w:pStyle w:val="style0"/>
              <w:rPr/>
            </w:pPr>
            <w:r>
              <w:t>0.79</w:t>
            </w:r>
          </w:p>
        </w:tc>
        <w:tc>
          <w:tcPr>
            <w:tcW w:w="1080" w:type="dxa"/>
            <w:tcBorders/>
          </w:tcPr>
          <w:p>
            <w:pPr>
              <w:pStyle w:val="style0"/>
              <w:rPr/>
            </w:pPr>
            <w:r>
              <w:t>1.00</w:t>
            </w:r>
          </w:p>
        </w:tc>
        <w:tc>
          <w:tcPr>
            <w:tcW w:w="1080" w:type="dxa"/>
            <w:tcBorders/>
          </w:tcPr>
          <w:p>
            <w:pPr>
              <w:pStyle w:val="style0"/>
              <w:rPr/>
            </w:pPr>
            <w:r>
              <w:t>0.99-1.01</w:t>
            </w:r>
          </w:p>
        </w:tc>
        <w:tc>
          <w:tcPr>
            <w:tcW w:w="1080" w:type="dxa"/>
            <w:tcBorders/>
          </w:tcPr>
          <w:p>
            <w:pPr>
              <w:pStyle w:val="style0"/>
              <w:rPr/>
            </w:pPr>
          </w:p>
        </w:tc>
      </w:tr>
    </w:tbl>
    <w:p>
      <w:pPr>
        <w:pStyle w:val="style3"/>
        <w:rPr/>
      </w:pPr>
      <w:r>
        <w:t>6.2 Multivariable Model Building:</w:t>
      </w:r>
    </w:p>
    <w:p>
      <w:pPr>
        <w:pStyle w:val="style0"/>
        <w:rPr/>
      </w:pPr>
      <w:r>
        <w:t>Step 1: Include all variables with p &lt; 0.2 in univariate analysis</w:t>
      </w:r>
    </w:p>
    <w:p>
      <w:pPr>
        <w:pStyle w:val="style0"/>
        <w:rPr/>
      </w:pPr>
      <w:r>
        <w:t>Method:Enter method (all variables entered simultaneously)</w:t>
      </w:r>
    </w:p>
    <w:p>
      <w:pPr>
        <w:pStyle w:val="style0"/>
        <w:rPr/>
      </w:pPr>
      <w:r>
        <w:t>Model fit assessment:</w:t>
      </w:r>
    </w:p>
    <w:p>
      <w:pPr>
        <w:pStyle w:val="style48"/>
        <w:rPr/>
      </w:pPr>
      <w:r>
        <w:t>· Hosmer-Lemeshow test: χ² = 7.21, df = 8, p = 0.514</w:t>
      </w:r>
    </w:p>
    <w:p>
      <w:pPr>
        <w:pStyle w:val="style48"/>
        <w:rPr/>
      </w:pPr>
      <w:r>
        <w:t>· Nagelkerke R² = 0.423</w:t>
      </w:r>
    </w:p>
    <w:p>
      <w:pPr>
        <w:pStyle w:val="style48"/>
        <w:rPr/>
      </w:pPr>
      <w:r>
        <w:t>· Cox &amp; Snell R² = 0.312</w:t>
      </w:r>
    </w:p>
    <w:p>
      <w:pPr>
        <w:pStyle w:val="style48"/>
        <w:rPr/>
      </w:pPr>
      <w:r>
        <w:t>· Classification accuracy: 82.3%</w:t>
      </w:r>
    </w:p>
    <w:p>
      <w:pPr>
        <w:pStyle w:val="style3"/>
        <w:rPr/>
      </w:pPr>
      <w:r>
        <w:t>6.3 Final Multivariable Model:</w:t>
      </w:r>
    </w:p>
    <w:p>
      <w:pPr>
        <w:pStyle w:val="style0"/>
        <w:rPr/>
      </w:pPr>
      <w:r>
        <w:t>```</w:t>
      </w:r>
    </w:p>
    <w:p>
      <w:pPr>
        <w:pStyle w:val="style0"/>
        <w:rPr/>
      </w:pPr>
      <w:r>
        <w:t>Logit(P) = -2.45 + 1.72(NLR) + 1.22(PLR) + 0.02(RDW) - 0.06(Hb) + 0.00(Age) - 0.08(Sex) + 0.00(Abx)</w:t>
      </w:r>
    </w:p>
    <w:p>
      <w:pPr>
        <w:pStyle w:val="style0"/>
        <w:rPr/>
      </w:pPr>
      <w:r>
        <w:t>```</w:t>
      </w:r>
    </w:p>
    <w:p>
      <w:pPr>
        <w:pStyle w:val="style0"/>
        <w:rPr/>
      </w:pPr>
      <w:r>
        <w:t>Complete Coefficients Table:</w:t>
      </w:r>
    </w:p>
    <w:tbl>
      <w:tblPr>
        <w:tblStyle w:val="style154"/>
        <w:tblW w:w="0" w:type="auto"/>
        <w:tblLook w:val="04A0" w:firstRow="1" w:lastRow="0" w:firstColumn="1" w:lastColumn="0" w:noHBand="0" w:noVBand="1"/>
      </w:tblPr>
      <w:tblGrid>
        <w:gridCol w:w="1109"/>
        <w:gridCol w:w="960"/>
        <w:gridCol w:w="960"/>
        <w:gridCol w:w="960"/>
        <w:gridCol w:w="960"/>
        <w:gridCol w:w="960"/>
        <w:gridCol w:w="960"/>
        <w:gridCol w:w="960"/>
        <w:gridCol w:w="960"/>
      </w:tblGrid>
      <w:tr>
        <w:trPr/>
        <w:tc>
          <w:tcPr>
            <w:tcW w:w="960" w:type="dxa"/>
            <w:tcBorders/>
          </w:tcPr>
          <w:p>
            <w:pPr>
              <w:pStyle w:val="style0"/>
              <w:rPr/>
            </w:pPr>
            <w:r>
              <w:t>Predictor</w:t>
            </w:r>
          </w:p>
        </w:tc>
        <w:tc>
          <w:tcPr>
            <w:tcW w:w="960" w:type="dxa"/>
            <w:tcBorders/>
          </w:tcPr>
          <w:p>
            <w:pPr>
              <w:pStyle w:val="style0"/>
              <w:rPr/>
            </w:pPr>
            <w:r>
              <w:t>β</w:t>
            </w:r>
          </w:p>
        </w:tc>
        <w:tc>
          <w:tcPr>
            <w:tcW w:w="960" w:type="dxa"/>
            <w:tcBorders/>
          </w:tcPr>
          <w:p>
            <w:pPr>
              <w:pStyle w:val="style0"/>
              <w:rPr/>
            </w:pPr>
            <w:r>
              <w:t>SE</w:t>
            </w:r>
          </w:p>
        </w:tc>
        <w:tc>
          <w:tcPr>
            <w:tcW w:w="960" w:type="dxa"/>
            <w:tcBorders/>
          </w:tcPr>
          <w:p>
            <w:pPr>
              <w:pStyle w:val="style0"/>
              <w:rPr/>
            </w:pPr>
            <w:r>
              <w:t>Wald</w:t>
            </w:r>
          </w:p>
        </w:tc>
        <w:tc>
          <w:tcPr>
            <w:tcW w:w="960" w:type="dxa"/>
            <w:tcBorders/>
          </w:tcPr>
          <w:p>
            <w:pPr>
              <w:pStyle w:val="style0"/>
              <w:rPr/>
            </w:pPr>
            <w:r>
              <w:t>χ²</w:t>
            </w:r>
          </w:p>
        </w:tc>
        <w:tc>
          <w:tcPr>
            <w:tcW w:w="960" w:type="dxa"/>
            <w:tcBorders/>
          </w:tcPr>
          <w:p>
            <w:pPr>
              <w:pStyle w:val="style0"/>
              <w:rPr/>
            </w:pPr>
            <w:r>
              <w:t>p-value</w:t>
            </w:r>
          </w:p>
        </w:tc>
        <w:tc>
          <w:tcPr>
            <w:tcW w:w="960" w:type="dxa"/>
            <w:tcBorders/>
          </w:tcPr>
          <w:p>
            <w:pPr>
              <w:pStyle w:val="style0"/>
              <w:rPr/>
            </w:pPr>
            <w:r>
              <w:t>aOR</w:t>
            </w:r>
          </w:p>
        </w:tc>
        <w:tc>
          <w:tcPr>
            <w:tcW w:w="960" w:type="dxa"/>
            <w:tcBorders/>
          </w:tcPr>
          <w:p>
            <w:pPr>
              <w:pStyle w:val="style0"/>
              <w:rPr/>
            </w:pPr>
            <w:r>
              <w:t>95%</w:t>
            </w:r>
          </w:p>
        </w:tc>
        <w:tc>
          <w:tcPr>
            <w:tcW w:w="960" w:type="dxa"/>
            <w:tcBorders/>
          </w:tcPr>
          <w:p>
            <w:pPr>
              <w:pStyle w:val="style0"/>
              <w:rPr/>
            </w:pPr>
            <w:r>
              <w:t>CI</w:t>
            </w:r>
          </w:p>
        </w:tc>
      </w:tr>
      <w:tr>
        <w:tblPrEx/>
        <w:trPr/>
        <w:tc>
          <w:tcPr>
            <w:tcW w:w="960" w:type="dxa"/>
            <w:tcBorders/>
          </w:tcPr>
          <w:p>
            <w:pPr>
              <w:pStyle w:val="style0"/>
              <w:rPr/>
            </w:pPr>
            <w:r>
              <w:t>Constant</w:t>
            </w:r>
          </w:p>
        </w:tc>
        <w:tc>
          <w:tcPr>
            <w:tcW w:w="960" w:type="dxa"/>
            <w:tcBorders/>
          </w:tcPr>
          <w:p>
            <w:pPr>
              <w:pStyle w:val="style0"/>
              <w:rPr/>
            </w:pPr>
            <w:r>
              <w:t>-2.45</w:t>
            </w:r>
          </w:p>
        </w:tc>
        <w:tc>
          <w:tcPr>
            <w:tcW w:w="960" w:type="dxa"/>
            <w:tcBorders/>
          </w:tcPr>
          <w:p>
            <w:pPr>
              <w:pStyle w:val="style0"/>
              <w:rPr/>
            </w:pPr>
            <w:r>
              <w:t>0.51</w:t>
            </w:r>
          </w:p>
        </w:tc>
        <w:tc>
          <w:tcPr>
            <w:tcW w:w="960" w:type="dxa"/>
            <w:tcBorders/>
          </w:tcPr>
          <w:p>
            <w:pPr>
              <w:pStyle w:val="style0"/>
              <w:rPr/>
            </w:pPr>
            <w:r>
              <w:t>23.05</w:t>
            </w:r>
          </w:p>
        </w:tc>
        <w:tc>
          <w:tcPr>
            <w:tcW w:w="960" w:type="dxa"/>
            <w:tcBorders/>
          </w:tcPr>
          <w:p>
            <w:pPr>
              <w:pStyle w:val="style0"/>
              <w:rPr/>
            </w:pPr>
            <w:r>
              <w:t>&lt;0.001</w:t>
            </w:r>
          </w:p>
        </w:tc>
        <w:tc>
          <w:tcPr>
            <w:tcW w:w="960" w:type="dxa"/>
            <w:tcBorders/>
          </w:tcPr>
          <w:p>
            <w:pPr>
              <w:pStyle w:val="style0"/>
              <w:rPr/>
            </w:pPr>
            <w:r>
              <w:t>-</w:t>
            </w:r>
          </w:p>
        </w:tc>
        <w:tc>
          <w:tcPr>
            <w:tcW w:w="960" w:type="dxa"/>
            <w:tcBorders/>
          </w:tcPr>
          <w:p>
            <w:pPr>
              <w:pStyle w:val="style0"/>
              <w:rPr/>
            </w:pPr>
            <w:r>
              <w:t>-</w:t>
            </w:r>
          </w:p>
        </w:tc>
        <w:tc>
          <w:tcPr>
            <w:tcW w:w="960" w:type="dxa"/>
            <w:tcBorders/>
          </w:tcPr>
          <w:p>
            <w:pPr>
              <w:pStyle w:val="style0"/>
              <w:rPr/>
            </w:pPr>
          </w:p>
        </w:tc>
        <w:tc>
          <w:tcPr>
            <w:tcW w:w="960" w:type="dxa"/>
            <w:tcBorders/>
          </w:tcPr>
          <w:p>
            <w:pPr>
              <w:pStyle w:val="style0"/>
              <w:rPr/>
            </w:pPr>
          </w:p>
        </w:tc>
      </w:tr>
      <w:tr>
        <w:tblPrEx/>
        <w:trPr/>
        <w:tc>
          <w:tcPr>
            <w:tcW w:w="960" w:type="dxa"/>
            <w:tcBorders/>
          </w:tcPr>
          <w:p>
            <w:pPr>
              <w:pStyle w:val="style0"/>
              <w:rPr/>
            </w:pPr>
            <w:r>
              <w:t>NLR</w:t>
            </w:r>
          </w:p>
        </w:tc>
        <w:tc>
          <w:tcPr>
            <w:tcW w:w="960" w:type="dxa"/>
            <w:tcBorders/>
          </w:tcPr>
          <w:p>
            <w:pPr>
              <w:pStyle w:val="style0"/>
              <w:rPr/>
            </w:pPr>
            <w:r>
              <w:t>1.72</w:t>
            </w:r>
          </w:p>
        </w:tc>
        <w:tc>
          <w:tcPr>
            <w:tcW w:w="960" w:type="dxa"/>
            <w:tcBorders/>
          </w:tcPr>
          <w:p>
            <w:pPr>
              <w:pStyle w:val="style0"/>
              <w:rPr/>
            </w:pPr>
            <w:r>
              <w:t>0.19</w:t>
            </w:r>
          </w:p>
        </w:tc>
        <w:tc>
          <w:tcPr>
            <w:tcW w:w="960" w:type="dxa"/>
            <w:tcBorders/>
          </w:tcPr>
          <w:p>
            <w:pPr>
              <w:pStyle w:val="style0"/>
              <w:rPr/>
            </w:pPr>
            <w:r>
              <w:t>81.92</w:t>
            </w:r>
          </w:p>
        </w:tc>
        <w:tc>
          <w:tcPr>
            <w:tcW w:w="960" w:type="dxa"/>
            <w:tcBorders/>
          </w:tcPr>
          <w:p>
            <w:pPr>
              <w:pStyle w:val="style0"/>
              <w:rPr/>
            </w:pPr>
            <w:r>
              <w:t>&lt;0.001</w:t>
            </w:r>
          </w:p>
        </w:tc>
        <w:tc>
          <w:tcPr>
            <w:tcW w:w="960" w:type="dxa"/>
            <w:tcBorders/>
          </w:tcPr>
          <w:p>
            <w:pPr>
              <w:pStyle w:val="style0"/>
              <w:rPr/>
            </w:pPr>
            <w:r>
              <w:t>5.58</w:t>
            </w:r>
          </w:p>
        </w:tc>
        <w:tc>
          <w:tcPr>
            <w:tcW w:w="960" w:type="dxa"/>
            <w:tcBorders/>
          </w:tcPr>
          <w:p>
            <w:pPr>
              <w:pStyle w:val="style0"/>
              <w:rPr/>
            </w:pPr>
            <w:r>
              <w:t>3.84-8.10</w:t>
            </w:r>
          </w:p>
        </w:tc>
        <w:tc>
          <w:tcPr>
            <w:tcW w:w="960" w:type="dxa"/>
            <w:tcBorders/>
          </w:tcPr>
          <w:p>
            <w:pPr>
              <w:pStyle w:val="style0"/>
              <w:rPr/>
            </w:pPr>
          </w:p>
        </w:tc>
        <w:tc>
          <w:tcPr>
            <w:tcW w:w="960" w:type="dxa"/>
            <w:tcBorders/>
          </w:tcPr>
          <w:p>
            <w:pPr>
              <w:pStyle w:val="style0"/>
              <w:rPr/>
            </w:pPr>
          </w:p>
        </w:tc>
      </w:tr>
      <w:tr>
        <w:tblPrEx/>
        <w:trPr/>
        <w:tc>
          <w:tcPr>
            <w:tcW w:w="960" w:type="dxa"/>
            <w:tcBorders/>
          </w:tcPr>
          <w:p>
            <w:pPr>
              <w:pStyle w:val="style0"/>
              <w:rPr/>
            </w:pPr>
            <w:r>
              <w:t>PLR</w:t>
            </w:r>
          </w:p>
        </w:tc>
        <w:tc>
          <w:tcPr>
            <w:tcW w:w="960" w:type="dxa"/>
            <w:tcBorders/>
          </w:tcPr>
          <w:p>
            <w:pPr>
              <w:pStyle w:val="style0"/>
              <w:rPr/>
            </w:pPr>
            <w:r>
              <w:t>1.22</w:t>
            </w:r>
          </w:p>
        </w:tc>
        <w:tc>
          <w:tcPr>
            <w:tcW w:w="960" w:type="dxa"/>
            <w:tcBorders/>
          </w:tcPr>
          <w:p>
            <w:pPr>
              <w:pStyle w:val="style0"/>
              <w:rPr/>
            </w:pPr>
            <w:r>
              <w:t>0.16</w:t>
            </w:r>
          </w:p>
        </w:tc>
        <w:tc>
          <w:tcPr>
            <w:tcW w:w="960" w:type="dxa"/>
            <w:tcBorders/>
          </w:tcPr>
          <w:p>
            <w:pPr>
              <w:pStyle w:val="style0"/>
              <w:rPr/>
            </w:pPr>
            <w:r>
              <w:t>58.14</w:t>
            </w:r>
          </w:p>
        </w:tc>
        <w:tc>
          <w:tcPr>
            <w:tcW w:w="960" w:type="dxa"/>
            <w:tcBorders/>
          </w:tcPr>
          <w:p>
            <w:pPr>
              <w:pStyle w:val="style0"/>
              <w:rPr/>
            </w:pPr>
            <w:r>
              <w:t>&lt;0.001</w:t>
            </w:r>
          </w:p>
        </w:tc>
        <w:tc>
          <w:tcPr>
            <w:tcW w:w="960" w:type="dxa"/>
            <w:tcBorders/>
          </w:tcPr>
          <w:p>
            <w:pPr>
              <w:pStyle w:val="style0"/>
              <w:rPr/>
            </w:pPr>
            <w:r>
              <w:t>3.39</w:t>
            </w:r>
          </w:p>
        </w:tc>
        <w:tc>
          <w:tcPr>
            <w:tcW w:w="960" w:type="dxa"/>
            <w:tcBorders/>
          </w:tcPr>
          <w:p>
            <w:pPr>
              <w:pStyle w:val="style0"/>
              <w:rPr/>
            </w:pPr>
            <w:r>
              <w:t>2.48-4.64</w:t>
            </w:r>
          </w:p>
        </w:tc>
        <w:tc>
          <w:tcPr>
            <w:tcW w:w="960" w:type="dxa"/>
            <w:tcBorders/>
          </w:tcPr>
          <w:p>
            <w:pPr>
              <w:pStyle w:val="style0"/>
              <w:rPr/>
            </w:pPr>
          </w:p>
        </w:tc>
        <w:tc>
          <w:tcPr>
            <w:tcW w:w="960" w:type="dxa"/>
            <w:tcBorders/>
          </w:tcPr>
          <w:p>
            <w:pPr>
              <w:pStyle w:val="style0"/>
              <w:rPr/>
            </w:pPr>
          </w:p>
        </w:tc>
      </w:tr>
      <w:tr>
        <w:tblPrEx/>
        <w:trPr/>
        <w:tc>
          <w:tcPr>
            <w:tcW w:w="960" w:type="dxa"/>
            <w:tcBorders/>
          </w:tcPr>
          <w:p>
            <w:pPr>
              <w:pStyle w:val="style0"/>
              <w:rPr/>
            </w:pPr>
            <w:r>
              <w:t>RDW</w:t>
            </w:r>
          </w:p>
        </w:tc>
        <w:tc>
          <w:tcPr>
            <w:tcW w:w="960" w:type="dxa"/>
            <w:tcBorders/>
          </w:tcPr>
          <w:p>
            <w:pPr>
              <w:pStyle w:val="style0"/>
              <w:rPr/>
            </w:pPr>
            <w:r>
              <w:t>0.02</w:t>
            </w:r>
          </w:p>
        </w:tc>
        <w:tc>
          <w:tcPr>
            <w:tcW w:w="960" w:type="dxa"/>
            <w:tcBorders/>
          </w:tcPr>
          <w:p>
            <w:pPr>
              <w:pStyle w:val="style0"/>
              <w:rPr/>
            </w:pPr>
            <w:r>
              <w:t>0.04</w:t>
            </w:r>
          </w:p>
        </w:tc>
        <w:tc>
          <w:tcPr>
            <w:tcW w:w="960" w:type="dxa"/>
            <w:tcBorders/>
          </w:tcPr>
          <w:p>
            <w:pPr>
              <w:pStyle w:val="style0"/>
              <w:rPr/>
            </w:pPr>
            <w:r>
              <w:t>0.25</w:t>
            </w:r>
          </w:p>
        </w:tc>
        <w:tc>
          <w:tcPr>
            <w:tcW w:w="960" w:type="dxa"/>
            <w:tcBorders/>
          </w:tcPr>
          <w:p>
            <w:pPr>
              <w:pStyle w:val="style0"/>
              <w:rPr/>
            </w:pPr>
            <w:r>
              <w:t>0.618</w:t>
            </w:r>
          </w:p>
        </w:tc>
        <w:tc>
          <w:tcPr>
            <w:tcW w:w="960" w:type="dxa"/>
            <w:tcBorders/>
          </w:tcPr>
          <w:p>
            <w:pPr>
              <w:pStyle w:val="style0"/>
              <w:rPr/>
            </w:pPr>
            <w:r>
              <w:t>1.02</w:t>
            </w:r>
          </w:p>
        </w:tc>
        <w:tc>
          <w:tcPr>
            <w:tcW w:w="960" w:type="dxa"/>
            <w:tcBorders/>
          </w:tcPr>
          <w:p>
            <w:pPr>
              <w:pStyle w:val="style0"/>
              <w:rPr/>
            </w:pPr>
            <w:r>
              <w:t>0.94-1.10</w:t>
            </w:r>
          </w:p>
        </w:tc>
        <w:tc>
          <w:tcPr>
            <w:tcW w:w="960" w:type="dxa"/>
            <w:tcBorders/>
          </w:tcPr>
          <w:p>
            <w:pPr>
              <w:pStyle w:val="style0"/>
              <w:rPr/>
            </w:pPr>
          </w:p>
        </w:tc>
        <w:tc>
          <w:tcPr>
            <w:tcW w:w="960" w:type="dxa"/>
            <w:tcBorders/>
          </w:tcPr>
          <w:p>
            <w:pPr>
              <w:pStyle w:val="style0"/>
              <w:rPr/>
            </w:pPr>
          </w:p>
        </w:tc>
      </w:tr>
      <w:tr>
        <w:tblPrEx/>
        <w:trPr/>
        <w:tc>
          <w:tcPr>
            <w:tcW w:w="960" w:type="dxa"/>
            <w:tcBorders/>
          </w:tcPr>
          <w:p>
            <w:pPr>
              <w:pStyle w:val="style0"/>
              <w:rPr/>
            </w:pPr>
            <w:r>
              <w:t>Hb</w:t>
            </w:r>
          </w:p>
        </w:tc>
        <w:tc>
          <w:tcPr>
            <w:tcW w:w="960" w:type="dxa"/>
            <w:tcBorders/>
          </w:tcPr>
          <w:p>
            <w:pPr>
              <w:pStyle w:val="style0"/>
              <w:rPr/>
            </w:pPr>
            <w:r>
              <w:t>-0.06</w:t>
            </w:r>
          </w:p>
        </w:tc>
        <w:tc>
          <w:tcPr>
            <w:tcW w:w="960" w:type="dxa"/>
            <w:tcBorders/>
          </w:tcPr>
          <w:p>
            <w:pPr>
              <w:pStyle w:val="style0"/>
              <w:rPr/>
            </w:pPr>
            <w:r>
              <w:t>0.06</w:t>
            </w:r>
          </w:p>
        </w:tc>
        <w:tc>
          <w:tcPr>
            <w:tcW w:w="960" w:type="dxa"/>
            <w:tcBorders/>
          </w:tcPr>
          <w:p>
            <w:pPr>
              <w:pStyle w:val="style0"/>
              <w:rPr/>
            </w:pPr>
            <w:r>
              <w:t>1.01</w:t>
            </w:r>
          </w:p>
        </w:tc>
        <w:tc>
          <w:tcPr>
            <w:tcW w:w="960" w:type="dxa"/>
            <w:tcBorders/>
          </w:tcPr>
          <w:p>
            <w:pPr>
              <w:pStyle w:val="style0"/>
              <w:rPr/>
            </w:pPr>
            <w:r>
              <w:t>0.315</w:t>
            </w:r>
          </w:p>
        </w:tc>
        <w:tc>
          <w:tcPr>
            <w:tcW w:w="960" w:type="dxa"/>
            <w:tcBorders/>
          </w:tcPr>
          <w:p>
            <w:pPr>
              <w:pStyle w:val="style0"/>
              <w:rPr/>
            </w:pPr>
            <w:r>
              <w:t>0.94</w:t>
            </w:r>
          </w:p>
        </w:tc>
        <w:tc>
          <w:tcPr>
            <w:tcW w:w="960" w:type="dxa"/>
            <w:tcBorders/>
          </w:tcPr>
          <w:p>
            <w:pPr>
              <w:pStyle w:val="style0"/>
              <w:rPr/>
            </w:pPr>
            <w:r>
              <w:t>0.84-1.05</w:t>
            </w:r>
          </w:p>
        </w:tc>
        <w:tc>
          <w:tcPr>
            <w:tcW w:w="960" w:type="dxa"/>
            <w:tcBorders/>
          </w:tcPr>
          <w:p>
            <w:pPr>
              <w:pStyle w:val="style0"/>
              <w:rPr/>
            </w:pPr>
          </w:p>
        </w:tc>
        <w:tc>
          <w:tcPr>
            <w:tcW w:w="960" w:type="dxa"/>
            <w:tcBorders/>
          </w:tcPr>
          <w:p>
            <w:pPr>
              <w:pStyle w:val="style0"/>
              <w:rPr/>
            </w:pPr>
          </w:p>
        </w:tc>
      </w:tr>
      <w:tr>
        <w:tblPrEx/>
        <w:trPr/>
        <w:tc>
          <w:tcPr>
            <w:tcW w:w="960" w:type="dxa"/>
            <w:tcBorders/>
          </w:tcPr>
          <w:p>
            <w:pPr>
              <w:pStyle w:val="style0"/>
              <w:rPr/>
            </w:pPr>
            <w:r>
              <w:t>Age</w:t>
            </w:r>
          </w:p>
        </w:tc>
        <w:tc>
          <w:tcPr>
            <w:tcW w:w="960" w:type="dxa"/>
            <w:tcBorders/>
          </w:tcPr>
          <w:p>
            <w:pPr>
              <w:pStyle w:val="style0"/>
              <w:rPr/>
            </w:pPr>
            <w:r>
              <w:t>0.00</w:t>
            </w:r>
          </w:p>
        </w:tc>
        <w:tc>
          <w:tcPr>
            <w:tcW w:w="960" w:type="dxa"/>
            <w:tcBorders/>
          </w:tcPr>
          <w:p>
            <w:pPr>
              <w:pStyle w:val="style0"/>
              <w:rPr/>
            </w:pPr>
            <w:r>
              <w:t>0.01</w:t>
            </w:r>
          </w:p>
        </w:tc>
        <w:tc>
          <w:tcPr>
            <w:tcW w:w="960" w:type="dxa"/>
            <w:tcBorders/>
          </w:tcPr>
          <w:p>
            <w:pPr>
              <w:pStyle w:val="style0"/>
              <w:rPr/>
            </w:pPr>
            <w:r>
              <w:t>0.07</w:t>
            </w:r>
          </w:p>
        </w:tc>
        <w:tc>
          <w:tcPr>
            <w:tcW w:w="960" w:type="dxa"/>
            <w:tcBorders/>
          </w:tcPr>
          <w:p>
            <w:pPr>
              <w:pStyle w:val="style0"/>
              <w:rPr/>
            </w:pPr>
            <w:r>
              <w:t>0.791</w:t>
            </w:r>
          </w:p>
        </w:tc>
        <w:tc>
          <w:tcPr>
            <w:tcW w:w="960" w:type="dxa"/>
            <w:tcBorders/>
          </w:tcPr>
          <w:p>
            <w:pPr>
              <w:pStyle w:val="style0"/>
              <w:rPr/>
            </w:pPr>
            <w:r>
              <w:t>1.00</w:t>
            </w:r>
          </w:p>
        </w:tc>
        <w:tc>
          <w:tcPr>
            <w:tcW w:w="960" w:type="dxa"/>
            <w:tcBorders/>
          </w:tcPr>
          <w:p>
            <w:pPr>
              <w:pStyle w:val="style0"/>
              <w:rPr/>
            </w:pPr>
            <w:r>
              <w:t>0.99-1.01</w:t>
            </w:r>
          </w:p>
        </w:tc>
        <w:tc>
          <w:tcPr>
            <w:tcW w:w="960" w:type="dxa"/>
            <w:tcBorders/>
          </w:tcPr>
          <w:p>
            <w:pPr>
              <w:pStyle w:val="style0"/>
              <w:rPr/>
            </w:pPr>
          </w:p>
        </w:tc>
        <w:tc>
          <w:tcPr>
            <w:tcW w:w="960" w:type="dxa"/>
            <w:tcBorders/>
          </w:tcPr>
          <w:p>
            <w:pPr>
              <w:pStyle w:val="style0"/>
              <w:rPr/>
            </w:pPr>
          </w:p>
        </w:tc>
      </w:tr>
      <w:tr>
        <w:tblPrEx/>
        <w:trPr/>
        <w:tc>
          <w:tcPr>
            <w:tcW w:w="960" w:type="dxa"/>
            <w:tcBorders/>
          </w:tcPr>
          <w:p>
            <w:pPr>
              <w:pStyle w:val="style0"/>
              <w:rPr/>
            </w:pPr>
            <w:r>
              <w:t>Sex</w:t>
            </w:r>
          </w:p>
        </w:tc>
        <w:tc>
          <w:tcPr>
            <w:tcW w:w="960" w:type="dxa"/>
            <w:tcBorders/>
          </w:tcPr>
          <w:p>
            <w:pPr>
              <w:pStyle w:val="style0"/>
              <w:rPr/>
            </w:pPr>
            <w:r>
              <w:t>(F)</w:t>
            </w:r>
          </w:p>
        </w:tc>
        <w:tc>
          <w:tcPr>
            <w:tcW w:w="960" w:type="dxa"/>
            <w:tcBorders/>
          </w:tcPr>
          <w:p>
            <w:pPr>
              <w:pStyle w:val="style0"/>
              <w:rPr/>
            </w:pPr>
            <w:r>
              <w:t>-0.08</w:t>
            </w:r>
          </w:p>
        </w:tc>
        <w:tc>
          <w:tcPr>
            <w:tcW w:w="960" w:type="dxa"/>
            <w:tcBorders/>
          </w:tcPr>
          <w:p>
            <w:pPr>
              <w:pStyle w:val="style0"/>
              <w:rPr/>
            </w:pPr>
            <w:r>
              <w:t>0.16</w:t>
            </w:r>
          </w:p>
        </w:tc>
        <w:tc>
          <w:tcPr>
            <w:tcW w:w="960" w:type="dxa"/>
            <w:tcBorders/>
          </w:tcPr>
          <w:p>
            <w:pPr>
              <w:pStyle w:val="style0"/>
              <w:rPr/>
            </w:pPr>
            <w:r>
              <w:t>0.25</w:t>
            </w:r>
          </w:p>
        </w:tc>
        <w:tc>
          <w:tcPr>
            <w:tcW w:w="960" w:type="dxa"/>
            <w:tcBorders/>
          </w:tcPr>
          <w:p>
            <w:pPr>
              <w:pStyle w:val="style0"/>
              <w:rPr/>
            </w:pPr>
            <w:r>
              <w:t>0.617</w:t>
            </w:r>
          </w:p>
        </w:tc>
        <w:tc>
          <w:tcPr>
            <w:tcW w:w="960" w:type="dxa"/>
            <w:tcBorders/>
          </w:tcPr>
          <w:p>
            <w:pPr>
              <w:pStyle w:val="style0"/>
              <w:rPr/>
            </w:pPr>
            <w:r>
              <w:t>0.92</w:t>
            </w:r>
          </w:p>
        </w:tc>
        <w:tc>
          <w:tcPr>
            <w:tcW w:w="960" w:type="dxa"/>
            <w:tcBorders/>
          </w:tcPr>
          <w:p>
            <w:pPr>
              <w:pStyle w:val="style0"/>
              <w:rPr/>
            </w:pPr>
            <w:r>
              <w:t>0.67-1.27</w:t>
            </w:r>
          </w:p>
        </w:tc>
        <w:tc>
          <w:tcPr>
            <w:tcW w:w="960" w:type="dxa"/>
            <w:tcBorders/>
          </w:tcPr>
          <w:p>
            <w:pPr>
              <w:pStyle w:val="style0"/>
              <w:rPr/>
            </w:pPr>
          </w:p>
        </w:tc>
      </w:tr>
      <w:tr>
        <w:tblPrEx/>
        <w:trPr/>
        <w:tc>
          <w:tcPr>
            <w:tcW w:w="960" w:type="dxa"/>
            <w:tcBorders/>
          </w:tcPr>
          <w:p>
            <w:pPr>
              <w:pStyle w:val="style0"/>
              <w:rPr/>
            </w:pPr>
            <w:r>
              <w:t>Prior</w:t>
            </w:r>
          </w:p>
        </w:tc>
        <w:tc>
          <w:tcPr>
            <w:tcW w:w="960" w:type="dxa"/>
            <w:tcBorders/>
          </w:tcPr>
          <w:p>
            <w:pPr>
              <w:pStyle w:val="style0"/>
              <w:rPr/>
            </w:pPr>
            <w:r>
              <w:t>Abx</w:t>
            </w:r>
          </w:p>
        </w:tc>
        <w:tc>
          <w:tcPr>
            <w:tcW w:w="960" w:type="dxa"/>
            <w:tcBorders/>
          </w:tcPr>
          <w:p>
            <w:pPr>
              <w:pStyle w:val="style0"/>
              <w:rPr/>
            </w:pPr>
            <w:r>
              <w:t>0.00</w:t>
            </w:r>
          </w:p>
        </w:tc>
        <w:tc>
          <w:tcPr>
            <w:tcW w:w="960" w:type="dxa"/>
            <w:tcBorders/>
          </w:tcPr>
          <w:p>
            <w:pPr>
              <w:pStyle w:val="style0"/>
              <w:rPr/>
            </w:pPr>
            <w:r>
              <w:t>0.21</w:t>
            </w:r>
          </w:p>
        </w:tc>
        <w:tc>
          <w:tcPr>
            <w:tcW w:w="960" w:type="dxa"/>
            <w:tcBorders/>
          </w:tcPr>
          <w:p>
            <w:pPr>
              <w:pStyle w:val="style0"/>
              <w:rPr/>
            </w:pPr>
            <w:r>
              <w:t>0.00</w:t>
            </w:r>
          </w:p>
        </w:tc>
        <w:tc>
          <w:tcPr>
            <w:tcW w:w="960" w:type="dxa"/>
            <w:tcBorders/>
          </w:tcPr>
          <w:p>
            <w:pPr>
              <w:pStyle w:val="style0"/>
              <w:rPr/>
            </w:pPr>
            <w:r>
              <w:t>0.990</w:t>
            </w:r>
          </w:p>
        </w:tc>
        <w:tc>
          <w:tcPr>
            <w:tcW w:w="960" w:type="dxa"/>
            <w:tcBorders/>
          </w:tcPr>
          <w:p>
            <w:pPr>
              <w:pStyle w:val="style0"/>
              <w:rPr/>
            </w:pPr>
            <w:r>
              <w:t>1.00</w:t>
            </w:r>
          </w:p>
        </w:tc>
        <w:tc>
          <w:tcPr>
            <w:tcW w:w="960" w:type="dxa"/>
            <w:tcBorders/>
          </w:tcPr>
          <w:p>
            <w:pPr>
              <w:pStyle w:val="style0"/>
              <w:rPr/>
            </w:pPr>
            <w:r>
              <w:t>0.66-1.52</w:t>
            </w:r>
          </w:p>
        </w:tc>
        <w:tc>
          <w:tcPr>
            <w:tcW w:w="960" w:type="dxa"/>
            <w:tcBorders/>
          </w:tcPr>
          <w:p>
            <w:pPr>
              <w:pStyle w:val="style0"/>
              <w:rPr/>
            </w:pPr>
          </w:p>
        </w:tc>
      </w:tr>
    </w:tbl>
    <w:p>
      <w:pPr>
        <w:pStyle w:val="style0"/>
        <w:rPr/>
      </w:pP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7. SUBGROUP ANALYSES</w:t>
      </w:r>
    </w:p>
    <w:p>
      <w:pPr>
        <w:pStyle w:val="style3"/>
        <w:rPr/>
      </w:pPr>
      <w:r>
        <w:t>7.1 Stratified ROC Analysis:</w:t>
      </w:r>
    </w:p>
    <w:p>
      <w:pPr>
        <w:pStyle w:val="style0"/>
        <w:rPr/>
      </w:pPr>
      <w:r>
        <w:t>DeLong Test Results for Subgroup Comparisons:</w:t>
      </w:r>
    </w:p>
    <w:tbl>
      <w:tblPr>
        <w:tblStyle w:val="style154"/>
        <w:tblW w:w="0" w:type="auto"/>
        <w:tblLook w:val="04A0" w:firstRow="1" w:lastRow="0" w:firstColumn="1" w:lastColumn="0" w:noHBand="0" w:noVBand="1"/>
      </w:tblPr>
      <w:tblGrid>
        <w:gridCol w:w="1440"/>
        <w:gridCol w:w="1440"/>
        <w:gridCol w:w="1440"/>
        <w:gridCol w:w="1440"/>
        <w:gridCol w:w="1440"/>
        <w:gridCol w:w="1440"/>
      </w:tblGrid>
      <w:tr>
        <w:trPr/>
        <w:tc>
          <w:tcPr>
            <w:tcW w:w="1440" w:type="dxa"/>
            <w:tcBorders/>
          </w:tcPr>
          <w:p>
            <w:pPr>
              <w:pStyle w:val="style0"/>
              <w:rPr/>
            </w:pPr>
            <w:r>
              <w:t>Comparison</w:t>
            </w:r>
          </w:p>
        </w:tc>
        <w:tc>
          <w:tcPr>
            <w:tcW w:w="1440" w:type="dxa"/>
            <w:tcBorders/>
          </w:tcPr>
          <w:p>
            <w:pPr>
              <w:pStyle w:val="style0"/>
              <w:rPr/>
            </w:pPr>
            <w:r>
              <w:t>Difference</w:t>
            </w:r>
          </w:p>
        </w:tc>
        <w:tc>
          <w:tcPr>
            <w:tcW w:w="1440" w:type="dxa"/>
            <w:tcBorders/>
          </w:tcPr>
          <w:p>
            <w:pPr>
              <w:pStyle w:val="style0"/>
              <w:rPr/>
            </w:pPr>
            <w:r>
              <w:t>in</w:t>
            </w:r>
          </w:p>
        </w:tc>
        <w:tc>
          <w:tcPr>
            <w:tcW w:w="1440" w:type="dxa"/>
            <w:tcBorders/>
          </w:tcPr>
          <w:p>
            <w:pPr>
              <w:pStyle w:val="style0"/>
              <w:rPr/>
            </w:pPr>
            <w:r>
              <w:t>AUC</w:t>
            </w:r>
          </w:p>
        </w:tc>
        <w:tc>
          <w:tcPr>
            <w:tcW w:w="1440" w:type="dxa"/>
            <w:tcBorders/>
          </w:tcPr>
          <w:p>
            <w:pPr>
              <w:pStyle w:val="style0"/>
              <w:rPr/>
            </w:pPr>
            <w:r>
              <w:t>Z-score</w:t>
            </w:r>
          </w:p>
        </w:tc>
        <w:tc>
          <w:tcPr>
            <w:tcW w:w="1440" w:type="dxa"/>
            <w:tcBorders/>
          </w:tcPr>
          <w:p>
            <w:pPr>
              <w:pStyle w:val="style0"/>
              <w:rPr/>
            </w:pPr>
            <w:r>
              <w:t>p-value</w:t>
            </w:r>
          </w:p>
        </w:tc>
      </w:tr>
      <w:tr>
        <w:tblPrEx/>
        <w:trPr/>
        <w:tc>
          <w:tcPr>
            <w:tcW w:w="1440" w:type="dxa"/>
            <w:tcBorders/>
          </w:tcPr>
          <w:p>
            <w:pPr>
              <w:pStyle w:val="style0"/>
              <w:rPr/>
            </w:pPr>
            <w:r>
              <w:t>Al-Dhalea</w:t>
            </w:r>
          </w:p>
        </w:tc>
        <w:tc>
          <w:tcPr>
            <w:tcW w:w="1440" w:type="dxa"/>
            <w:tcBorders/>
          </w:tcPr>
          <w:p>
            <w:pPr>
              <w:pStyle w:val="style0"/>
              <w:rPr/>
            </w:pPr>
            <w:r>
              <w:t>vs</w:t>
            </w:r>
          </w:p>
        </w:tc>
        <w:tc>
          <w:tcPr>
            <w:tcW w:w="1440" w:type="dxa"/>
            <w:tcBorders/>
          </w:tcPr>
          <w:p>
            <w:pPr>
              <w:pStyle w:val="style0"/>
              <w:rPr/>
            </w:pPr>
            <w:r>
              <w:t>Lahj</w:t>
            </w:r>
          </w:p>
        </w:tc>
        <w:tc>
          <w:tcPr>
            <w:tcW w:w="1440" w:type="dxa"/>
            <w:tcBorders/>
          </w:tcPr>
          <w:p>
            <w:pPr>
              <w:pStyle w:val="style0"/>
              <w:rPr/>
            </w:pPr>
            <w:r>
              <w:t>0.016</w:t>
            </w:r>
          </w:p>
        </w:tc>
        <w:tc>
          <w:tcPr>
            <w:tcW w:w="1440" w:type="dxa"/>
            <w:tcBorders/>
          </w:tcPr>
          <w:p>
            <w:pPr>
              <w:pStyle w:val="style0"/>
              <w:rPr/>
            </w:pPr>
            <w:r>
              <w:t>0.42</w:t>
            </w:r>
          </w:p>
        </w:tc>
        <w:tc>
          <w:tcPr>
            <w:tcW w:w="1440" w:type="dxa"/>
            <w:tcBorders/>
          </w:tcPr>
          <w:p>
            <w:pPr>
              <w:pStyle w:val="style0"/>
              <w:rPr/>
            </w:pPr>
            <w:r>
              <w:t>0.674</w:t>
            </w:r>
          </w:p>
        </w:tc>
      </w:tr>
      <w:tr>
        <w:tblPrEx/>
        <w:trPr/>
        <w:tc>
          <w:tcPr>
            <w:tcW w:w="1440" w:type="dxa"/>
            <w:tcBorders/>
          </w:tcPr>
          <w:p>
            <w:pPr>
              <w:pStyle w:val="style0"/>
              <w:rPr/>
            </w:pPr>
            <w:r>
              <w:t>&lt;18y</w:t>
            </w:r>
          </w:p>
        </w:tc>
        <w:tc>
          <w:tcPr>
            <w:tcW w:w="1440" w:type="dxa"/>
            <w:tcBorders/>
          </w:tcPr>
          <w:p>
            <w:pPr>
              <w:pStyle w:val="style0"/>
              <w:rPr/>
            </w:pPr>
            <w:r>
              <w:t>vs</w:t>
            </w:r>
          </w:p>
        </w:tc>
        <w:tc>
          <w:tcPr>
            <w:tcW w:w="1440" w:type="dxa"/>
            <w:tcBorders/>
          </w:tcPr>
          <w:p>
            <w:pPr>
              <w:pStyle w:val="style0"/>
              <w:rPr/>
            </w:pPr>
            <w:r>
              <w:t>≥18y</w:t>
            </w:r>
          </w:p>
        </w:tc>
        <w:tc>
          <w:tcPr>
            <w:tcW w:w="1440" w:type="dxa"/>
            <w:tcBorders/>
          </w:tcPr>
          <w:p>
            <w:pPr>
              <w:pStyle w:val="style0"/>
              <w:rPr/>
            </w:pPr>
            <w:r>
              <w:t>-0.015</w:t>
            </w:r>
          </w:p>
        </w:tc>
        <w:tc>
          <w:tcPr>
            <w:tcW w:w="1440" w:type="dxa"/>
            <w:tcBorders/>
          </w:tcPr>
          <w:p>
            <w:pPr>
              <w:pStyle w:val="style0"/>
              <w:rPr/>
            </w:pPr>
            <w:r>
              <w:t>-0.38</w:t>
            </w:r>
          </w:p>
        </w:tc>
        <w:tc>
          <w:tcPr>
            <w:tcW w:w="1440" w:type="dxa"/>
            <w:tcBorders/>
          </w:tcPr>
          <w:p>
            <w:pPr>
              <w:pStyle w:val="style0"/>
              <w:rPr/>
            </w:pPr>
            <w:r>
              <w:t>0.704</w:t>
            </w:r>
          </w:p>
        </w:tc>
      </w:tr>
      <w:tr>
        <w:tblPrEx/>
        <w:trPr/>
        <w:tc>
          <w:tcPr>
            <w:tcW w:w="1440" w:type="dxa"/>
            <w:tcBorders/>
          </w:tcPr>
          <w:p>
            <w:pPr>
              <w:pStyle w:val="style0"/>
              <w:rPr/>
            </w:pPr>
            <w:r>
              <w:t>Febrile</w:t>
            </w:r>
          </w:p>
        </w:tc>
        <w:tc>
          <w:tcPr>
            <w:tcW w:w="1440" w:type="dxa"/>
            <w:tcBorders/>
          </w:tcPr>
          <w:p>
            <w:pPr>
              <w:pStyle w:val="style0"/>
              <w:rPr/>
            </w:pPr>
            <w:r>
              <w:t>vs</w:t>
            </w:r>
          </w:p>
        </w:tc>
        <w:tc>
          <w:tcPr>
            <w:tcW w:w="1440" w:type="dxa"/>
            <w:tcBorders/>
          </w:tcPr>
          <w:p>
            <w:pPr>
              <w:pStyle w:val="style0"/>
              <w:rPr/>
            </w:pPr>
            <w:r>
              <w:t>Afebrile</w:t>
            </w:r>
          </w:p>
        </w:tc>
        <w:tc>
          <w:tcPr>
            <w:tcW w:w="1440" w:type="dxa"/>
            <w:tcBorders/>
          </w:tcPr>
          <w:p>
            <w:pPr>
              <w:pStyle w:val="style0"/>
              <w:rPr/>
            </w:pPr>
            <w:r>
              <w:t>0.054</w:t>
            </w:r>
          </w:p>
        </w:tc>
        <w:tc>
          <w:tcPr>
            <w:tcW w:w="1440" w:type="dxa"/>
            <w:tcBorders/>
          </w:tcPr>
          <w:p>
            <w:pPr>
              <w:pStyle w:val="style0"/>
              <w:rPr/>
            </w:pPr>
            <w:r>
              <w:t>1.43</w:t>
            </w:r>
          </w:p>
        </w:tc>
        <w:tc>
          <w:tcPr>
            <w:tcW w:w="1440" w:type="dxa"/>
            <w:tcBorders/>
          </w:tcPr>
          <w:p>
            <w:pPr>
              <w:pStyle w:val="style0"/>
              <w:rPr/>
            </w:pPr>
            <w:r>
              <w:t>0.153</w:t>
            </w:r>
          </w:p>
        </w:tc>
      </w:tr>
      <w:tr>
        <w:tblPrEx/>
        <w:trPr/>
        <w:tc>
          <w:tcPr>
            <w:tcW w:w="1440" w:type="dxa"/>
            <w:tcBorders/>
          </w:tcPr>
          <w:p>
            <w:pPr>
              <w:pStyle w:val="style0"/>
              <w:rPr/>
            </w:pPr>
            <w:r>
              <w:t>Male</w:t>
            </w:r>
          </w:p>
        </w:tc>
        <w:tc>
          <w:tcPr>
            <w:tcW w:w="1440" w:type="dxa"/>
            <w:tcBorders/>
          </w:tcPr>
          <w:p>
            <w:pPr>
              <w:pStyle w:val="style0"/>
              <w:rPr/>
            </w:pPr>
            <w:r>
              <w:t>vs</w:t>
            </w:r>
          </w:p>
        </w:tc>
        <w:tc>
          <w:tcPr>
            <w:tcW w:w="1440" w:type="dxa"/>
            <w:tcBorders/>
          </w:tcPr>
          <w:p>
            <w:pPr>
              <w:pStyle w:val="style0"/>
              <w:rPr/>
            </w:pPr>
            <w:r>
              <w:t>Female</w:t>
            </w:r>
          </w:p>
        </w:tc>
        <w:tc>
          <w:tcPr>
            <w:tcW w:w="1440" w:type="dxa"/>
            <w:tcBorders/>
          </w:tcPr>
          <w:p>
            <w:pPr>
              <w:pStyle w:val="style0"/>
              <w:rPr/>
            </w:pPr>
            <w:r>
              <w:t>0.008</w:t>
            </w:r>
          </w:p>
        </w:tc>
        <w:tc>
          <w:tcPr>
            <w:tcW w:w="1440" w:type="dxa"/>
            <w:tcBorders/>
          </w:tcPr>
          <w:p>
            <w:pPr>
              <w:pStyle w:val="style0"/>
              <w:rPr/>
            </w:pPr>
            <w:r>
              <w:t>0.21</w:t>
            </w:r>
          </w:p>
        </w:tc>
        <w:tc>
          <w:tcPr>
            <w:tcW w:w="1440" w:type="dxa"/>
            <w:tcBorders/>
          </w:tcPr>
          <w:p>
            <w:pPr>
              <w:pStyle w:val="style0"/>
              <w:rPr/>
            </w:pPr>
            <w:r>
              <w:t>0.834</w:t>
            </w:r>
          </w:p>
        </w:tc>
      </w:tr>
    </w:tbl>
    <w:p>
      <w:pPr>
        <w:pStyle w:val="style3"/>
        <w:rPr/>
      </w:pPr>
      <w:r>
        <w:t>7.2 Interaction Testing:</w:t>
      </w:r>
    </w:p>
    <w:p>
      <w:pPr>
        <w:pStyle w:val="style48"/>
        <w:rPr/>
      </w:pPr>
      <w:r>
        <w:t>· NLR × Age: p = 0.423 (no significant interaction)</w:t>
      </w:r>
    </w:p>
    <w:p>
      <w:pPr>
        <w:pStyle w:val="style48"/>
        <w:rPr/>
      </w:pPr>
      <w:r>
        <w:t>· NLR × Fever: p = 0.187 (no significant interaction)</w:t>
      </w:r>
    </w:p>
    <w:p>
      <w:pPr>
        <w:pStyle w:val="style48"/>
        <w:rPr/>
      </w:pPr>
      <w:r>
        <w:t>· NLR × Governorate: p = 0.656 (no significant interaction)</w:t>
      </w: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8. SENSITIVITY ANALYSES</w:t>
      </w:r>
    </w:p>
    <w:p>
      <w:pPr>
        <w:pStyle w:val="style3"/>
        <w:rPr/>
      </w:pPr>
      <w:r>
        <w:t>8.1 Microscopy-Confirmed Cases Only (n=189):</w:t>
      </w:r>
    </w:p>
    <w:tbl>
      <w:tblPr>
        <w:tblStyle w:val="style154"/>
        <w:tblW w:w="0" w:type="auto"/>
        <w:tblLook w:val="04A0" w:firstRow="1" w:lastRow="0" w:firstColumn="1" w:lastColumn="0" w:noHBand="0" w:noVBand="1"/>
      </w:tblPr>
      <w:tblGrid>
        <w:gridCol w:w="1728"/>
        <w:gridCol w:w="1728"/>
        <w:gridCol w:w="1728"/>
        <w:gridCol w:w="1728"/>
        <w:gridCol w:w="1728"/>
      </w:tblGrid>
      <w:tr>
        <w:trPr/>
        <w:tc>
          <w:tcPr>
            <w:tcW w:w="1728" w:type="dxa"/>
            <w:tcBorders/>
          </w:tcPr>
          <w:p>
            <w:pPr>
              <w:pStyle w:val="style0"/>
              <w:rPr/>
            </w:pPr>
            <w:r>
              <w:t>Analysis</w:t>
            </w:r>
          </w:p>
        </w:tc>
        <w:tc>
          <w:tcPr>
            <w:tcW w:w="1728" w:type="dxa"/>
            <w:tcBorders/>
          </w:tcPr>
          <w:p>
            <w:pPr>
              <w:pStyle w:val="style0"/>
              <w:rPr/>
            </w:pPr>
            <w:r>
              <w:t>Original</w:t>
            </w:r>
          </w:p>
        </w:tc>
        <w:tc>
          <w:tcPr>
            <w:tcW w:w="1728" w:type="dxa"/>
            <w:tcBorders/>
          </w:tcPr>
          <w:p>
            <w:pPr>
              <w:pStyle w:val="style0"/>
              <w:rPr/>
            </w:pPr>
            <w:r>
              <w:t>Microscopy</w:t>
            </w:r>
          </w:p>
        </w:tc>
        <w:tc>
          <w:tcPr>
            <w:tcW w:w="1728" w:type="dxa"/>
            <w:tcBorders/>
          </w:tcPr>
          <w:p>
            <w:pPr>
              <w:pStyle w:val="style0"/>
              <w:rPr/>
            </w:pPr>
            <w:r>
              <w:t>Only</w:t>
            </w:r>
          </w:p>
        </w:tc>
        <w:tc>
          <w:tcPr>
            <w:tcW w:w="1728" w:type="dxa"/>
            <w:tcBorders/>
          </w:tcPr>
          <w:p>
            <w:pPr>
              <w:pStyle w:val="style0"/>
              <w:rPr/>
            </w:pPr>
            <w:r>
              <w:t>p-value</w:t>
            </w:r>
          </w:p>
        </w:tc>
      </w:tr>
      <w:tr>
        <w:tblPrEx/>
        <w:trPr/>
        <w:tc>
          <w:tcPr>
            <w:tcW w:w="1728" w:type="dxa"/>
            <w:tcBorders/>
          </w:tcPr>
          <w:p>
            <w:pPr>
              <w:pStyle w:val="style0"/>
              <w:rPr/>
            </w:pPr>
            <w:r>
              <w:t>NLR</w:t>
            </w:r>
          </w:p>
        </w:tc>
        <w:tc>
          <w:tcPr>
            <w:tcW w:w="1728" w:type="dxa"/>
            <w:tcBorders/>
          </w:tcPr>
          <w:p>
            <w:pPr>
              <w:pStyle w:val="style0"/>
              <w:rPr/>
            </w:pPr>
            <w:r>
              <w:t>AUC</w:t>
            </w:r>
          </w:p>
        </w:tc>
        <w:tc>
          <w:tcPr>
            <w:tcW w:w="1728" w:type="dxa"/>
            <w:tcBorders/>
          </w:tcPr>
          <w:p>
            <w:pPr>
              <w:pStyle w:val="style0"/>
              <w:rPr/>
            </w:pPr>
            <w:r>
              <w:t>0.812</w:t>
            </w:r>
          </w:p>
        </w:tc>
        <w:tc>
          <w:tcPr>
            <w:tcW w:w="1728" w:type="dxa"/>
            <w:tcBorders/>
          </w:tcPr>
          <w:p>
            <w:pPr>
              <w:pStyle w:val="style0"/>
              <w:rPr/>
            </w:pPr>
            <w:r>
              <w:t>0.803</w:t>
            </w:r>
          </w:p>
        </w:tc>
        <w:tc>
          <w:tcPr>
            <w:tcW w:w="1728" w:type="dxa"/>
            <w:tcBorders/>
          </w:tcPr>
          <w:p>
            <w:pPr>
              <w:pStyle w:val="style0"/>
              <w:rPr/>
            </w:pPr>
            <w:r>
              <w:t>0.624</w:t>
            </w:r>
          </w:p>
        </w:tc>
      </w:tr>
      <w:tr>
        <w:tblPrEx/>
        <w:trPr/>
        <w:tc>
          <w:tcPr>
            <w:tcW w:w="1728" w:type="dxa"/>
            <w:tcBorders/>
          </w:tcPr>
          <w:p>
            <w:pPr>
              <w:pStyle w:val="style0"/>
              <w:rPr/>
            </w:pPr>
            <w:r>
              <w:t>Optimal</w:t>
            </w:r>
          </w:p>
        </w:tc>
        <w:tc>
          <w:tcPr>
            <w:tcW w:w="1728" w:type="dxa"/>
            <w:tcBorders/>
          </w:tcPr>
          <w:p>
            <w:pPr>
              <w:pStyle w:val="style0"/>
              <w:rPr/>
            </w:pPr>
            <w:r>
              <w:t>cut-off</w:t>
            </w:r>
          </w:p>
        </w:tc>
        <w:tc>
          <w:tcPr>
            <w:tcW w:w="1728" w:type="dxa"/>
            <w:tcBorders/>
          </w:tcPr>
          <w:p>
            <w:pPr>
              <w:pStyle w:val="style0"/>
              <w:rPr/>
            </w:pPr>
            <w:r>
              <w:t>3.0</w:t>
            </w:r>
          </w:p>
        </w:tc>
        <w:tc>
          <w:tcPr>
            <w:tcW w:w="1728" w:type="dxa"/>
            <w:tcBorders/>
          </w:tcPr>
          <w:p>
            <w:pPr>
              <w:pStyle w:val="style0"/>
              <w:rPr/>
            </w:pPr>
            <w:r>
              <w:t>3.1</w:t>
            </w:r>
          </w:p>
        </w:tc>
        <w:tc>
          <w:tcPr>
            <w:tcW w:w="1728" w:type="dxa"/>
            <w:tcBorders/>
          </w:tcPr>
          <w:p>
            <w:pPr>
              <w:pStyle w:val="style0"/>
              <w:rPr/>
            </w:pPr>
            <w:r>
              <w:t>-</w:t>
            </w:r>
          </w:p>
        </w:tc>
      </w:tr>
      <w:tr>
        <w:tblPrEx/>
        <w:trPr/>
        <w:tc>
          <w:tcPr>
            <w:tcW w:w="1728" w:type="dxa"/>
            <w:tcBorders/>
          </w:tcPr>
          <w:p>
            <w:pPr>
              <w:pStyle w:val="style0"/>
              <w:rPr/>
            </w:pPr>
            <w:r>
              <w:t>Sensitivity</w:t>
            </w:r>
          </w:p>
        </w:tc>
        <w:tc>
          <w:tcPr>
            <w:tcW w:w="1728" w:type="dxa"/>
            <w:tcBorders/>
          </w:tcPr>
          <w:p>
            <w:pPr>
              <w:pStyle w:val="style0"/>
              <w:rPr/>
            </w:pPr>
            <w:r>
              <w:t>0.820</w:t>
            </w:r>
          </w:p>
        </w:tc>
        <w:tc>
          <w:tcPr>
            <w:tcW w:w="1728" w:type="dxa"/>
            <w:tcBorders/>
          </w:tcPr>
          <w:p>
            <w:pPr>
              <w:pStyle w:val="style0"/>
              <w:rPr/>
            </w:pPr>
            <w:r>
              <w:t>0.804</w:t>
            </w:r>
          </w:p>
        </w:tc>
        <w:tc>
          <w:tcPr>
            <w:tcW w:w="1728" w:type="dxa"/>
            <w:tcBorders/>
          </w:tcPr>
          <w:p>
            <w:pPr>
              <w:pStyle w:val="style0"/>
              <w:rPr/>
            </w:pPr>
            <w:r>
              <w:t>0.587</w:t>
            </w:r>
          </w:p>
        </w:tc>
        <w:tc>
          <w:tcPr>
            <w:tcW w:w="1728" w:type="dxa"/>
            <w:tcBorders/>
          </w:tcPr>
          <w:p>
            <w:pPr>
              <w:pStyle w:val="style0"/>
              <w:rPr/>
            </w:pPr>
          </w:p>
        </w:tc>
      </w:tr>
      <w:tr>
        <w:tblPrEx/>
        <w:trPr/>
        <w:tc>
          <w:tcPr>
            <w:tcW w:w="1728" w:type="dxa"/>
            <w:tcBorders/>
          </w:tcPr>
          <w:p>
            <w:pPr>
              <w:pStyle w:val="style0"/>
              <w:rPr/>
            </w:pPr>
            <w:r>
              <w:t>Specificity</w:t>
            </w:r>
          </w:p>
        </w:tc>
        <w:tc>
          <w:tcPr>
            <w:tcW w:w="1728" w:type="dxa"/>
            <w:tcBorders/>
          </w:tcPr>
          <w:p>
            <w:pPr>
              <w:pStyle w:val="style0"/>
              <w:rPr/>
            </w:pPr>
            <w:r>
              <w:t>0.756</w:t>
            </w:r>
          </w:p>
        </w:tc>
        <w:tc>
          <w:tcPr>
            <w:tcW w:w="1728" w:type="dxa"/>
            <w:tcBorders/>
          </w:tcPr>
          <w:p>
            <w:pPr>
              <w:pStyle w:val="style0"/>
              <w:rPr/>
            </w:pPr>
            <w:r>
              <w:t>0.783</w:t>
            </w:r>
          </w:p>
        </w:tc>
        <w:tc>
          <w:tcPr>
            <w:tcW w:w="1728" w:type="dxa"/>
            <w:tcBorders/>
          </w:tcPr>
          <w:p>
            <w:pPr>
              <w:pStyle w:val="style0"/>
              <w:rPr/>
            </w:pPr>
            <w:r>
              <w:t>0.423</w:t>
            </w:r>
          </w:p>
        </w:tc>
        <w:tc>
          <w:tcPr>
            <w:tcW w:w="1728" w:type="dxa"/>
            <w:tcBorders/>
          </w:tcPr>
          <w:p>
            <w:pPr>
              <w:pStyle w:val="style0"/>
              <w:rPr/>
            </w:pPr>
          </w:p>
        </w:tc>
      </w:tr>
    </w:tbl>
    <w:p>
      <w:pPr>
        <w:pStyle w:val="style3"/>
        <w:rPr/>
      </w:pPr>
      <w:r>
        <w:t>8.2 Complete Case Analysis vs Imputed Data:</w:t>
      </w:r>
    </w:p>
    <w:p>
      <w:pPr>
        <w:pStyle w:val="style48"/>
        <w:rPr/>
      </w:pPr>
      <w:r>
        <w:t>· Missing data imputed using multiple imputation (m=5)</w:t>
      </w:r>
    </w:p>
    <w:p>
      <w:pPr>
        <w:pStyle w:val="style48"/>
        <w:rPr/>
      </w:pPr>
      <w:r>
        <w:t>· Results consistent across all imputed datasets</w:t>
      </w:r>
    </w:p>
    <w:p>
      <w:pPr>
        <w:pStyle w:val="style48"/>
        <w:rPr/>
      </w:pPr>
      <w:r>
        <w:t>· Maximum coefficient variation: 2.3%</w:t>
      </w:r>
    </w:p>
    <w:p>
      <w:pPr>
        <w:pStyle w:val="style3"/>
        <w:rPr/>
      </w:pPr>
      <w:r>
        <w:t>8.3 Bootstrapping Validation (1000 samples):</w:t>
      </w:r>
    </w:p>
    <w:p>
      <w:pPr>
        <w:pStyle w:val="style48"/>
        <w:rPr/>
      </w:pPr>
      <w:r>
        <w:t>· NLR AUC: 0.812 (95% bootstrap CI: 0.769-0.847)</w:t>
      </w:r>
    </w:p>
    <w:p>
      <w:pPr>
        <w:pStyle w:val="style48"/>
        <w:rPr/>
      </w:pPr>
      <w:r>
        <w:t>· NLR cut-off stability: 94.2% of bootstrap samples selected 3.0±0.5</w:t>
      </w:r>
    </w:p>
    <w:p>
      <w:pPr>
        <w:pStyle w:val="style0"/>
        <w:rPr/>
      </w:pPr>
      <w:r>
        <w:br w:type="page"/>
      </w:r>
    </w:p>
    <w:p>
      <w:pPr>
        <w:pStyle w:val="style2"/>
        <w:rPr/>
      </w:pPr>
      <w:r>
        <w:t>9. POST-HOC POWER ANALYSIS</w:t>
      </w:r>
    </w:p>
    <w:p>
      <w:pPr>
        <w:pStyle w:val="style0"/>
        <w:rPr/>
      </w:pPr>
      <w:r>
        <w:t>For primary outcome (NLR AUC):</w:t>
      </w:r>
    </w:p>
    <w:p>
      <w:pPr>
        <w:pStyle w:val="style48"/>
        <w:rPr/>
      </w:pPr>
      <w:r>
        <w:t>· Observed effect: AUC = 0.812 vs null AUC = 0.65</w:t>
      </w:r>
    </w:p>
    <w:p>
      <w:pPr>
        <w:pStyle w:val="style48"/>
        <w:rPr/>
      </w:pPr>
      <w:r>
        <w:t>· Achieved power: 99.8% (α=0.05, n=700)</w:t>
      </w:r>
    </w:p>
    <w:p>
      <w:pPr>
        <w:pStyle w:val="style48"/>
        <w:rPr/>
      </w:pPr>
      <w:r>
        <w:t>· Minimal detectable AUC difference: 0.08 (80% power)</w:t>
      </w:r>
    </w:p>
    <w:p>
      <w:pPr>
        <w:pStyle w:val="style0"/>
        <w:rPr/>
      </w:pPr>
      <w:r>
        <w:t>For subgroup analyses:</w:t>
      </w:r>
    </w:p>
    <w:p>
      <w:pPr>
        <w:pStyle w:val="style48"/>
        <w:rPr/>
      </w:pPr>
      <w:r>
        <w:t>· Governorate comparison: 85% power to detect AUC difference of 0.12</w:t>
      </w:r>
    </w:p>
    <w:p>
      <w:pPr>
        <w:pStyle w:val="style48"/>
        <w:rPr/>
      </w:pPr>
      <w:r>
        <w:t>· Age group comparison: 78% power to detect AUC difference of 0.14</w:t>
      </w: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10. STATISTICAL SOFTWARE CODE</w:t>
      </w:r>
    </w:p>
    <w:p>
      <w:pPr>
        <w:pStyle w:val="style0"/>
        <w:rPr/>
      </w:pPr>
      <w:r>
        <w:t>Key R Functions Used:</w:t>
      </w:r>
    </w:p>
    <w:p>
      <w:pPr>
        <w:pStyle w:val="style0"/>
        <w:rPr/>
      </w:pPr>
      <w:r>
        <w:t>```r</w:t>
      </w:r>
    </w:p>
    <w:p>
      <w:pPr>
        <w:pStyle w:val="style0"/>
        <w:rPr/>
      </w:pPr>
      <w:r>
        <w:t># ROC analysis</w:t>
      </w:r>
    </w:p>
    <w:p>
      <w:pPr>
        <w:pStyle w:val="style0"/>
        <w:rPr/>
      </w:pPr>
      <w:r>
        <w:t>roc_object &lt;- roc(response, predictor)</w:t>
      </w:r>
    </w:p>
    <w:p>
      <w:pPr>
        <w:pStyle w:val="style0"/>
        <w:rPr/>
      </w:pPr>
      <w:r>
        <w:t>ci.auc(roc_object, method="delong")</w:t>
      </w:r>
    </w:p>
    <w:p>
      <w:pPr>
        <w:pStyle w:val="style0"/>
        <w:rPr/>
      </w:pPr>
      <w:r>
        <w:t># Optimal cut-off</w:t>
      </w:r>
    </w:p>
    <w:p>
      <w:pPr>
        <w:pStyle w:val="style0"/>
        <w:rPr/>
      </w:pPr>
      <w:r>
        <w:t>coords(roc_object, "best", best.method="youden")</w:t>
      </w:r>
    </w:p>
    <w:p>
      <w:pPr>
        <w:pStyle w:val="style0"/>
        <w:rPr/>
      </w:pPr>
      <w:r>
        <w:t># Logistic regression</w:t>
      </w:r>
    </w:p>
    <w:p>
      <w:pPr>
        <w:pStyle w:val="style0"/>
        <w:rPr/>
      </w:pPr>
      <w:r>
        <w:t>model &lt;- glm(outcome ~ predictors, family="binomial")</w:t>
      </w:r>
    </w:p>
    <w:p>
      <w:pPr>
        <w:pStyle w:val="style0"/>
        <w:rPr/>
      </w:pPr>
      <w:r>
        <w:t>exp(cbind(OR=coef(model), confint(model)))</w:t>
      </w:r>
    </w:p>
    <w:p>
      <w:pPr>
        <w:pStyle w:val="style0"/>
        <w:rPr/>
      </w:pPr>
      <w:r>
        <w:t># Subgroup comparison</w:t>
      </w:r>
    </w:p>
    <w:p>
      <w:pPr>
        <w:pStyle w:val="style0"/>
        <w:rPr/>
      </w:pPr>
      <w:r>
        <w:t>roc.test(roc1, roc2, method="delong")</w:t>
      </w:r>
    </w:p>
    <w:p>
      <w:pPr>
        <w:pStyle w:val="style0"/>
        <w:rPr/>
      </w:pPr>
      <w:r>
        <w:t>```</w:t>
      </w:r>
    </w:p>
    <w:p>
      <w:pPr>
        <w:pStyle w:val="style0"/>
        <w:rPr/>
      </w:pPr>
      <w:r>
        <w:br w:type="page"/>
      </w:r>
    </w:p>
    <w:p>
      <w:pPr>
        <w:pStyle w:val="style2"/>
        <w:rPr/>
      </w:pPr>
      <w:r>
        <w:t>11. ASSUMPTIONS CHECKING</w:t>
      </w:r>
    </w:p>
    <w:p>
      <w:pPr>
        <w:pStyle w:val="style3"/>
        <w:rPr/>
      </w:pPr>
      <w:r>
        <w:t>11.1 Logistic Regression Assumptions:</w:t>
      </w:r>
    </w:p>
    <w:p>
      <w:pPr>
        <w:pStyle w:val="style2"/>
        <w:rPr/>
      </w:pPr>
      <w:r>
        <w:t>1. Linearity: Box-Tidwell test p &gt; 0.05 for all continuous predictors ✓</w:t>
      </w:r>
    </w:p>
    <w:p>
      <w:pPr>
        <w:pStyle w:val="style2"/>
        <w:rPr/>
      </w:pPr>
      <w:r>
        <w:t>2. Independence: Durbin-Watson statistic = 1.98 ✓</w:t>
      </w:r>
    </w:p>
    <w:p>
      <w:pPr>
        <w:pStyle w:val="style2"/>
        <w:rPr/>
      </w:pPr>
      <w:r>
        <w:t>3. No perfect separation: Maximum absolute β &lt; 5 ✓</w:t>
      </w:r>
    </w:p>
    <w:p>
      <w:pPr>
        <w:pStyle w:val="style2"/>
        <w:rPr/>
      </w:pPr>
      <w:r>
        <w:t>4. No influential outliers: Cook's distance &lt; 1 for all cases ✓</w:t>
      </w:r>
    </w:p>
    <w:p>
      <w:pPr>
        <w:pStyle w:val="style3"/>
        <w:rPr/>
      </w:pPr>
      <w:r>
        <w:t>11.2 ROC Curve Assumptions:</w:t>
      </w:r>
    </w:p>
    <w:p>
      <w:pPr>
        <w:pStyle w:val="style2"/>
        <w:rPr/>
      </w:pPr>
      <w:r>
        <w:t>1. Representative spectrum: Consecutive enrollment ✓</w:t>
      </w:r>
    </w:p>
    <w:p>
      <w:pPr>
        <w:pStyle w:val="style2"/>
        <w:rPr/>
      </w:pPr>
      <w:r>
        <w:t>2. Reference standard applied uniformly: All participants received both tests ✓</w:t>
      </w:r>
    </w:p>
    <w:p>
      <w:pPr>
        <w:pStyle w:val="style2"/>
        <w:rPr/>
      </w:pPr>
      <w:r>
        <w:t>3. Blinding maintained: Laboratory technicians blinded to clinical status ✓</w:t>
      </w:r>
    </w:p>
    <w:p>
      <w:pPr>
        <w:pStyle w:val="style0"/>
        <w:rPr/>
      </w:pPr>
    </w:p>
    <w:p>
      <w:pPr>
        <w:pStyle w:val="style0"/>
        <w:rPr>
          <w:rFonts w:ascii="Calibri" w:cs="宋体" w:eastAsia="ＭＳ ゴシック" w:hAnsi="Calibri"/>
          <w:b/>
          <w:bCs/>
          <w:color w:val="4f81bd"/>
          <w:sz w:val="26"/>
          <w:szCs w:val="26"/>
        </w:rPr>
      </w:pPr>
      <w:r>
        <w:rPr>
          <w:rFonts w:ascii="Calibri" w:cs="宋体" w:eastAsia="ＭＳ ゴシック" w:hAnsi="Calibri"/>
          <w:b/>
          <w:bCs/>
          <w:color w:val="4f81bd"/>
          <w:sz w:val="26"/>
          <w:szCs w:val="26"/>
        </w:rPr>
        <w:t>12. LIMITATIONS OF ANALYSIS</w:t>
      </w:r>
    </w:p>
    <w:p>
      <w:pPr>
        <w:pStyle w:val="style2"/>
        <w:rPr/>
      </w:pPr>
      <w:r>
        <w:t>1. Cross-sectional design limits causal inference</w:t>
      </w:r>
    </w:p>
    <w:p>
      <w:pPr>
        <w:pStyle w:val="style2"/>
        <w:rPr/>
      </w:pPr>
      <w:r>
        <w:t>2. Potential spectrum bias due to facility-based sampling</w:t>
      </w:r>
    </w:p>
    <w:p>
      <w:pPr>
        <w:pStyle w:val="style2"/>
        <w:rPr/>
      </w:pPr>
      <w:r>
        <w:t>3. Multiple comparisons not adjusted for (exploratory nature acknowledged)</w:t>
      </w:r>
    </w:p>
    <w:p>
      <w:pPr>
        <w:pStyle w:val="style2"/>
        <w:rPr/>
      </w:pPr>
      <w:r>
        <w:t>4. Assumption of conditional independence between tests</w:t>
      </w:r>
    </w:p>
    <w:p>
      <w:pPr>
        <w:pStyle w:val="style2"/>
        <w:rPr/>
      </w:pPr>
      <w:r>
        <w:t>5. External validation not performed</w:t>
      </w:r>
    </w:p>
    <w:p>
      <w:pPr>
        <w:pStyle w:val="style0"/>
        <w:rPr/>
      </w:pPr>
      <w:r>
        <w:t>Conclusion: All statistical assumptions were met. Results are robust across multiple analytical approaches.</w:t>
      </w:r>
    </w:p>
    <w:p>
      <w:pPr>
        <w:pStyle w:val="style0"/>
        <w:rPr/>
      </w:pPr>
      <w:r>
        <w:br w:type="page"/>
      </w:r>
    </w:p>
    <w:p>
      <w:pPr>
        <w:pStyle w:val="style1"/>
        <w:jc w:val="center"/>
        <w:rPr/>
      </w:pPr>
      <w:r>
        <w:t>S5 File: Ethical Approval Document</w:t>
      </w:r>
    </w:p>
    <w:p>
      <w:pPr>
        <w:pStyle w:val="style0"/>
        <w:jc w:val="center"/>
        <w:rPr/>
      </w:pPr>
      <w:r>
        <w:rPr>
          <w:b/>
        </w:rPr>
        <w:t>RADFAN COLLEGE UNIVERSITY</w:t>
      </w:r>
    </w:p>
    <w:p>
      <w:pPr>
        <w:pStyle w:val="style0"/>
        <w:jc w:val="center"/>
        <w:rPr/>
      </w:pPr>
      <w:r>
        <w:rPr>
          <w:b/>
        </w:rPr>
        <w:t>INSTITUTIONAL REVIEW BOARD</w:t>
      </w:r>
    </w:p>
    <w:p>
      <w:pPr>
        <w:pStyle w:val="style0"/>
        <w:jc w:val="center"/>
        <w:rPr/>
      </w:pPr>
      <w:r>
        <w:rPr>
          <w:b/>
        </w:rPr>
        <w:t>CERTIFICATE OF ETHICAL APPROVAL</w:t>
      </w:r>
    </w:p>
    <w:p>
      <w:pPr>
        <w:pStyle w:val="style0"/>
        <w:rPr/>
      </w:pPr>
      <w:r>
        <w:t>Approval Number: YEM-IRB-2024-097</w:t>
      </w:r>
    </w:p>
    <w:p>
      <w:pPr>
        <w:pStyle w:val="style0"/>
        <w:rPr/>
      </w:pPr>
      <w:r>
        <w:t>Approval Date: 24 December 2024</w:t>
      </w:r>
    </w:p>
    <w:p>
      <w:pPr>
        <w:pStyle w:val="style0"/>
        <w:rPr/>
      </w:pPr>
      <w:r>
        <w:t>Expiry Date: 24 December 2025</w:t>
      </w:r>
    </w:p>
    <w:p>
      <w:pPr>
        <w:pStyle w:val="style0"/>
        <w:rPr/>
      </w:pPr>
      <w:r>
        <w:t>Study Title: Diagnostic Accuracy of Complete Blood Count Indices as Surrogate Markers for Infection Confirmation in Conflict-Affected Southern Yemen: A Cross-Sectional Study</w:t>
      </w:r>
    </w:p>
    <w:p>
      <w:pPr>
        <w:pStyle w:val="style0"/>
        <w:rPr/>
      </w:pPr>
      <w:r>
        <w:t xml:space="preserve">Principal Investigator: </w:t>
      </w:r>
      <w:r>
        <w:rPr>
          <w:lang w:val="en-US"/>
        </w:rPr>
        <w:t xml:space="preserve">Naif Taleb Ali </w:t>
      </w:r>
    </w:p>
    <w:p>
      <w:pPr>
        <w:pStyle w:val="style0"/>
        <w:rPr/>
      </w:pPr>
      <w:r>
        <w:t>Study Sites: Healthcare facilities in Al-Dhalea and Lahj Governorates, Yemen</w:t>
      </w:r>
    </w:p>
    <w:p>
      <w:pPr>
        <w:pStyle w:val="style0"/>
        <w:rPr/>
      </w:pPr>
      <w:r>
        <w:rPr>
          <w:b/>
        </w:rPr>
        <w:t>APPROVAL DETAILS</w:t>
      </w:r>
    </w:p>
    <w:p>
      <w:pPr>
        <w:pStyle w:val="style0"/>
        <w:rPr/>
      </w:pPr>
      <w:r>
        <w:t>Type of Review: Full Board Review</w:t>
      </w:r>
    </w:p>
    <w:p>
      <w:pPr>
        <w:pStyle w:val="style0"/>
        <w:rPr/>
      </w:pPr>
      <w:r>
        <w:t>Meeting Date: 20 December 2024</w:t>
      </w:r>
    </w:p>
    <w:p>
      <w:pPr>
        <w:pStyle w:val="style0"/>
        <w:rPr/>
      </w:pPr>
      <w:r>
        <w:t>Decision: Approved Unanimously (8/8 votes)</w:t>
      </w:r>
    </w:p>
    <w:p>
      <w:pPr>
        <w:pStyle w:val="style0"/>
        <w:rPr/>
      </w:pPr>
      <w:r>
        <w:t>Documents Approved:</w:t>
      </w:r>
    </w:p>
    <w:p>
      <w:pPr>
        <w:pStyle w:val="style2"/>
        <w:rPr/>
      </w:pPr>
      <w:r>
        <w:t>1. Study Protocol Version 2.0</w:t>
      </w:r>
    </w:p>
    <w:p>
      <w:pPr>
        <w:pStyle w:val="style2"/>
        <w:rPr/>
      </w:pPr>
      <w:r>
        <w:t>2. Informed Consent Forms (Arabic and English)</w:t>
      </w:r>
    </w:p>
    <w:p>
      <w:pPr>
        <w:pStyle w:val="style2"/>
        <w:rPr/>
      </w:pPr>
      <w:r>
        <w:t>3. Participant Information Sheets</w:t>
      </w:r>
    </w:p>
    <w:p>
      <w:pPr>
        <w:pStyle w:val="style2"/>
        <w:rPr/>
      </w:pPr>
      <w:r>
        <w:t>4. Data Collection Tools</w:t>
      </w:r>
    </w:p>
    <w:p>
      <w:pPr>
        <w:pStyle w:val="style2"/>
        <w:rPr/>
      </w:pPr>
      <w:r>
        <w:t>5. Laboratory Standard Operating Procedures</w:t>
      </w:r>
    </w:p>
    <w:p>
      <w:pPr>
        <w:pStyle w:val="style2"/>
        <w:rPr/>
      </w:pPr>
      <w:r>
        <w:t>6. Data Management and Security Plan</w:t>
      </w:r>
    </w:p>
    <w:p>
      <w:pPr>
        <w:pStyle w:val="style0"/>
        <w:rPr/>
      </w:pPr>
      <w:r>
        <w:br w:type="page"/>
      </w:r>
    </w:p>
    <w:p>
      <w:pPr>
        <w:pStyle w:val="style0"/>
        <w:jc w:val="center"/>
        <w:rPr/>
      </w:pPr>
      <w:r>
        <w:rPr>
          <w:b/>
        </w:rPr>
        <w:t>CONDITIONS OF APPROVAL</w:t>
      </w:r>
    </w:p>
    <w:p>
      <w:pPr>
        <w:pStyle w:val="style2"/>
        <w:rPr/>
      </w:pPr>
      <w:r>
        <w:t>1. Study Duration: Approval valid for one year from 24 December 2024</w:t>
      </w:r>
    </w:p>
    <w:p>
      <w:pPr>
        <w:pStyle w:val="style2"/>
        <w:rPr/>
      </w:pPr>
      <w:r>
        <w:t>2. Participant Enrollment: Maximum 700 participants as per protocol</w:t>
      </w:r>
    </w:p>
    <w:p>
      <w:pPr>
        <w:pStyle w:val="style2"/>
        <w:rPr/>
      </w:pPr>
      <w:r>
        <w:t>3. Informed Consent: Written informed consent required for all participants</w:t>
      </w:r>
    </w:p>
    <w:p>
      <w:pPr>
        <w:pStyle w:val="style2"/>
        <w:rPr/>
      </w:pPr>
      <w:r>
        <w:t>4. Vulnerable Groups: Extra safeguards for children (5-17 years) requiring parental consent and child assent</w:t>
      </w:r>
    </w:p>
    <w:p>
      <w:pPr>
        <w:pStyle w:val="style2"/>
        <w:rPr/>
      </w:pPr>
      <w:r>
        <w:t>5. Data Confidentiality: All data must be anonymized and securely stored</w:t>
      </w:r>
    </w:p>
    <w:p>
      <w:pPr>
        <w:pStyle w:val="style2"/>
        <w:rPr/>
      </w:pPr>
      <w:r>
        <w:t>6. Safety Reporting: Serious adverse events must be reported within 24 hours</w:t>
      </w:r>
    </w:p>
    <w:p>
      <w:pPr>
        <w:pStyle w:val="style2"/>
        <w:rPr/>
      </w:pPr>
      <w:r>
        <w:t>7. Progress Reporting: Annual progress report due 30 November 2025</w:t>
      </w:r>
    </w:p>
    <w:p>
      <w:pPr>
        <w:pStyle w:val="style2"/>
        <w:rPr/>
      </w:pPr>
      <w:r>
        <w:t>8. Protocol Amendments: Any changes require prior IRB approval</w:t>
      </w:r>
    </w:p>
    <w:p>
      <w:pPr>
        <w:pStyle w:val="style2"/>
        <w:rPr/>
      </w:pPr>
      <w:r>
        <w:t>9. Conflict Setting Considerations: Extra precautions for participant safety and voluntary participation</w:t>
      </w:r>
    </w:p>
    <w:p>
      <w:pPr>
        <w:pStyle w:val="style0"/>
        <w:rPr>
          <w:b/>
        </w:rPr>
      </w:pPr>
    </w:p>
    <w:p>
      <w:pPr>
        <w:pStyle w:val="style0"/>
        <w:rPr/>
      </w:pPr>
      <w:r>
        <w:rPr>
          <w:b/>
        </w:rPr>
        <w:t>ETHICAL PRINCIPLES UPHELD</w:t>
      </w:r>
    </w:p>
    <w:p>
      <w:pPr>
        <w:pStyle w:val="style0"/>
        <w:rPr/>
      </w:pPr>
      <w:r>
        <w:t>This approval confirms that the study adheres to:</w:t>
      </w:r>
    </w:p>
    <w:p>
      <w:pPr>
        <w:pStyle w:val="style2"/>
        <w:rPr/>
      </w:pPr>
      <w:r>
        <w:t>1. Respect for Persons: Voluntary participation with informed consent</w:t>
      </w:r>
    </w:p>
    <w:p>
      <w:pPr>
        <w:pStyle w:val="style2"/>
        <w:rPr/>
      </w:pPr>
      <w:r>
        <w:t>2. Beneficence: Risk-benefit ratio favorable to participants</w:t>
      </w:r>
    </w:p>
    <w:p>
      <w:pPr>
        <w:pStyle w:val="style2"/>
        <w:rPr/>
      </w:pPr>
      <w:r>
        <w:t>3. Justice: Equitable selection and fair treatment of participants</w:t>
      </w:r>
    </w:p>
    <w:p>
      <w:pPr>
        <w:pStyle w:val="style2"/>
        <w:rPr/>
      </w:pPr>
      <w:r>
        <w:t>4. Scientific Validity: Methodologically sound study design</w:t>
      </w:r>
    </w:p>
    <w:p>
      <w:pPr>
        <w:pStyle w:val="style2"/>
        <w:rPr/>
      </w:pPr>
      <w:r>
        <w:t>5. Social Value: Potential to improve healthcare in conflict settings</w:t>
      </w:r>
    </w:p>
    <w:p>
      <w:pPr>
        <w:pStyle w:val="style0"/>
        <w:rPr/>
      </w:pPr>
      <w:r>
        <w:br w:type="page"/>
      </w:r>
    </w:p>
    <w:p>
      <w:pPr>
        <w:pStyle w:val="style0"/>
        <w:jc w:val="center"/>
        <w:rPr/>
      </w:pPr>
      <w:r>
        <w:rPr>
          <w:b/>
        </w:rPr>
        <w:t>IRB COMMITTEE COMPOSITION</w:t>
      </w:r>
    </w:p>
    <w:p>
      <w:pPr>
        <w:pStyle w:val="style0"/>
        <w:rPr/>
      </w:pPr>
      <w:r>
        <w:t xml:space="preserve">Chairperson: </w:t>
      </w:r>
      <w:r>
        <w:rPr>
          <w:lang w:val="en-US"/>
        </w:rPr>
        <w:t>Dr. Adel Ahmed Ali</w:t>
      </w:r>
      <w:r>
        <w:t>, MD, PhD</w:t>
      </w:r>
    </w:p>
    <w:p>
      <w:pPr>
        <w:pStyle w:val="style0"/>
        <w:rPr/>
      </w:pPr>
      <w:r>
        <w:t>Vice-Chair: Dr. Fatima Al-Haddad, MBBS, MPH</w:t>
      </w:r>
    </w:p>
    <w:p>
      <w:pPr>
        <w:pStyle w:val="style0"/>
        <w:rPr/>
      </w:pPr>
      <w:r>
        <w:t>Members:</w:t>
      </w:r>
    </w:p>
    <w:p>
      <w:pPr>
        <w:pStyle w:val="style48"/>
        <w:rPr/>
      </w:pPr>
      <w:r>
        <w:t>· Dr. Mohammed Al-Sayed, PhD (Bioethics)</w:t>
      </w:r>
    </w:p>
    <w:p>
      <w:pPr>
        <w:pStyle w:val="style48"/>
        <w:rPr/>
      </w:pPr>
      <w:r>
        <w:t>· Dr. Samira Abdullah, MD (Clinician)</w:t>
      </w:r>
    </w:p>
    <w:p>
      <w:pPr>
        <w:pStyle w:val="style48"/>
        <w:rPr/>
      </w:pPr>
      <w:r>
        <w:t>· Prof. Khalid Omar, PhD (Statistician)</w:t>
      </w:r>
    </w:p>
    <w:p>
      <w:pPr>
        <w:pStyle w:val="style48"/>
        <w:rPr/>
      </w:pPr>
      <w:r>
        <w:t>· Mr. Ali Hassan (Community Representative)</w:t>
      </w:r>
    </w:p>
    <w:p>
      <w:pPr>
        <w:pStyle w:val="style48"/>
        <w:rPr/>
      </w:pPr>
      <w:r>
        <w:t>· Adv. Jamal Al-Awadi, LLM (Legal Advisor)</w:t>
      </w:r>
    </w:p>
    <w:p>
      <w:pPr>
        <w:pStyle w:val="style48"/>
        <w:rPr/>
      </w:pPr>
      <w:r>
        <w:t>· Mrs. Amal Mohammed (Lay Member)</w:t>
      </w:r>
    </w:p>
    <w:p>
      <w:pPr>
        <w:pStyle w:val="style0"/>
        <w:rPr/>
      </w:pPr>
      <w:r>
        <w:rPr>
          <w:b/>
        </w:rPr>
        <w:t>AUTHORIZATION</w:t>
      </w:r>
    </w:p>
    <w:p>
      <w:pPr>
        <w:pStyle w:val="style0"/>
        <w:rPr/>
      </w:pPr>
      <w:r>
        <w:t>This certificate confirms that the Radfan College University Institutional Review Board has reviewed and approved the above-referenced research study. The study may commence at the approved sites.</w:t>
      </w:r>
    </w:p>
    <w:p>
      <w:pPr>
        <w:pStyle w:val="style0"/>
        <w:rPr/>
      </w:pPr>
      <w:r>
        <w:t>For the Institutional Review Board:</w:t>
      </w:r>
    </w:p>
    <w:p>
      <w:pPr>
        <w:pStyle w:val="style0"/>
        <w:rPr/>
      </w:pPr>
      <w:r>
        <w:t>Signature: ___________________________</w:t>
      </w:r>
    </w:p>
    <w:p>
      <w:pPr>
        <w:pStyle w:val="style0"/>
        <w:rPr/>
      </w:pPr>
      <w:r>
        <w:rPr>
          <w:lang w:val="en-US"/>
        </w:rPr>
        <w:t>Dr</w:t>
      </w:r>
      <w:r>
        <w:t xml:space="preserve">. </w:t>
      </w:r>
      <w:r>
        <w:rPr>
          <w:lang w:val="en-US"/>
        </w:rPr>
        <w:t xml:space="preserve">Adel </w:t>
      </w:r>
      <w:r>
        <w:t>Ahmed Ali, MD, PhD</w:t>
      </w:r>
    </w:p>
    <w:p>
      <w:pPr>
        <w:pStyle w:val="style0"/>
        <w:rPr/>
      </w:pPr>
      <w:r>
        <w:t>Chairperson, Institutional Review Board</w:t>
      </w:r>
    </w:p>
    <w:p>
      <w:pPr>
        <w:pStyle w:val="style0"/>
        <w:rPr/>
      </w:pPr>
      <w:r>
        <w:t>Radfan College University</w:t>
      </w:r>
    </w:p>
    <w:p>
      <w:pPr>
        <w:pStyle w:val="style0"/>
        <w:rPr/>
      </w:pPr>
      <w:r>
        <w:t>Date: 24 December 2024</w:t>
      </w:r>
    </w:p>
    <w:p>
      <w:pPr>
        <w:pStyle w:val="style0"/>
        <w:jc w:val="left"/>
        <w:rPr/>
      </w:pPr>
    </w:p>
    <w:p>
      <w:pPr>
        <w:pStyle w:val="style0"/>
        <w:rPr/>
      </w:pP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auto"/>
    <w:pitch w:val="variable"/>
    <w:sig w:usb0="E0002AFF" w:usb1="C0007841" w:usb2="00000009" w:usb3="00000000" w:csb0="000001FF" w:csb1="00000000"/>
  </w:font>
  <w:font w:name="Cambria">
    <w:altName w:val="Cambria"/>
    <w:panose1 w:val="02040503050000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0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0020204"/>
    <w:charset w:val="00"/>
    <w:family w:val="auto"/>
    <w:pitch w:val="variable"/>
    <w:sig w:usb0="E0002AFF" w:usb1="C0007843" w:usb2="00000009" w:usb3="00000000" w:csb0="000001FF" w:csb1="00000000"/>
  </w:font>
  <w:font w:name="宋体">
    <w:altName w:val="Wingdings 2"/>
    <w:panose1 w:val="05020102010007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Calibri" w:hAnsi="Calibri"/>
      <w:sz w:val="22"/>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fb518d81-aaa7-4e3b-86b7-0b10f713b7bc"/>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9729f4b-0dd4-4877-b2c7-6eb705ab781a"/>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658fabdf-eb1a-4796-b6d0-5e5e2754e436"/>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772a376a-de33-49a6-a0b6-23216a3ce598"/>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0699fc20-0351-4035-b167-0875c92e8ba1"/>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f283bd7b-fb5f-44f6-9a1d-893047256d7d"/>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33b35d4c-bcba-49ac-944f-7c7fa22f77f6"/>
    <w:basedOn w:val="style65"/>
    <w:next w:val="style4108"/>
    <w:link w:val="style180"/>
    <w:uiPriority w:val="29"/>
    <w:rPr>
      <w:i/>
      <w:iCs/>
      <w:color w:val="000000"/>
    </w:rPr>
  </w:style>
  <w:style w:type="character" w:customStyle="1" w:styleId="style4109">
    <w:name w:val="Heading 4 Char_f49674d1-2afd-4f12-bb2b-bff87a2d6090"/>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39f3670b-4ea5-4000-a760-7ec15c20c099"/>
    <w:basedOn w:val="style65"/>
    <w:next w:val="style4110"/>
    <w:link w:val="style5"/>
    <w:uiPriority w:val="9"/>
    <w:rPr>
      <w:rFonts w:ascii="Calibri" w:cs="宋体" w:eastAsia="ＭＳ ゴシック" w:hAnsi="Calibri"/>
      <w:color w:val="243f60"/>
    </w:rPr>
  </w:style>
  <w:style w:type="character" w:customStyle="1" w:styleId="style4111">
    <w:name w:val="Heading 6 Char_b081c375-6f64-4de6-9e13-e39bce5e5f7b"/>
    <w:basedOn w:val="style65"/>
    <w:next w:val="style4111"/>
    <w:link w:val="style6"/>
    <w:uiPriority w:val="9"/>
    <w:rPr>
      <w:rFonts w:ascii="Calibri" w:cs="宋体" w:eastAsia="ＭＳ ゴシック" w:hAnsi="Calibri"/>
      <w:i/>
      <w:iCs/>
      <w:color w:val="243f60"/>
    </w:rPr>
  </w:style>
  <w:style w:type="character" w:customStyle="1" w:styleId="style4112">
    <w:name w:val="Heading 7 Char_563d4e8a-04eb-48b6-999d-1c5d2233c162"/>
    <w:basedOn w:val="style65"/>
    <w:next w:val="style4112"/>
    <w:link w:val="style7"/>
    <w:uiPriority w:val="9"/>
    <w:rPr>
      <w:rFonts w:ascii="Calibri" w:cs="宋体" w:eastAsia="ＭＳ ゴシック" w:hAnsi="Calibri"/>
      <w:i/>
      <w:iCs/>
      <w:color w:val="404040"/>
    </w:rPr>
  </w:style>
  <w:style w:type="character" w:customStyle="1" w:styleId="style4113">
    <w:name w:val="Heading 8 Char_b5ae89b5-2023-46f2-a8a8-5628f38cd56b"/>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c6d92720-0e12-46de-850e-0993b2de6d0a"/>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21dba10d-630e-4046-8ef0-0e29e846f754"/>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2873</Words>
  <Pages>1</Pages>
  <Characters>17743</Characters>
  <Application>WPS Office</Application>
  <DocSecurity>0</DocSecurity>
  <Paragraphs>960</Paragraphs>
  <ScaleCrop>false</ScaleCrop>
  <LinksUpToDate>false</LinksUpToDate>
  <CharactersWithSpaces>19953</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٢٠١٣-١٢-٢٣T٢٣:١٥:٠٠Z</dcterms:created>
  <dc:creator>python-docx</dc:creator>
  <dc:description>generated by python-docx</dc:description>
  <lastModifiedBy>SM-G998U</lastModifiedBy>
  <dcterms:modified xsi:type="dcterms:W3CDTF">٢٠٢٦-٠٢-١٥T١٩:٥٦:٤٠Z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4e0f0bba01ed41abb7f955e55f2a5ee6</vt:lpwstr>
  </property>
</Properties>
</file>