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23DD" w14:textId="77777777" w:rsidR="0066570A" w:rsidRPr="0066570A" w:rsidRDefault="0066570A" w:rsidP="0066570A">
      <w:pPr>
        <w:rPr>
          <w:b/>
          <w:bCs/>
          <w:lang w:val="en-GB"/>
        </w:rPr>
      </w:pPr>
      <w:r w:rsidRPr="0066570A">
        <w:rPr>
          <w:b/>
          <w:bCs/>
          <w:lang w:val="en-US"/>
        </w:rPr>
        <w:t>Supplementary Tables</w:t>
      </w:r>
    </w:p>
    <w:p w14:paraId="78F88BD4" w14:textId="77777777" w:rsidR="0066570A" w:rsidRPr="0066570A" w:rsidRDefault="0066570A" w:rsidP="0066570A">
      <w:pPr>
        <w:rPr>
          <w:b/>
          <w:bCs/>
          <w:lang w:val="en-GB"/>
        </w:rPr>
      </w:pPr>
      <w:r w:rsidRPr="0066570A">
        <w:rPr>
          <w:b/>
          <w:bCs/>
          <w:lang w:val="en-US"/>
        </w:rPr>
        <w:t>Table S1: Detailed Baseline Characteristics by Governorate</w:t>
      </w:r>
    </w:p>
    <w:p w14:paraId="72194D35" w14:textId="77777777" w:rsidR="0066570A" w:rsidRPr="0066570A" w:rsidRDefault="0066570A" w:rsidP="0066570A">
      <w:pPr>
        <w:rPr>
          <w:lang w:val="en-GB"/>
        </w:rPr>
      </w:pPr>
      <w:r w:rsidRPr="0066570A">
        <w:rPr>
          <w:lang w:val="en-US"/>
        </w:rPr>
        <w:t>Demographic and clinical characteristics of study participants stratified by Al-</w:t>
      </w:r>
      <w:proofErr w:type="spellStart"/>
      <w:r w:rsidRPr="0066570A">
        <w:rPr>
          <w:lang w:val="en-US"/>
        </w:rPr>
        <w:t>Dhalea</w:t>
      </w:r>
      <w:proofErr w:type="spellEnd"/>
      <w:r w:rsidRPr="0066570A">
        <w:rPr>
          <w:lang w:val="en-US"/>
        </w:rPr>
        <w:t xml:space="preserve"> and Lahj governorates, including age, sex, fever status, prior antibiotic use, confirmed infection, hemoglobin levels, anemia prevalence, and healthcare facility type.</w:t>
      </w:r>
    </w:p>
    <w:p w14:paraId="4FB3DA92" w14:textId="77777777" w:rsidR="0066570A" w:rsidRPr="0066570A" w:rsidRDefault="0066570A" w:rsidP="0066570A">
      <w:pPr>
        <w:rPr>
          <w:b/>
          <w:bCs/>
          <w:lang w:val="en-US"/>
        </w:rPr>
      </w:pPr>
      <w:r w:rsidRPr="0066570A">
        <w:rPr>
          <w:b/>
          <w:bCs/>
          <w:lang w:val="en-US"/>
        </w:rPr>
        <w:t>Table S2: Diagnostic Performance of NLR and PLR at Different Cut-off Points</w:t>
      </w:r>
    </w:p>
    <w:p w14:paraId="41D4F7AB" w14:textId="77777777" w:rsidR="0066570A" w:rsidRPr="0066570A" w:rsidRDefault="0066570A" w:rsidP="0066570A">
      <w:pPr>
        <w:rPr>
          <w:lang w:val="en-GB"/>
        </w:rPr>
      </w:pPr>
      <w:r w:rsidRPr="0066570A">
        <w:rPr>
          <w:lang w:val="en-US"/>
        </w:rPr>
        <w:t>Sensitivity, specificity, positive predictive value (PPV), negative predictive value (NPV), positive likelihood ratio (LR+), negative likelihood ratio (LR-), and Youden Index for neutrophil-to-lymphocyte ratio (NLR) and platelet-to-lymphocyte ratio (PLR) across multiple cut-off values. Optimal cut-offs determined by maximum Youden Index are indicated with an asterisk.</w:t>
      </w:r>
    </w:p>
    <w:p w14:paraId="222E32CA" w14:textId="77777777" w:rsidR="0066570A" w:rsidRPr="0066570A" w:rsidRDefault="0066570A" w:rsidP="0066570A">
      <w:pPr>
        <w:rPr>
          <w:b/>
          <w:bCs/>
          <w:lang w:val="en-US"/>
        </w:rPr>
      </w:pPr>
      <w:r w:rsidRPr="0066570A">
        <w:rPr>
          <w:b/>
          <w:bCs/>
          <w:lang w:val="en-US"/>
        </w:rPr>
        <w:t>Table S3: Multivariable Logistic Regression Models - Stepwise and Full Model Analysis</w:t>
      </w:r>
    </w:p>
    <w:p w14:paraId="615F36CA" w14:textId="77777777" w:rsidR="0066570A" w:rsidRPr="0066570A" w:rsidRDefault="0066570A" w:rsidP="0066570A">
      <w:pPr>
        <w:rPr>
          <w:lang w:val="en-GB"/>
        </w:rPr>
      </w:pPr>
      <w:r w:rsidRPr="0066570A">
        <w:rPr>
          <w:lang w:val="en-US"/>
        </w:rPr>
        <w:t>Sequential model building approach showing Akaike Information Criterion (AIC), Nagelkerke R², and Hosmer-</w:t>
      </w:r>
      <w:proofErr w:type="spellStart"/>
      <w:r w:rsidRPr="0066570A">
        <w:rPr>
          <w:lang w:val="en-US"/>
        </w:rPr>
        <w:t>Lemeshow</w:t>
      </w:r>
      <w:proofErr w:type="spellEnd"/>
      <w:r w:rsidRPr="0066570A">
        <w:rPr>
          <w:lang w:val="en-US"/>
        </w:rPr>
        <w:t xml:space="preserve"> goodness-of-fit p-values for six regression models. Full model coefficients with adjusted odds ratios (</w:t>
      </w:r>
      <w:proofErr w:type="spellStart"/>
      <w:r w:rsidRPr="0066570A">
        <w:rPr>
          <w:lang w:val="en-US"/>
        </w:rPr>
        <w:t>aOR</w:t>
      </w:r>
      <w:proofErr w:type="spellEnd"/>
      <w:r w:rsidRPr="0066570A">
        <w:rPr>
          <w:lang w:val="en-US"/>
        </w:rPr>
        <w:t>) and 95% confidence intervals are presented for all predictors including NLR, PLR, RDW, hemoglobin, age, sex, and prior antibiotic use.</w:t>
      </w:r>
    </w:p>
    <w:p w14:paraId="1CC5C132" w14:textId="77777777" w:rsidR="0066570A" w:rsidRPr="0066570A" w:rsidRDefault="0066570A" w:rsidP="0066570A">
      <w:pPr>
        <w:rPr>
          <w:b/>
          <w:bCs/>
          <w:lang w:val="en-US"/>
        </w:rPr>
      </w:pPr>
      <w:r w:rsidRPr="0066570A">
        <w:rPr>
          <w:b/>
          <w:bCs/>
          <w:lang w:val="en-US"/>
        </w:rPr>
        <w:t>Table S4: Subgroup Analysis - Diagnostic Performance of NLR ≥3.0</w:t>
      </w:r>
    </w:p>
    <w:p w14:paraId="69915E86" w14:textId="77777777" w:rsidR="0066570A" w:rsidRPr="0066570A" w:rsidRDefault="0066570A" w:rsidP="0066570A">
      <w:pPr>
        <w:rPr>
          <w:lang w:val="en-GB"/>
        </w:rPr>
      </w:pPr>
      <w:r w:rsidRPr="0066570A">
        <w:rPr>
          <w:lang w:val="en-US"/>
        </w:rPr>
        <w:t>Stratified analysis of NLR diagnostic performance (sensitivity, specificity, AUC with 95% CI) by governorate (Al-</w:t>
      </w:r>
      <w:proofErr w:type="spellStart"/>
      <w:r w:rsidRPr="0066570A">
        <w:rPr>
          <w:lang w:val="en-US"/>
        </w:rPr>
        <w:t>Dhalea</w:t>
      </w:r>
      <w:proofErr w:type="spellEnd"/>
      <w:r w:rsidRPr="0066570A">
        <w:rPr>
          <w:lang w:val="en-US"/>
        </w:rPr>
        <w:t xml:space="preserve"> vs. Lahj), age group (&lt;18, 18-50, &gt;50 years), fever status (febrile vs. afebrile), and prior antibiotic use. P-values from DeLong test compare subgroup AUC to overall AUC.</w:t>
      </w:r>
    </w:p>
    <w:p w14:paraId="08E41FD6" w14:textId="77777777" w:rsidR="0066570A" w:rsidRPr="0066570A" w:rsidRDefault="0066570A" w:rsidP="0066570A">
      <w:pPr>
        <w:rPr>
          <w:b/>
          <w:bCs/>
          <w:lang w:val="en-US"/>
        </w:rPr>
      </w:pPr>
      <w:r w:rsidRPr="0066570A">
        <w:rPr>
          <w:b/>
          <w:bCs/>
          <w:lang w:val="en-US"/>
        </w:rPr>
        <w:t>Table S5: Comprehensive Cost-Effectiveness Analysis of Diagnostic Strategies</w:t>
      </w:r>
    </w:p>
    <w:p w14:paraId="32A61076" w14:textId="77777777" w:rsidR="0066570A" w:rsidRPr="0066570A" w:rsidRDefault="0066570A" w:rsidP="0066570A">
      <w:pPr>
        <w:rPr>
          <w:lang w:val="en-GB"/>
        </w:rPr>
      </w:pPr>
      <w:r w:rsidRPr="0066570A">
        <w:rPr>
          <w:lang w:val="en-US"/>
        </w:rPr>
        <w:t>Comparison of six diagnostic strategies including clinical judgment alone, CBC with NLR ≥3.0, malaria RDT only, microscopy only, RDT + CBC + NLR, and microscopy + CBC + NLR. Metrics include cost per test, sensitivity, specificity, cost per correct diagnosis, incremental cost per additional correct diagnosis, and DALYs averted per 1000 patients. Costs in USD based on Yemen healthcare facility pricing (2025).</w:t>
      </w:r>
    </w:p>
    <w:p w14:paraId="27D24FCB" w14:textId="77777777" w:rsidR="0066570A" w:rsidRPr="0066570A" w:rsidRDefault="0066570A" w:rsidP="0066570A">
      <w:pPr>
        <w:rPr>
          <w:b/>
          <w:bCs/>
          <w:lang w:val="en-US"/>
        </w:rPr>
      </w:pPr>
      <w:r w:rsidRPr="0066570A">
        <w:rPr>
          <w:b/>
          <w:bCs/>
          <w:lang w:val="en-US"/>
        </w:rPr>
        <w:t>Table S6: Sensitivity Analysis - Microscopy-Confirmed Malaria Only (n=189)</w:t>
      </w:r>
    </w:p>
    <w:p w14:paraId="4A4BD8D1" w14:textId="77777777" w:rsidR="0066570A" w:rsidRPr="0066570A" w:rsidRDefault="0066570A" w:rsidP="0066570A">
      <w:pPr>
        <w:rPr>
          <w:lang w:val="en-GB"/>
        </w:rPr>
      </w:pPr>
      <w:r w:rsidRPr="0066570A">
        <w:rPr>
          <w:lang w:val="en-US"/>
        </w:rPr>
        <w:t>Diagnostic performance of NLR, PLR, RDW, and hemoglobin restricted to microscopy-confirmed cases (gold standard). Includes median (IQR) values for infected vs. non-infected, p-values, AUC with 95% CI, optimal cut-offs, sensitivity, and specificity.</w:t>
      </w:r>
    </w:p>
    <w:p w14:paraId="5AC99AFF" w14:textId="77777777" w:rsidR="0066570A" w:rsidRPr="0066570A" w:rsidRDefault="0066570A" w:rsidP="0066570A">
      <w:pPr>
        <w:rPr>
          <w:b/>
          <w:bCs/>
          <w:lang w:val="en-US"/>
        </w:rPr>
      </w:pPr>
      <w:r w:rsidRPr="0066570A">
        <w:rPr>
          <w:b/>
          <w:bCs/>
          <w:lang w:val="en-US"/>
        </w:rPr>
        <w:t>Table S7: Post-Hoc Analysis - Combined NLR and PLR Model</w:t>
      </w:r>
    </w:p>
    <w:p w14:paraId="034C1703" w14:textId="77777777" w:rsidR="0066570A" w:rsidRPr="0066570A" w:rsidRDefault="0066570A" w:rsidP="0066570A">
      <w:pPr>
        <w:rPr>
          <w:lang w:val="en-GB"/>
        </w:rPr>
      </w:pPr>
      <w:r w:rsidRPr="0066570A">
        <w:rPr>
          <w:lang w:val="en-US"/>
        </w:rPr>
        <w:lastRenderedPageBreak/>
        <w:t>Risk stratification using combined NLR and PLR thresholds. Five risk categories (Low, Intermediate, High, Very High, and Inconsistent) with corresponding criteria, number of participants, infection rates, PPV, and NPV. Overall accuracy of combined model: AUC = 0.83 (95% CI: 0.79-0.87).</w:t>
      </w:r>
    </w:p>
    <w:p w14:paraId="191B708F" w14:textId="77777777" w:rsidR="0066570A" w:rsidRPr="0066570A" w:rsidRDefault="0066570A" w:rsidP="0066570A">
      <w:pPr>
        <w:rPr>
          <w:b/>
          <w:bCs/>
          <w:lang w:val="en-US"/>
        </w:rPr>
      </w:pPr>
      <w:r w:rsidRPr="0066570A">
        <w:rPr>
          <w:b/>
          <w:bCs/>
          <w:lang w:val="en-US"/>
        </w:rPr>
        <w:t>Table S8: Checklist for Diagnostic Accuracy Studies (STARD 2015)</w:t>
      </w:r>
    </w:p>
    <w:p w14:paraId="4CB9E6B5" w14:textId="77777777" w:rsidR="0066570A" w:rsidRPr="0066570A" w:rsidRDefault="0066570A" w:rsidP="0066570A">
      <w:pPr>
        <w:rPr>
          <w:lang w:val="en-GB"/>
        </w:rPr>
      </w:pPr>
      <w:r w:rsidRPr="0066570A">
        <w:rPr>
          <w:lang w:val="en-US"/>
        </w:rPr>
        <w:t>Completed STARD 2015 checklist with 23 items showing page numbers in manuscript and compliance status (Yes/NA).</w:t>
      </w:r>
    </w:p>
    <w:p w14:paraId="3B64307A"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70A"/>
    <w:rsid w:val="003E399A"/>
    <w:rsid w:val="0066570A"/>
    <w:rsid w:val="00767E38"/>
    <w:rsid w:val="00866F7D"/>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931F"/>
  <w15:chartTrackingRefBased/>
  <w15:docId w15:val="{A945C61F-5A36-42DD-873E-C0DCFAE1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7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7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7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7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7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70A"/>
    <w:rPr>
      <w:rFonts w:eastAsiaTheme="majorEastAsia" w:cstheme="majorBidi"/>
      <w:color w:val="272727" w:themeColor="text1" w:themeTint="D8"/>
    </w:rPr>
  </w:style>
  <w:style w:type="paragraph" w:styleId="Title">
    <w:name w:val="Title"/>
    <w:basedOn w:val="Normal"/>
    <w:next w:val="Normal"/>
    <w:link w:val="TitleChar"/>
    <w:uiPriority w:val="10"/>
    <w:qFormat/>
    <w:rsid w:val="00665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70A"/>
    <w:pPr>
      <w:spacing w:before="160"/>
      <w:jc w:val="center"/>
    </w:pPr>
    <w:rPr>
      <w:i/>
      <w:iCs/>
      <w:color w:val="404040" w:themeColor="text1" w:themeTint="BF"/>
    </w:rPr>
  </w:style>
  <w:style w:type="character" w:customStyle="1" w:styleId="QuoteChar">
    <w:name w:val="Quote Char"/>
    <w:basedOn w:val="DefaultParagraphFont"/>
    <w:link w:val="Quote"/>
    <w:uiPriority w:val="29"/>
    <w:rsid w:val="0066570A"/>
    <w:rPr>
      <w:i/>
      <w:iCs/>
      <w:color w:val="404040" w:themeColor="text1" w:themeTint="BF"/>
    </w:rPr>
  </w:style>
  <w:style w:type="paragraph" w:styleId="ListParagraph">
    <w:name w:val="List Paragraph"/>
    <w:basedOn w:val="Normal"/>
    <w:uiPriority w:val="34"/>
    <w:qFormat/>
    <w:rsid w:val="0066570A"/>
    <w:pPr>
      <w:ind w:left="720"/>
      <w:contextualSpacing/>
    </w:pPr>
  </w:style>
  <w:style w:type="character" w:styleId="IntenseEmphasis">
    <w:name w:val="Intense Emphasis"/>
    <w:basedOn w:val="DefaultParagraphFont"/>
    <w:uiPriority w:val="21"/>
    <w:qFormat/>
    <w:rsid w:val="0066570A"/>
    <w:rPr>
      <w:i/>
      <w:iCs/>
      <w:color w:val="0F4761" w:themeColor="accent1" w:themeShade="BF"/>
    </w:rPr>
  </w:style>
  <w:style w:type="paragraph" w:styleId="IntenseQuote">
    <w:name w:val="Intense Quote"/>
    <w:basedOn w:val="Normal"/>
    <w:next w:val="Normal"/>
    <w:link w:val="IntenseQuoteChar"/>
    <w:uiPriority w:val="30"/>
    <w:qFormat/>
    <w:rsid w:val="006657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70A"/>
    <w:rPr>
      <w:i/>
      <w:iCs/>
      <w:color w:val="0F4761" w:themeColor="accent1" w:themeShade="BF"/>
    </w:rPr>
  </w:style>
  <w:style w:type="character" w:styleId="IntenseReference">
    <w:name w:val="Intense Reference"/>
    <w:basedOn w:val="DefaultParagraphFont"/>
    <w:uiPriority w:val="32"/>
    <w:qFormat/>
    <w:rsid w:val="006657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2481</Characters>
  <Application>Microsoft Office Word</Application>
  <DocSecurity>0</DocSecurity>
  <Lines>20</Lines>
  <Paragraphs>5</Paragraphs>
  <ScaleCrop>false</ScaleCrop>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2026-04-22T15:18:00Z</dcterms:created>
  <dcterms:modified xsi:type="dcterms:W3CDTF">2026-04-22T15:18:00Z</dcterms:modified>
</cp:coreProperties>
</file>