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rPr>
          <w:rFonts w:hint="cs"/>
          <w:rtl/>
          <w:lang w:bidi="ar-DZ"/>
        </w:rPr>
      </w:pPr>
      <w:bookmarkStart w:id="0" w:name="_GoBack"/>
      <w:bookmarkEnd w:id="0"/>
      <w:r>
        <w:rPr>
          <w:rFonts w:hint="default"/>
          <w:lang w:val="en-US" w:bidi="ar-DZ"/>
        </w:rPr>
        <w:t>Supplementary Figures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17526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2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S1: Distribution of Haematological Indices by Infection Status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Distribution of haematological indices by infection status. Box plots display median (central line), interquartile range (box), and data range (whiskers). Statistical significance determined by Mann-Whitney U test (*p &lt; 0.001). Infected participants show significantly higher NLR and PLR, higher RDW, and lower hemoglobin compared to non-infected participants.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17526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2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S2: Multivariable Logistic Regression Forest Plot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Forest plot of multivariable logistic regression for predictors of confirmed infection. NLR shows the strongest association (aOR = 5.60, 95% CI: 3.87-8.11), followed by PLR (aOR = 3.40, 95% CI: 2.48-4.66). Other variables did not reach statistical significance. Dashed vertical line represents no effect (aOR = 1.0).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17526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2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S3: Subgroup Analysis - ROC Curves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Diagnostic performance of NLR and PLR across subgroups. Panels show ROC curves stratified by governorate (A-B) and age groups (C-D). NLR maintains consistently high AUC values across all subgroups (range: 0.80-0.82), demonstrating robust diagnostic performance regardless of geographical location or age.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262890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S4: Correlation Matrix Heatmap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Correlation matrix of study variables. Moderate positive correlation exists between NLR and PLR (r=0.45). Weaker correlations are observed among other variables. The absence of high multicollinearity (all |r| &lt; 0.7) supports independent inclusion in multivariable models. All correlations shown are statistically significant (p &lt; 0.05) except NLR-Age (p = 0.06).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262890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S5: Comparative Diagnostic Performance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Comparative diagnostic performance of NLR-based approaches versus existing diagnostic methods. The combined NLR+PLR model achieves AUC = 0.83, comparable to microscopy (AUC = 0.85, p = 0.35) and superior to RDT alone (AUC = 0.76, p = 0.01). NLR alone (AUC = 0.81) performs significantly better than RDT (p = 0.03).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0" distT="0" distB="0" distR="0">
            <wp:extent cx="2628900" cy="262890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Figure S6: Predictive Values Across Prevalence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default"/>
          <w:lang w:val="en-US" w:bidi="ar-DZ"/>
        </w:rPr>
        <w:t>Positive (PPV) and negative (NPV) predictive values of NLR ≥3.0 across different prevalence settings. At the study prevalence of 31% (dashed vertical line), PPV is 68% and NPV is 87%. The NPV remains above 80% for prevalence up to 40%, supporting the utility of NLR ≥3.0 as a reliable rule-out test across various epidemiological contexts in conflict-affected settings.</w:t>
      </w:r>
    </w:p>
    <w:p>
      <w:pPr>
        <w:pStyle w:val="style0"/>
        <w:bidi w:val="false"/>
        <w:rPr>
          <w:rFonts w:hint="cs"/>
          <w:rtl/>
          <w:lang w:bidi="ar-DZ"/>
        </w:rPr>
      </w:pPr>
      <w:r>
        <w:rPr/>
        <w:drawing>
          <wp:inline distL="114300" distT="0" distB="0" distR="114300">
            <wp:extent cx="2628900" cy="7428257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4282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FIGURE S7: COMPLETE CLINICAL DECISION ALGORITHM 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cs="Arial"/>
      <w:sz w:val="22"/>
      <w:szCs w:val="22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341</Words>
  <Characters>2060</Characters>
  <Application>WPS Office</Application>
  <Paragraphs>21</Paragraphs>
  <CharactersWithSpaces>2388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٢٠٢٦-٠١-٢٤T١٠:٥٧:٤١Z</dcterms:created>
  <dc:creator>SM-G998U</dc:creator>
  <lastModifiedBy>SM-G998U</lastModifiedBy>
  <dcterms:modified xsi:type="dcterms:W3CDTF">٢٠٢٦-٠١-٢٤T٢٠:٠٢:١٢Z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f56399a4e2c44f50ac12129da275c243</vt:lpwstr>
  </property>
</Properties>
</file>