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D6D0E" w14:textId="77777777" w:rsidR="007821E9" w:rsidRPr="00A64D02" w:rsidRDefault="00000000">
      <w:pPr>
        <w:spacing w:after="156"/>
        <w:jc w:val="center"/>
        <w:rPr>
          <w:rFonts w:cs="Times New Roman"/>
          <w:b/>
          <w:bCs/>
          <w:sz w:val="24"/>
          <w:szCs w:val="24"/>
        </w:rPr>
      </w:pPr>
      <w:r w:rsidRPr="00A64D02">
        <w:rPr>
          <w:rFonts w:cs="Times New Roman"/>
          <w:b/>
          <w:bCs/>
          <w:sz w:val="24"/>
          <w:szCs w:val="24"/>
        </w:rPr>
        <w:t>Supplementary information</w:t>
      </w:r>
    </w:p>
    <w:sdt>
      <w:sdtPr>
        <w:rPr>
          <w:rFonts w:ascii="Times New Roman" w:eastAsiaTheme="minorEastAsia" w:hAnsi="Times New Roman" w:cs="Times New Roman"/>
          <w:color w:val="auto"/>
          <w:kern w:val="2"/>
          <w:sz w:val="22"/>
          <w:szCs w:val="22"/>
          <w:lang w:val="zh-CN"/>
        </w:rPr>
        <w:id w:val="1064299117"/>
        <w:docPartObj>
          <w:docPartGallery w:val="Table of Contents"/>
          <w:docPartUnique/>
        </w:docPartObj>
      </w:sdtPr>
      <w:sdtEndPr>
        <w:rPr>
          <w:b/>
          <w:bCs/>
        </w:rPr>
      </w:sdtEndPr>
      <w:sdtContent>
        <w:p w14:paraId="2A4D8436" w14:textId="77777777" w:rsidR="007821E9" w:rsidRPr="00A64D02" w:rsidRDefault="00000000">
          <w:pPr>
            <w:pStyle w:val="TOC10"/>
            <w:spacing w:after="156"/>
            <w:rPr>
              <w:rFonts w:ascii="Times New Roman" w:hAnsi="Times New Roman" w:cs="Times New Roman"/>
              <w:color w:val="auto"/>
            </w:rPr>
          </w:pPr>
          <w:r w:rsidRPr="00A64D02">
            <w:rPr>
              <w:rFonts w:ascii="Times New Roman" w:hAnsi="Times New Roman" w:cs="Times New Roman"/>
              <w:color w:val="auto"/>
              <w:lang w:val="zh-CN"/>
            </w:rPr>
            <w:t>Content</w:t>
          </w:r>
        </w:p>
        <w:p w14:paraId="42386D36" w14:textId="0219BB06" w:rsidR="00A64D02" w:rsidRPr="00A64D02" w:rsidRDefault="00000000">
          <w:pPr>
            <w:pStyle w:val="TOC1"/>
            <w:tabs>
              <w:tab w:val="right" w:leader="dot" w:pos="8296"/>
            </w:tabs>
            <w:rPr>
              <w:rFonts w:ascii="Times New Roman" w:hAnsi="Times New Roman"/>
              <w:noProof/>
              <w:kern w:val="2"/>
              <w:szCs w:val="24"/>
              <w14:ligatures w14:val="standardContextual"/>
            </w:rPr>
          </w:pPr>
          <w:r w:rsidRPr="00A64D02">
            <w:rPr>
              <w:rFonts w:ascii="Times New Roman" w:hAnsi="Times New Roman"/>
            </w:rPr>
            <w:fldChar w:fldCharType="begin"/>
          </w:r>
          <w:r w:rsidRPr="00A64D02">
            <w:rPr>
              <w:rFonts w:ascii="Times New Roman" w:hAnsi="Times New Roman"/>
            </w:rPr>
            <w:instrText xml:space="preserve"> TOC \o "1-3" \h \z \u </w:instrText>
          </w:r>
          <w:r w:rsidRPr="00A64D02">
            <w:rPr>
              <w:rFonts w:ascii="Times New Roman" w:hAnsi="Times New Roman"/>
            </w:rPr>
            <w:fldChar w:fldCharType="separate"/>
          </w:r>
          <w:hyperlink w:anchor="_Toc224453521" w:history="1">
            <w:r w:rsidR="00A64D02" w:rsidRPr="00A64D02">
              <w:rPr>
                <w:rStyle w:val="a8"/>
                <w:rFonts w:ascii="Times New Roman" w:hAnsi="Times New Roman"/>
                <w:noProof/>
              </w:rPr>
              <w:t>Methods</w:t>
            </w:r>
            <w:r w:rsidR="00A64D02" w:rsidRPr="00A64D02">
              <w:rPr>
                <w:rFonts w:ascii="Times New Roman" w:hAnsi="Times New Roman"/>
                <w:noProof/>
                <w:webHidden/>
              </w:rPr>
              <w:tab/>
            </w:r>
            <w:r w:rsidR="00A64D02" w:rsidRPr="00A64D02">
              <w:rPr>
                <w:rFonts w:ascii="Times New Roman" w:hAnsi="Times New Roman"/>
                <w:noProof/>
                <w:webHidden/>
              </w:rPr>
              <w:fldChar w:fldCharType="begin"/>
            </w:r>
            <w:r w:rsidR="00A64D02" w:rsidRPr="00A64D02">
              <w:rPr>
                <w:rFonts w:ascii="Times New Roman" w:hAnsi="Times New Roman"/>
                <w:noProof/>
                <w:webHidden/>
              </w:rPr>
              <w:instrText xml:space="preserve"> PAGEREF _Toc224453521 \h </w:instrText>
            </w:r>
            <w:r w:rsidR="00A64D02" w:rsidRPr="00A64D02">
              <w:rPr>
                <w:rFonts w:ascii="Times New Roman" w:hAnsi="Times New Roman"/>
                <w:noProof/>
                <w:webHidden/>
              </w:rPr>
            </w:r>
            <w:r w:rsidR="00A64D02" w:rsidRPr="00A64D02">
              <w:rPr>
                <w:rFonts w:ascii="Times New Roman" w:hAnsi="Times New Roman"/>
                <w:noProof/>
                <w:webHidden/>
              </w:rPr>
              <w:fldChar w:fldCharType="separate"/>
            </w:r>
            <w:r w:rsidR="00A64D02" w:rsidRPr="00A64D02">
              <w:rPr>
                <w:rFonts w:ascii="Times New Roman" w:hAnsi="Times New Roman"/>
                <w:noProof/>
                <w:webHidden/>
              </w:rPr>
              <w:t>1</w:t>
            </w:r>
            <w:r w:rsidR="00A64D02" w:rsidRPr="00A64D02">
              <w:rPr>
                <w:rFonts w:ascii="Times New Roman" w:hAnsi="Times New Roman"/>
                <w:noProof/>
                <w:webHidden/>
              </w:rPr>
              <w:fldChar w:fldCharType="end"/>
            </w:r>
          </w:hyperlink>
        </w:p>
        <w:p w14:paraId="09C27C39" w14:textId="1C745934"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2" w:history="1">
            <w:r w:rsidRPr="00A64D02">
              <w:rPr>
                <w:rStyle w:val="a8"/>
                <w:rFonts w:ascii="Times New Roman" w:hAnsi="Times New Roman"/>
                <w:noProof/>
              </w:rPr>
              <w:t>1 Biochar preparation</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_Toc224453522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1</w:t>
            </w:r>
            <w:r w:rsidRPr="00A64D02">
              <w:rPr>
                <w:rFonts w:ascii="Times New Roman" w:hAnsi="Times New Roman"/>
                <w:noProof/>
                <w:webHidden/>
              </w:rPr>
              <w:fldChar w:fldCharType="end"/>
            </w:r>
          </w:hyperlink>
        </w:p>
        <w:p w14:paraId="052454C0" w14:textId="2004D22F"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3" w:history="1">
            <w:r w:rsidRPr="00A64D02">
              <w:rPr>
                <w:rStyle w:val="a8"/>
                <w:rFonts w:ascii="Times New Roman" w:hAnsi="Times New Roman"/>
                <w:noProof/>
              </w:rPr>
              <w:t>2 Field experiment</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_Toc224453523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1</w:t>
            </w:r>
            <w:r w:rsidRPr="00A64D02">
              <w:rPr>
                <w:rFonts w:ascii="Times New Roman" w:hAnsi="Times New Roman"/>
                <w:noProof/>
                <w:webHidden/>
              </w:rPr>
              <w:fldChar w:fldCharType="end"/>
            </w:r>
          </w:hyperlink>
        </w:p>
        <w:p w14:paraId="5DD40C82" w14:textId="44D2A72A"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4" w:history="1">
            <w:r w:rsidRPr="00A64D02">
              <w:rPr>
                <w:rStyle w:val="a8"/>
                <w:rFonts w:ascii="Times New Roman" w:hAnsi="Times New Roman"/>
                <w:noProof/>
              </w:rPr>
              <w:t>3 Field measurements of CH</w:t>
            </w:r>
            <w:r w:rsidRPr="00A64D02">
              <w:rPr>
                <w:rStyle w:val="a8"/>
                <w:rFonts w:ascii="Times New Roman" w:hAnsi="Times New Roman"/>
                <w:noProof/>
                <w:vertAlign w:val="subscript"/>
              </w:rPr>
              <w:t>4</w:t>
            </w:r>
            <w:r w:rsidRPr="00A64D02">
              <w:rPr>
                <w:rStyle w:val="a8"/>
                <w:rFonts w:ascii="Times New Roman" w:hAnsi="Times New Roman"/>
                <w:noProof/>
              </w:rPr>
              <w:t xml:space="preserve"> flux</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_Toc224453524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2</w:t>
            </w:r>
            <w:r w:rsidRPr="00A64D02">
              <w:rPr>
                <w:rFonts w:ascii="Times New Roman" w:hAnsi="Times New Roman"/>
                <w:noProof/>
                <w:webHidden/>
              </w:rPr>
              <w:fldChar w:fldCharType="end"/>
            </w:r>
          </w:hyperlink>
        </w:p>
        <w:p w14:paraId="2AF0D15C" w14:textId="70559F33"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5" w:history="1">
            <w:r w:rsidRPr="00A64D02">
              <w:rPr>
                <w:rStyle w:val="a8"/>
                <w:rFonts w:ascii="Times New Roman" w:hAnsi="Times New Roman"/>
                <w:noProof/>
              </w:rPr>
              <w:t>4 DNA and RNA extraction</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_Toc224453525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2</w:t>
            </w:r>
            <w:r w:rsidRPr="00A64D02">
              <w:rPr>
                <w:rFonts w:ascii="Times New Roman" w:hAnsi="Times New Roman"/>
                <w:noProof/>
                <w:webHidden/>
              </w:rPr>
              <w:fldChar w:fldCharType="end"/>
            </w:r>
          </w:hyperlink>
        </w:p>
        <w:p w14:paraId="739C931B" w14:textId="0AE2969A" w:rsidR="00A64D02" w:rsidRPr="00A64D02" w:rsidRDefault="00A64D02">
          <w:pPr>
            <w:pStyle w:val="TOC1"/>
            <w:tabs>
              <w:tab w:val="right" w:leader="dot" w:pos="8296"/>
            </w:tabs>
            <w:rPr>
              <w:rFonts w:ascii="Times New Roman" w:hAnsi="Times New Roman"/>
              <w:noProof/>
              <w:kern w:val="2"/>
              <w:szCs w:val="24"/>
              <w14:ligatures w14:val="standardContextual"/>
            </w:rPr>
          </w:pPr>
          <w:hyperlink w:anchor="_Toc224453526" w:history="1">
            <w:r w:rsidRPr="00A64D02">
              <w:rPr>
                <w:rStyle w:val="a8"/>
                <w:rFonts w:ascii="Times New Roman" w:hAnsi="Times New Roman"/>
                <w:noProof/>
              </w:rPr>
              <w:t>Result</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_Toc224453526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3</w:t>
            </w:r>
            <w:r w:rsidRPr="00A64D02">
              <w:rPr>
                <w:rFonts w:ascii="Times New Roman" w:hAnsi="Times New Roman"/>
                <w:noProof/>
                <w:webHidden/>
              </w:rPr>
              <w:fldChar w:fldCharType="end"/>
            </w:r>
          </w:hyperlink>
        </w:p>
        <w:p w14:paraId="58C46719" w14:textId="03A584EC"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7" w:history="1">
            <w:r w:rsidRPr="00A64D02">
              <w:rPr>
                <w:rStyle w:val="a8"/>
                <w:rFonts w:ascii="Times New Roman" w:hAnsi="Times New Roman"/>
                <w:noProof/>
              </w:rPr>
              <w:t>1 The Long-Term Methanogenic and Methanotrophic Activity Variation</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_Toc224453527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3</w:t>
            </w:r>
            <w:r w:rsidRPr="00A64D02">
              <w:rPr>
                <w:rFonts w:ascii="Times New Roman" w:hAnsi="Times New Roman"/>
                <w:noProof/>
                <w:webHidden/>
              </w:rPr>
              <w:fldChar w:fldCharType="end"/>
            </w:r>
          </w:hyperlink>
        </w:p>
        <w:p w14:paraId="01B40054" w14:textId="2834E8E8"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8" w:history="1">
            <w:r w:rsidRPr="00A64D02">
              <w:rPr>
                <w:rStyle w:val="a8"/>
                <w:rFonts w:ascii="Times New Roman" w:hAnsi="Times New Roman"/>
                <w:noProof/>
              </w:rPr>
              <w:t>2 Soil Physicochemical Divergence</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_Toc224453528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3</w:t>
            </w:r>
            <w:r w:rsidRPr="00A64D02">
              <w:rPr>
                <w:rFonts w:ascii="Times New Roman" w:hAnsi="Times New Roman"/>
                <w:noProof/>
                <w:webHidden/>
              </w:rPr>
              <w:fldChar w:fldCharType="end"/>
            </w:r>
          </w:hyperlink>
        </w:p>
        <w:p w14:paraId="717D4C9C" w14:textId="40A1FE9D" w:rsidR="00A64D02" w:rsidRPr="00A64D02" w:rsidRDefault="00A64D02">
          <w:pPr>
            <w:pStyle w:val="TOC2"/>
            <w:tabs>
              <w:tab w:val="right" w:leader="dot" w:pos="8296"/>
            </w:tabs>
            <w:rPr>
              <w:rFonts w:ascii="Times New Roman" w:hAnsi="Times New Roman"/>
              <w:noProof/>
              <w:kern w:val="2"/>
              <w:szCs w:val="24"/>
              <w14:ligatures w14:val="standardContextual"/>
            </w:rPr>
          </w:pPr>
          <w:hyperlink w:anchor="_Toc224453529" w:history="1">
            <w:r w:rsidRPr="00A64D02">
              <w:rPr>
                <w:rStyle w:val="a8"/>
                <w:rFonts w:ascii="Times New Roman" w:hAnsi="Times New Roman"/>
                <w:noProof/>
              </w:rPr>
              <w:t>3 Ammonia Inhibition on Methanotrophic Activity</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_Toc224453529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4</w:t>
            </w:r>
            <w:r w:rsidRPr="00A64D02">
              <w:rPr>
                <w:rFonts w:ascii="Times New Roman" w:hAnsi="Times New Roman"/>
                <w:noProof/>
                <w:webHidden/>
              </w:rPr>
              <w:fldChar w:fldCharType="end"/>
            </w:r>
          </w:hyperlink>
        </w:p>
        <w:p w14:paraId="6EF1026B" w14:textId="36C637C6" w:rsidR="00A64D02" w:rsidRPr="00A64D02" w:rsidRDefault="00A64D02">
          <w:pPr>
            <w:pStyle w:val="TOC1"/>
            <w:tabs>
              <w:tab w:val="right" w:leader="dot" w:pos="8296"/>
            </w:tabs>
            <w:rPr>
              <w:rFonts w:ascii="Times New Roman" w:hAnsi="Times New Roman"/>
              <w:noProof/>
              <w:kern w:val="2"/>
              <w:szCs w:val="24"/>
              <w14:ligatures w14:val="standardContextual"/>
            </w:rPr>
          </w:pPr>
          <w:hyperlink w:anchor="_Toc224453530" w:history="1">
            <w:r w:rsidRPr="00A64D02">
              <w:rPr>
                <w:rStyle w:val="a8"/>
                <w:rFonts w:ascii="Times New Roman" w:hAnsi="Times New Roman"/>
                <w:noProof/>
              </w:rPr>
              <w:t>Tables</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_Toc224453530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4</w:t>
            </w:r>
            <w:r w:rsidRPr="00A64D02">
              <w:rPr>
                <w:rFonts w:ascii="Times New Roman" w:hAnsi="Times New Roman"/>
                <w:noProof/>
                <w:webHidden/>
              </w:rPr>
              <w:fldChar w:fldCharType="end"/>
            </w:r>
          </w:hyperlink>
        </w:p>
        <w:p w14:paraId="2EF6BC7B" w14:textId="2824336F" w:rsidR="00A64D02" w:rsidRPr="00A64D02" w:rsidRDefault="00A64D02">
          <w:pPr>
            <w:pStyle w:val="TOC1"/>
            <w:tabs>
              <w:tab w:val="right" w:leader="dot" w:pos="8296"/>
            </w:tabs>
            <w:rPr>
              <w:rFonts w:ascii="Times New Roman" w:hAnsi="Times New Roman"/>
              <w:noProof/>
              <w:kern w:val="2"/>
              <w:szCs w:val="24"/>
              <w14:ligatures w14:val="standardContextual"/>
            </w:rPr>
          </w:pPr>
          <w:hyperlink w:anchor="_Toc224453531" w:history="1">
            <w:r w:rsidRPr="00A64D02">
              <w:rPr>
                <w:rStyle w:val="a8"/>
                <w:rFonts w:ascii="Times New Roman" w:hAnsi="Times New Roman"/>
                <w:noProof/>
              </w:rPr>
              <w:t>Figures</w:t>
            </w:r>
            <w:r w:rsidRPr="00A64D02">
              <w:rPr>
                <w:rFonts w:ascii="Times New Roman" w:hAnsi="Times New Roman"/>
                <w:noProof/>
                <w:webHidden/>
              </w:rPr>
              <w:tab/>
            </w:r>
            <w:r w:rsidRPr="00A64D02">
              <w:rPr>
                <w:rFonts w:ascii="Times New Roman" w:hAnsi="Times New Roman"/>
                <w:noProof/>
                <w:webHidden/>
              </w:rPr>
              <w:fldChar w:fldCharType="begin"/>
            </w:r>
            <w:r w:rsidRPr="00A64D02">
              <w:rPr>
                <w:rFonts w:ascii="Times New Roman" w:hAnsi="Times New Roman"/>
                <w:noProof/>
                <w:webHidden/>
              </w:rPr>
              <w:instrText xml:space="preserve"> PAGEREF _Toc224453531 \h </w:instrText>
            </w:r>
            <w:r w:rsidRPr="00A64D02">
              <w:rPr>
                <w:rFonts w:ascii="Times New Roman" w:hAnsi="Times New Roman"/>
                <w:noProof/>
                <w:webHidden/>
              </w:rPr>
            </w:r>
            <w:r w:rsidRPr="00A64D02">
              <w:rPr>
                <w:rFonts w:ascii="Times New Roman" w:hAnsi="Times New Roman"/>
                <w:noProof/>
                <w:webHidden/>
              </w:rPr>
              <w:fldChar w:fldCharType="separate"/>
            </w:r>
            <w:r w:rsidRPr="00A64D02">
              <w:rPr>
                <w:rFonts w:ascii="Times New Roman" w:hAnsi="Times New Roman"/>
                <w:noProof/>
                <w:webHidden/>
              </w:rPr>
              <w:t>5</w:t>
            </w:r>
            <w:r w:rsidRPr="00A64D02">
              <w:rPr>
                <w:rFonts w:ascii="Times New Roman" w:hAnsi="Times New Roman"/>
                <w:noProof/>
                <w:webHidden/>
              </w:rPr>
              <w:fldChar w:fldCharType="end"/>
            </w:r>
          </w:hyperlink>
        </w:p>
        <w:p w14:paraId="7A52A0C8" w14:textId="4AA98D08" w:rsidR="007821E9" w:rsidRPr="00A64D02" w:rsidRDefault="00000000">
          <w:pPr>
            <w:spacing w:after="156"/>
            <w:rPr>
              <w:rFonts w:cs="Times New Roman"/>
            </w:rPr>
          </w:pPr>
          <w:r w:rsidRPr="00A64D02">
            <w:rPr>
              <w:rFonts w:cs="Times New Roman"/>
              <w:b/>
              <w:bCs/>
              <w:lang w:val="zh-CN"/>
            </w:rPr>
            <w:fldChar w:fldCharType="end"/>
          </w:r>
        </w:p>
      </w:sdtContent>
    </w:sdt>
    <w:p w14:paraId="4EEF1D94" w14:textId="77777777" w:rsidR="007821E9" w:rsidRPr="00A64D02" w:rsidRDefault="00000000">
      <w:pPr>
        <w:pStyle w:val="1"/>
        <w:rPr>
          <w:rFonts w:cs="Times New Roman"/>
        </w:rPr>
      </w:pPr>
      <w:bookmarkStart w:id="0" w:name="_Toc224453521"/>
      <w:r w:rsidRPr="00A64D02">
        <w:rPr>
          <w:rFonts w:cs="Times New Roman"/>
        </w:rPr>
        <w:t>Methods</w:t>
      </w:r>
      <w:bookmarkEnd w:id="0"/>
    </w:p>
    <w:p w14:paraId="464E9999" w14:textId="77777777" w:rsidR="007821E9" w:rsidRPr="00A64D02" w:rsidRDefault="00000000">
      <w:pPr>
        <w:pStyle w:val="2"/>
        <w:rPr>
          <w:rFonts w:cs="Times New Roman"/>
        </w:rPr>
      </w:pPr>
      <w:bookmarkStart w:id="1" w:name="_Toc224453522"/>
      <w:r w:rsidRPr="00A64D02">
        <w:rPr>
          <w:rFonts w:cs="Times New Roman"/>
        </w:rPr>
        <w:t>1 Biochar preparation</w:t>
      </w:r>
      <w:bookmarkEnd w:id="1"/>
    </w:p>
    <w:p w14:paraId="50674C76" w14:textId="77777777" w:rsidR="007821E9" w:rsidRPr="00A64D02" w:rsidRDefault="00000000">
      <w:pPr>
        <w:spacing w:after="156"/>
        <w:rPr>
          <w:rFonts w:cs="Times New Roman"/>
        </w:rPr>
      </w:pPr>
      <w:r w:rsidRPr="00A64D02">
        <w:rPr>
          <w:rFonts w:cs="Times New Roman"/>
        </w:rPr>
        <w:t>Rice straw harvested from local paddy fields was used as the feedstock for biochar production. The straw was cut into 10 - 20 mm segments before being fed into a self-constructed automatic carbonization system. Under limited oxygen conditions, the straw was pyrolyzed at 500</w:t>
      </w:r>
      <w:r w:rsidRPr="00A64D02">
        <w:rPr>
          <w:rFonts w:eastAsia="宋体" w:cs="Times New Roman"/>
        </w:rPr>
        <w:t>℃</w:t>
      </w:r>
      <w:r w:rsidRPr="00A64D02">
        <w:rPr>
          <w:rFonts w:cs="Times New Roman"/>
        </w:rPr>
        <w:t xml:space="preserve"> for 2 hours (Nan et al., 2020b). After cooling to room temperature, the biochar was stored in a sealed container for later incorporation into the paddy soil. The physicochemical properties of the soil and biochar, along with the corresponding measurement methods, are provided in Tab. S1.</w:t>
      </w:r>
    </w:p>
    <w:p w14:paraId="25ED2874" w14:textId="77777777" w:rsidR="007821E9" w:rsidRPr="00A64D02" w:rsidRDefault="00000000">
      <w:pPr>
        <w:pStyle w:val="2"/>
        <w:rPr>
          <w:rFonts w:cs="Times New Roman"/>
        </w:rPr>
      </w:pPr>
      <w:bookmarkStart w:id="2" w:name="_Toc224453523"/>
      <w:r w:rsidRPr="00A64D02">
        <w:rPr>
          <w:rFonts w:cs="Times New Roman"/>
        </w:rPr>
        <w:t>2 Field experiment</w:t>
      </w:r>
      <w:bookmarkEnd w:id="2"/>
    </w:p>
    <w:p w14:paraId="1635BEF6" w14:textId="77777777" w:rsidR="007821E9" w:rsidRPr="00A64D02" w:rsidRDefault="00000000">
      <w:pPr>
        <w:spacing w:after="156"/>
        <w:rPr>
          <w:rFonts w:cs="Times New Roman"/>
        </w:rPr>
      </w:pPr>
      <w:r w:rsidRPr="00A64D02">
        <w:rPr>
          <w:rFonts w:cs="Times New Roman"/>
        </w:rPr>
        <w:t>The experimental field was located in the Yuhang District, Hangzhou City, Zhejiang Province (N30°22′ E119°51′). The field soil was classified as a clay loam. The field was used as a conventional paddy before the experiment. The climate is a typical subtropical monsoon climate with an annual average temperature of 17.2 °C and rainfall of 1490 mm. The soil total C and N contents were 2.13 % and 0.28 %, respectively. The soil pH was 5.1, and the CEC was 8.91 </w:t>
      </w:r>
      <w:proofErr w:type="spellStart"/>
      <w:r w:rsidRPr="00A64D02">
        <w:rPr>
          <w:rFonts w:cs="Times New Roman"/>
        </w:rPr>
        <w:t>cmol</w:t>
      </w:r>
      <w:proofErr w:type="spellEnd"/>
      <w:r w:rsidRPr="00A64D02">
        <w:rPr>
          <w:rFonts w:cs="Times New Roman"/>
        </w:rPr>
        <w:t xml:space="preserve"> kg</w:t>
      </w:r>
      <w:r w:rsidRPr="00A64D02">
        <w:rPr>
          <w:rFonts w:cs="Times New Roman"/>
          <w:vertAlign w:val="superscript"/>
        </w:rPr>
        <w:t>-1</w:t>
      </w:r>
      <w:r w:rsidRPr="00A64D02">
        <w:rPr>
          <w:rFonts w:cs="Times New Roman"/>
        </w:rPr>
        <w:t>. The soil had available nutrients including 7.3 mg P kg</w:t>
      </w:r>
      <w:r w:rsidRPr="00A64D02">
        <w:rPr>
          <w:rFonts w:cs="Times New Roman"/>
          <w:vertAlign w:val="superscript"/>
        </w:rPr>
        <w:t>-1</w:t>
      </w:r>
      <w:r w:rsidRPr="00A64D02">
        <w:rPr>
          <w:rFonts w:cs="Times New Roman"/>
        </w:rPr>
        <w:t xml:space="preserve"> and 77.6 mg K kg</w:t>
      </w:r>
      <w:r w:rsidRPr="00A64D02">
        <w:rPr>
          <w:rFonts w:cs="Times New Roman"/>
          <w:vertAlign w:val="superscript"/>
        </w:rPr>
        <w:t>-1</w:t>
      </w:r>
      <w:r w:rsidRPr="00A64D02">
        <w:rPr>
          <w:rFonts w:cs="Times New Roman"/>
        </w:rPr>
        <w:t>. The soil-specific surface area was 35.0 m</w:t>
      </w:r>
      <w:r w:rsidRPr="00A64D02">
        <w:rPr>
          <w:rFonts w:cs="Times New Roman"/>
          <w:vertAlign w:val="superscript"/>
        </w:rPr>
        <w:t>2</w:t>
      </w:r>
      <w:r w:rsidRPr="00A64D02">
        <w:rPr>
          <w:rFonts w:cs="Times New Roman"/>
        </w:rPr>
        <w:t> g</w:t>
      </w:r>
      <w:r w:rsidRPr="00A64D02">
        <w:rPr>
          <w:rFonts w:cs="Times New Roman"/>
          <w:vertAlign w:val="superscript"/>
        </w:rPr>
        <w:t>-1</w:t>
      </w:r>
      <w:r w:rsidRPr="00A64D02">
        <w:rPr>
          <w:rFonts w:cs="Times New Roman"/>
        </w:rPr>
        <w:t xml:space="preserve">. </w:t>
      </w:r>
    </w:p>
    <w:p w14:paraId="26EBAE86" w14:textId="77777777" w:rsidR="007821E9" w:rsidRPr="00A64D02" w:rsidRDefault="00000000">
      <w:pPr>
        <w:spacing w:after="156"/>
        <w:rPr>
          <w:rFonts w:eastAsia="等线" w:cs="Times New Roman"/>
        </w:rPr>
      </w:pPr>
      <w:r w:rsidRPr="00A64D02">
        <w:rPr>
          <w:rFonts w:cs="Times New Roman"/>
        </w:rPr>
        <w:t>We designed three scena</w:t>
      </w:r>
      <w:r w:rsidRPr="00A64D02">
        <w:rPr>
          <w:rFonts w:eastAsia="等线" w:cs="Times New Roman"/>
        </w:rPr>
        <w:t xml:space="preserve">rios, RS, AL, and HS, to explore different biochar and rice straw application methods in paddy fields. </w:t>
      </w:r>
    </w:p>
    <w:p w14:paraId="3A930546" w14:textId="77777777" w:rsidR="007821E9" w:rsidRPr="00A64D02" w:rsidRDefault="00000000">
      <w:pPr>
        <w:spacing w:after="156"/>
        <w:rPr>
          <w:rFonts w:cs="Times New Roman"/>
        </w:rPr>
      </w:pPr>
      <w:r w:rsidRPr="00A64D02">
        <w:rPr>
          <w:rFonts w:eastAsia="等线" w:cs="Times New Roman"/>
          <w:b/>
          <w:bCs/>
        </w:rPr>
        <w:t>RS (Rice Straw):</w:t>
      </w:r>
      <w:r w:rsidRPr="00A64D02">
        <w:rPr>
          <w:rFonts w:eastAsia="等线" w:cs="Times New Roman"/>
        </w:rPr>
        <w:t xml:space="preserve"> This scenario involves an annual application of 8 t ha</w:t>
      </w:r>
      <w:r w:rsidRPr="00A64D02">
        <w:rPr>
          <w:rFonts w:eastAsia="等线" w:cs="Times New Roman"/>
          <w:vertAlign w:val="superscript"/>
        </w:rPr>
        <w:t>-1</w:t>
      </w:r>
      <w:r w:rsidRPr="00A64D02">
        <w:rPr>
          <w:rFonts w:eastAsia="等线" w:cs="Times New Roman"/>
        </w:rPr>
        <w:t xml:space="preserve"> of rice straw biomass, corresponding to the </w:t>
      </w:r>
      <w:r w:rsidRPr="00A64D02">
        <w:rPr>
          <w:rFonts w:cs="Times New Roman"/>
        </w:rPr>
        <w:t xml:space="preserve">national annual rice straw output. This method represents the self-produced and self-consumed application of straw, where the straw produced from each hectare </w:t>
      </w:r>
      <w:r w:rsidRPr="00A64D02">
        <w:rPr>
          <w:rFonts w:cs="Times New Roman"/>
        </w:rPr>
        <w:lastRenderedPageBreak/>
        <w:t xml:space="preserve">of rice cultivation is returned to the same field. </w:t>
      </w:r>
    </w:p>
    <w:p w14:paraId="353E29EB" w14:textId="77777777" w:rsidR="007821E9" w:rsidRPr="00A64D02" w:rsidRDefault="00000000">
      <w:pPr>
        <w:spacing w:after="156"/>
        <w:rPr>
          <w:rFonts w:cs="Times New Roman"/>
        </w:rPr>
      </w:pPr>
      <w:r w:rsidRPr="00A64D02">
        <w:rPr>
          <w:rFonts w:cs="Times New Roman"/>
          <w:b/>
          <w:bCs/>
        </w:rPr>
        <w:t>AL (Annual Low):</w:t>
      </w:r>
      <w:r w:rsidRPr="00A64D02">
        <w:rPr>
          <w:rFonts w:cs="Times New Roman"/>
        </w:rPr>
        <w:t xml:space="preserve"> In this sce</w:t>
      </w:r>
      <w:r w:rsidRPr="00A64D02">
        <w:rPr>
          <w:rFonts w:eastAsia="等线" w:cs="Times New Roman"/>
        </w:rPr>
        <w:t>nario, the biomass from RS is converted to biochar, resulting in an annual production of 2.8 t ha</w:t>
      </w:r>
      <w:r w:rsidRPr="00A64D02">
        <w:rPr>
          <w:rFonts w:eastAsia="等线" w:cs="Times New Roman"/>
          <w:vertAlign w:val="superscript"/>
        </w:rPr>
        <w:t>-1</w:t>
      </w:r>
      <w:r w:rsidRPr="00A64D02">
        <w:rPr>
          <w:rFonts w:eastAsia="等线" w:cs="Times New Roman"/>
        </w:rPr>
        <w:t xml:space="preserve"> of biochar. Both RS and AL involve the same biomass input but differ in the form of application—straw in RS and biochar in AL. This also represents a self-produced and self-consumed method</w:t>
      </w:r>
      <w:r w:rsidRPr="00A64D02">
        <w:rPr>
          <w:rFonts w:cs="Times New Roman"/>
        </w:rPr>
        <w:t>, ensuring that the biomass from each hectare of rice cultivation is utilized in the same field.</w:t>
      </w:r>
    </w:p>
    <w:p w14:paraId="2CDAEDE5" w14:textId="77777777" w:rsidR="007821E9" w:rsidRPr="00A64D02" w:rsidRDefault="00000000">
      <w:pPr>
        <w:spacing w:after="156"/>
        <w:rPr>
          <w:rFonts w:cs="Times New Roman"/>
        </w:rPr>
      </w:pPr>
      <w:r w:rsidRPr="00A64D02">
        <w:rPr>
          <w:rFonts w:cs="Times New Roman"/>
          <w:b/>
          <w:bCs/>
        </w:rPr>
        <w:t xml:space="preserve">HS (High Single): </w:t>
      </w:r>
      <w:r w:rsidRPr="00A64D02">
        <w:rPr>
          <w:rFonts w:cs="Times New Roman"/>
        </w:rPr>
        <w:t xml:space="preserve">This scenario involves a one-time application of 22.8 </w:t>
      </w:r>
      <w:r w:rsidRPr="00A64D02">
        <w:rPr>
          <w:rFonts w:eastAsia="等线" w:cs="Times New Roman"/>
        </w:rPr>
        <w:t>t ha</w:t>
      </w:r>
      <w:r w:rsidRPr="00A64D02">
        <w:rPr>
          <w:rFonts w:eastAsia="等线" w:cs="Times New Roman"/>
          <w:vertAlign w:val="superscript"/>
        </w:rPr>
        <w:t>-1</w:t>
      </w:r>
      <w:r w:rsidRPr="00A64D02">
        <w:rPr>
          <w:rFonts w:cs="Times New Roman"/>
        </w:rPr>
        <w:t xml:space="preserve"> biochar, which is a popular application</w:t>
      </w:r>
      <w:r w:rsidRPr="00A64D02">
        <w:rPr>
          <w:rFonts w:eastAsia="等线" w:cs="Times New Roman"/>
        </w:rPr>
        <w:t xml:space="preserve"> rate (1%). This rate equals 8 years of biochar application in the AL scenario. Therefore, to apply biochar to 1 hectare of paddy field at this rate, the biomass from 7 additional hectares is required. These 7 hectares will not have biochar applied in that year. In subsequent years, the biomass from these 7 hectares can be converted to biochar a</w:t>
      </w:r>
      <w:r w:rsidRPr="00A64D02">
        <w:rPr>
          <w:rFonts w:cs="Times New Roman"/>
        </w:rPr>
        <w:t>nd applied to other hectares in a rotational manner. Essentially, the HS scenario distributes biochar application over time, rather than applying it all simultaneously.</w:t>
      </w:r>
    </w:p>
    <w:p w14:paraId="65E535A4" w14:textId="77777777" w:rsidR="007821E9" w:rsidRPr="00A64D02" w:rsidRDefault="00000000">
      <w:pPr>
        <w:spacing w:after="156"/>
        <w:rPr>
          <w:rFonts w:eastAsia="等线" w:cs="Times New Roman"/>
        </w:rPr>
      </w:pPr>
      <w:r w:rsidRPr="00A64D02">
        <w:rPr>
          <w:rFonts w:eastAsia="等线" w:cs="Times New Roman"/>
        </w:rPr>
        <w:t>Using conventional rice planting without biochar or biomass application for baseline treatment CK. In the 8-year field experiment, the experimental area and agricultural management were consistent across all treatments. Additionally, the total amount of rice straw incorporation was the same for the RS, AL, and HS scenarios.</w:t>
      </w:r>
    </w:p>
    <w:p w14:paraId="2547D169" w14:textId="77777777" w:rsidR="007821E9" w:rsidRPr="00A64D02" w:rsidRDefault="00000000">
      <w:pPr>
        <w:pStyle w:val="2"/>
        <w:rPr>
          <w:rFonts w:cs="Times New Roman"/>
        </w:rPr>
      </w:pPr>
      <w:bookmarkStart w:id="3" w:name="_Toc224453524"/>
      <w:r w:rsidRPr="00A64D02">
        <w:rPr>
          <w:rFonts w:cs="Times New Roman"/>
        </w:rPr>
        <w:t>3 Field measurements of CH</w:t>
      </w:r>
      <w:r w:rsidRPr="00A64D02">
        <w:rPr>
          <w:rFonts w:cs="Times New Roman"/>
          <w:vertAlign w:val="subscript"/>
        </w:rPr>
        <w:t>4</w:t>
      </w:r>
      <w:r w:rsidRPr="00A64D02">
        <w:rPr>
          <w:rFonts w:cs="Times New Roman"/>
        </w:rPr>
        <w:t xml:space="preserve"> flux</w:t>
      </w:r>
      <w:bookmarkEnd w:id="3"/>
    </w:p>
    <w:p w14:paraId="4F397426" w14:textId="77777777" w:rsidR="007821E9" w:rsidRPr="00A64D02" w:rsidRDefault="00000000">
      <w:pPr>
        <w:spacing w:after="156"/>
        <w:rPr>
          <w:rFonts w:cs="Times New Roman"/>
        </w:rPr>
      </w:pPr>
      <w:r w:rsidRPr="00A64D02">
        <w:rPr>
          <w:rFonts w:cs="Times New Roman"/>
        </w:rPr>
        <w:t xml:space="preserve">Gas samples have been collected between 2015 and 2022. The static chamber method was used for methane monitoring. </w:t>
      </w:r>
      <w:bookmarkStart w:id="4" w:name="_Hlk175330091"/>
      <w:r w:rsidRPr="00A64D02">
        <w:rPr>
          <w:rFonts w:cs="Times New Roman"/>
        </w:rPr>
        <w:t xml:space="preserve">Each chamber consisted of a permanent base (55 × 55 × 12 cm), a lower frame (55 × 55 × 60 cm), and an upper frame (55 × 55 × 60 cm), accommodating nine seedlings per plot. A small fan (10 × 10 cm) in the upper cover ensured gas mixing, while a vacuum pump at the center of the cover facilitated gas sampling. The sampling was conducted at 9 o’clock in the morning according to Zheng et. al </w:t>
      </w:r>
      <w:r w:rsidRPr="00A64D02">
        <w:rPr>
          <w:rFonts w:cs="Times New Roman"/>
        </w:rPr>
        <w:fldChar w:fldCharType="begin"/>
      </w:r>
      <w:r w:rsidRPr="00A64D02">
        <w:rPr>
          <w:rFonts w:cs="Times New Roman"/>
        </w:rPr>
        <w:instrText xml:space="preserve"> ADDIN EN.CITE &lt;EndNote&gt;&lt;Cite&gt;&lt;Author&gt;Xunhua&lt;/Author&gt;&lt;Year&gt;1998&lt;/Year&gt;&lt;RecNum&gt;60&lt;/RecNum&gt;&lt;DisplayText&gt;&lt;style face="superscript"&gt;35&lt;/style&gt;&lt;/DisplayText&gt;&lt;record&gt;&lt;rec-number&gt;60&lt;/rec-number&gt;&lt;foreign-keys&gt;&lt;key app="EN" db-id="0xfpt05r8e9wzrewxpcp5wf0tfx0xzzdezpv" timestamp="1722484344"&gt;60&lt;/key&gt;&lt;/foreign-keys&gt;&lt;ref-type name="Journal Article"&gt;17&lt;/ref-type&gt;&lt;contributors&gt;&lt;authors&gt;&lt;author&gt;Xunhua, Zheng&lt;/author&gt;&lt;author&gt;Mingxing, Wang&lt;/author&gt;&lt;author&gt;Yuesi, Wang&lt;/author&gt;&lt;author&gt;Renxing, Shen&lt;/author&gt;&lt;author&gt;Jing, Li&lt;/author&gt;&lt;author&gt;Heyer, J.&lt;/author&gt;&lt;author&gt;Kogge, M.&lt;/author&gt;&lt;author&gt;Laotu, Li&lt;/author&gt;&lt;author&gt;Jisheng, Jin&lt;/author&gt;&lt;/authors&gt;&lt;/contributors&gt;&lt;titles&gt;&lt;title&gt;Comparison of manual and automatic methods for measurement of methane emission from rice paddy fields&lt;/title&gt;&lt;secondary-title&gt;Advances in Atmospheric Sciences&lt;/secondary-title&gt;&lt;short-title&gt;Adv. Atmos. Sci.&lt;/short-title&gt;&lt;/titles&gt;&lt;periodical&gt;&lt;full-title&gt;Advances in Atmospheric Sciences&lt;/full-title&gt;&lt;abbr-1&gt;Adv. Atmos. Sci.&lt;/abbr-1&gt;&lt;/periodical&gt;&lt;pages&gt;569-579&lt;/pages&gt;&lt;volume&gt;15&lt;/volume&gt;&lt;number&gt;4&lt;/number&gt;&lt;dates&gt;&lt;year&gt;1998&lt;/year&gt;&lt;pub-dates&gt;&lt;date&gt;1998/12/01&lt;/date&gt;&lt;/pub-dates&gt;&lt;/dates&gt;&lt;isbn&gt;1861-9533&lt;/isbn&gt;&lt;urls&gt;&lt;related-urls&gt;&lt;url&gt;https://doi.org/10.1007/s00376-998-0033-5&lt;/url&gt;&lt;/related-urls&gt;&lt;/urls&gt;&lt;/record&gt;&lt;/Cite&gt;&lt;/EndNote&gt;</w:instrText>
      </w:r>
      <w:r w:rsidRPr="00A64D02">
        <w:rPr>
          <w:rFonts w:cs="Times New Roman"/>
        </w:rPr>
        <w:fldChar w:fldCharType="separate"/>
      </w:r>
      <w:r w:rsidRPr="00A64D02">
        <w:rPr>
          <w:rFonts w:cs="Times New Roman"/>
          <w:vertAlign w:val="superscript"/>
        </w:rPr>
        <w:t>35</w:t>
      </w:r>
      <w:r w:rsidRPr="00A64D02">
        <w:rPr>
          <w:rFonts w:cs="Times New Roman"/>
        </w:rPr>
        <w:fldChar w:fldCharType="end"/>
      </w:r>
      <w:r w:rsidRPr="00A64D02">
        <w:rPr>
          <w:rFonts w:cs="Times New Roman"/>
        </w:rPr>
        <w:t>. The gas concentrations during this period are representative of the daily average. Three replicates were collected for each sample.</w:t>
      </w:r>
      <w:bookmarkEnd w:id="4"/>
      <w:r w:rsidRPr="00A64D02">
        <w:rPr>
          <w:rFonts w:cs="Times New Roman"/>
        </w:rPr>
        <w:t xml:space="preserve"> CH</w:t>
      </w:r>
      <w:r w:rsidRPr="00A64D02">
        <w:rPr>
          <w:rFonts w:cs="Times New Roman"/>
          <w:vertAlign w:val="subscript"/>
        </w:rPr>
        <w:t>4</w:t>
      </w:r>
      <w:r w:rsidRPr="00A64D02">
        <w:rPr>
          <w:rFonts w:cs="Times New Roman"/>
        </w:rPr>
        <w:t xml:space="preserve"> fluxes were analyzed using a gas chromatograph (Shimadzu 14B, Japan). Cumulative CH</w:t>
      </w:r>
      <w:r w:rsidRPr="00A64D02">
        <w:rPr>
          <w:rFonts w:cs="Times New Roman"/>
          <w:vertAlign w:val="subscript"/>
        </w:rPr>
        <w:t>4</w:t>
      </w:r>
      <w:r w:rsidRPr="00A64D02">
        <w:rPr>
          <w:rFonts w:cs="Times New Roman"/>
        </w:rPr>
        <w:t xml:space="preserve"> emissions were calculated using the area integration method of CH</w:t>
      </w:r>
      <w:r w:rsidRPr="00A64D02">
        <w:rPr>
          <w:rFonts w:cs="Times New Roman"/>
          <w:vertAlign w:val="subscript"/>
        </w:rPr>
        <w:t>4</w:t>
      </w:r>
      <w:r w:rsidRPr="00A64D02">
        <w:rPr>
          <w:rFonts w:cs="Times New Roman"/>
        </w:rPr>
        <w:t xml:space="preserve"> fluxes. The emission rates (F) of CH</w:t>
      </w:r>
      <w:r w:rsidRPr="00A64D02">
        <w:rPr>
          <w:rFonts w:cs="Times New Roman"/>
          <w:vertAlign w:val="subscript"/>
        </w:rPr>
        <w:t>4</w:t>
      </w:r>
      <w:r w:rsidRPr="00A64D02">
        <w:rPr>
          <w:rFonts w:cs="Times New Roman"/>
        </w:rPr>
        <w:t xml:space="preserve"> were determined through the following calculation:</w:t>
      </w:r>
    </w:p>
    <w:p w14:paraId="6A29A8D3" w14:textId="77777777" w:rsidR="007821E9" w:rsidRPr="00A64D02" w:rsidRDefault="00000000">
      <w:pPr>
        <w:spacing w:after="156"/>
        <w:rPr>
          <w:rFonts w:cs="Times New Roman"/>
        </w:rPr>
      </w:pPr>
      <m:oMathPara>
        <m:oMath>
          <m:r>
            <w:rPr>
              <w:rFonts w:ascii="Cambria Math" w:hAnsi="Cambria Math" w:cs="Times New Roman"/>
            </w:rPr>
            <m:t>F=ρ×</m:t>
          </m:r>
          <m:f>
            <m:fPr>
              <m:ctrlPr>
                <w:rPr>
                  <w:rFonts w:ascii="Cambria Math" w:hAnsi="Cambria Math" w:cs="Times New Roman"/>
                </w:rPr>
              </m:ctrlPr>
            </m:fPr>
            <m:num>
              <m:r>
                <w:rPr>
                  <w:rFonts w:ascii="Cambria Math" w:hAnsi="Cambria Math" w:cs="Times New Roman"/>
                </w:rPr>
                <m:t>V</m:t>
              </m:r>
            </m:num>
            <m:den>
              <m:r>
                <w:rPr>
                  <w:rFonts w:ascii="Cambria Math" w:hAnsi="Cambria Math" w:cs="Times New Roman"/>
                </w:rPr>
                <m:t>A</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dc</m:t>
              </m:r>
            </m:num>
            <m:den>
              <m:r>
                <w:rPr>
                  <w:rFonts w:ascii="Cambria Math" w:hAnsi="Cambria Math" w:cs="Times New Roman"/>
                </w:rPr>
                <m:t>dt</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273</m:t>
              </m:r>
            </m:num>
            <m:den>
              <m:r>
                <w:rPr>
                  <w:rFonts w:ascii="Cambria Math" w:hAnsi="Cambria Math" w:cs="Times New Roman"/>
                </w:rPr>
                <m:t>273+T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1013</m:t>
              </m:r>
            </m:den>
          </m:f>
        </m:oMath>
      </m:oMathPara>
    </w:p>
    <w:p w14:paraId="5B3E8A61" w14:textId="77777777" w:rsidR="007821E9" w:rsidRPr="00A64D02" w:rsidRDefault="00000000">
      <w:pPr>
        <w:spacing w:after="156"/>
        <w:rPr>
          <w:rFonts w:cs="Times New Roman"/>
        </w:rPr>
      </w:pPr>
      <w:r w:rsidRPr="00A64D02">
        <w:rPr>
          <w:rFonts w:cs="Times New Roman"/>
        </w:rPr>
        <w:t xml:space="preserve">where, </w:t>
      </w:r>
      <m:oMath>
        <m:r>
          <w:rPr>
            <w:rFonts w:ascii="Cambria Math" w:hAnsi="Cambria Math" w:cs="Times New Roman"/>
          </w:rPr>
          <m:t>ρ</m:t>
        </m:r>
      </m:oMath>
      <w:r w:rsidRPr="00A64D02">
        <w:rPr>
          <w:rFonts w:cs="Times New Roman"/>
        </w:rPr>
        <w:t>, CH</w:t>
      </w:r>
      <w:r w:rsidRPr="00A64D02">
        <w:rPr>
          <w:rFonts w:cs="Times New Roman"/>
          <w:vertAlign w:val="subscript"/>
        </w:rPr>
        <w:t>4</w:t>
      </w:r>
      <w:r w:rsidRPr="00A64D02">
        <w:rPr>
          <w:rFonts w:cs="Times New Roman"/>
        </w:rPr>
        <w:t xml:space="preserve"> density, 10.14 g cm</w:t>
      </w:r>
      <w:r w:rsidRPr="00A64D02">
        <w:rPr>
          <w:rFonts w:cs="Times New Roman"/>
          <w:vertAlign w:val="superscript"/>
        </w:rPr>
        <w:t>-1</w:t>
      </w:r>
      <w:r w:rsidRPr="00A64D02">
        <w:rPr>
          <w:rFonts w:cs="Times New Roman"/>
        </w:rPr>
        <w:t xml:space="preserve"> at 273 K and 101.3 kPa, V, the chamber volume, L, A, enclosed surface area, m</w:t>
      </w:r>
      <w:r w:rsidRPr="00A64D02">
        <w:rPr>
          <w:rFonts w:cs="Times New Roman"/>
          <w:vertAlign w:val="superscript"/>
        </w:rPr>
        <w:t>2</w:t>
      </w:r>
      <w:r w:rsidRPr="00A64D02">
        <w:rPr>
          <w:rFonts w:cs="Times New Roman"/>
        </w:rPr>
        <w:t>, dc/dt, change of CH</w:t>
      </w:r>
      <w:r w:rsidRPr="00A64D02">
        <w:rPr>
          <w:rFonts w:cs="Times New Roman"/>
          <w:vertAlign w:val="subscript"/>
        </w:rPr>
        <w:t>4</w:t>
      </w:r>
      <w:r w:rsidRPr="00A64D02">
        <w:rPr>
          <w:rFonts w:cs="Times New Roman"/>
        </w:rPr>
        <w:t xml:space="preserve"> concentration per hour, T, the average temperature in the sampling box during sampling, P, the atmospheric pressure of the sampling point, 1013 kPa.</w:t>
      </w:r>
    </w:p>
    <w:p w14:paraId="094FA261" w14:textId="77777777" w:rsidR="007821E9" w:rsidRPr="00A64D02" w:rsidRDefault="00000000">
      <w:pPr>
        <w:pStyle w:val="2"/>
        <w:rPr>
          <w:rFonts w:cs="Times New Roman"/>
        </w:rPr>
      </w:pPr>
      <w:bookmarkStart w:id="5" w:name="_Toc224453525"/>
      <w:r w:rsidRPr="00A64D02">
        <w:rPr>
          <w:rFonts w:cs="Times New Roman"/>
        </w:rPr>
        <w:t>4 DNA and RNA extraction</w:t>
      </w:r>
      <w:bookmarkEnd w:id="5"/>
    </w:p>
    <w:p w14:paraId="4F150F5F" w14:textId="77777777" w:rsidR="007821E9" w:rsidRPr="00A64D02" w:rsidRDefault="00000000">
      <w:pPr>
        <w:spacing w:after="156"/>
        <w:rPr>
          <w:rFonts w:cs="Times New Roman"/>
        </w:rPr>
      </w:pPr>
      <w:r w:rsidRPr="00A64D02">
        <w:rPr>
          <w:rFonts w:cs="Times New Roman"/>
        </w:rPr>
        <w:t>Total genomic DNA was extracted from paddy soil samples using the Mag-Bind® Soil DNA Kit (Omega Bio-</w:t>
      </w:r>
      <w:proofErr w:type="spellStart"/>
      <w:r w:rsidRPr="00A64D02">
        <w:rPr>
          <w:rFonts w:cs="Times New Roman"/>
        </w:rPr>
        <w:t>tek</w:t>
      </w:r>
      <w:proofErr w:type="spellEnd"/>
      <w:r w:rsidRPr="00A64D02">
        <w:rPr>
          <w:rFonts w:cs="Times New Roman"/>
        </w:rPr>
        <w:t xml:space="preserve">, Norcross, GA, U.S.) according to manufacturer’s instructions. Concentration and purity of extracted DNA was determined with TBS-380 and NanoDrop2000, respectively. DNA extract quality was checked on 1% agarose gel. DNA extract was fragmented to an average size of about 350 bp using Covaris M220 (Gene Company Limited, China) for paired-end library construction. Paired-end library was constructed using NEXTFLEX Rapid </w:t>
      </w:r>
      <w:r w:rsidRPr="00A64D02">
        <w:rPr>
          <w:rFonts w:cs="Times New Roman"/>
        </w:rPr>
        <w:lastRenderedPageBreak/>
        <w:t>DNA-Seq (</w:t>
      </w:r>
      <w:proofErr w:type="spellStart"/>
      <w:r w:rsidRPr="00A64D02">
        <w:rPr>
          <w:rFonts w:cs="Times New Roman"/>
        </w:rPr>
        <w:t>Bioo</w:t>
      </w:r>
      <w:proofErr w:type="spellEnd"/>
      <w:r w:rsidRPr="00A64D02">
        <w:rPr>
          <w:rFonts w:cs="Times New Roman"/>
        </w:rPr>
        <w:t xml:space="preserve"> Scientific, Austin, TX, USA). Adapters containing the full complement of sequencing primer hybridization sites were ligated to the blunt-end of fragments. Paired-end sequencing was performed on Illumina </w:t>
      </w:r>
      <w:proofErr w:type="spellStart"/>
      <w:r w:rsidRPr="00A64D02">
        <w:rPr>
          <w:rFonts w:cs="Times New Roman"/>
        </w:rPr>
        <w:t>NovaSeq</w:t>
      </w:r>
      <w:proofErr w:type="spellEnd"/>
      <w:r w:rsidRPr="00A64D02">
        <w:rPr>
          <w:rFonts w:cs="Times New Roman"/>
        </w:rPr>
        <w:t xml:space="preserve"> (Illumina Inc., San Diego, CA, USA) at </w:t>
      </w:r>
      <w:proofErr w:type="spellStart"/>
      <w:r w:rsidRPr="00A64D02">
        <w:rPr>
          <w:rFonts w:cs="Times New Roman"/>
        </w:rPr>
        <w:t>Majorbio</w:t>
      </w:r>
      <w:proofErr w:type="spellEnd"/>
      <w:r w:rsidRPr="00A64D02">
        <w:rPr>
          <w:rFonts w:cs="Times New Roman"/>
        </w:rPr>
        <w:t xml:space="preserve"> Bio-Pharm Technology Co., Ltd. (Shanghai, China) using </w:t>
      </w:r>
      <w:proofErr w:type="spellStart"/>
      <w:r w:rsidRPr="00A64D02">
        <w:rPr>
          <w:rFonts w:cs="Times New Roman"/>
        </w:rPr>
        <w:t>NovaSeq</w:t>
      </w:r>
      <w:proofErr w:type="spellEnd"/>
      <w:r w:rsidRPr="00A64D02">
        <w:rPr>
          <w:rFonts w:cs="Times New Roman"/>
        </w:rPr>
        <w:t xml:space="preserve"> 6000 S4 Reagent Kit v1.5 (300 cycles) according to the manufacturer’s instructions (www.illumina.com). </w:t>
      </w:r>
    </w:p>
    <w:p w14:paraId="75FB88D3" w14:textId="77777777" w:rsidR="007821E9" w:rsidRPr="00A64D02" w:rsidRDefault="00000000">
      <w:pPr>
        <w:spacing w:after="156"/>
        <w:rPr>
          <w:rFonts w:cs="Times New Roman"/>
        </w:rPr>
      </w:pPr>
      <w:r w:rsidRPr="00A64D02">
        <w:rPr>
          <w:rFonts w:cs="Times New Roman"/>
        </w:rPr>
        <w:t>Total RNA was isolated and purified using Soil RNA Extraction Kit (</w:t>
      </w:r>
      <w:proofErr w:type="spellStart"/>
      <w:r w:rsidRPr="00A64D02">
        <w:rPr>
          <w:rFonts w:cs="Times New Roman"/>
        </w:rPr>
        <w:t>Majorbio</w:t>
      </w:r>
      <w:proofErr w:type="spellEnd"/>
      <w:r w:rsidRPr="00A64D02">
        <w:rPr>
          <w:rFonts w:cs="Times New Roman"/>
        </w:rPr>
        <w:t xml:space="preserve">, shanghai, China) following the manufacturer's procedure. The integrity and quantity of the extracted RNA were measured with a </w:t>
      </w:r>
      <w:proofErr w:type="spellStart"/>
      <w:r w:rsidRPr="00A64D02">
        <w:rPr>
          <w:rFonts w:cs="Times New Roman"/>
        </w:rPr>
        <w:t>NanoDrop</w:t>
      </w:r>
      <w:proofErr w:type="spellEnd"/>
      <w:r w:rsidRPr="00A64D02">
        <w:rPr>
          <w:rFonts w:cs="Times New Roman"/>
        </w:rPr>
        <w:t xml:space="preserve"> 2000 spectrophotometer (</w:t>
      </w:r>
      <w:proofErr w:type="spellStart"/>
      <w:r w:rsidRPr="00A64D02">
        <w:rPr>
          <w:rFonts w:cs="Times New Roman"/>
        </w:rPr>
        <w:t>Thermo</w:t>
      </w:r>
      <w:proofErr w:type="spellEnd"/>
      <w:r w:rsidRPr="00A64D02">
        <w:rPr>
          <w:rFonts w:cs="Times New Roman"/>
        </w:rPr>
        <w:t xml:space="preserve"> Scientific, MA, USA) and an Agilent 5300 Bioanalyzer (Agilent Technologies, Palo Alto, CA, USA). The RNA was subjected to standard Illumina library preparation with an Illumina® Stranded mRNA Prep, Ligation (Illumina, San Diego, CA, USA), and rRNA was depleted using a </w:t>
      </w:r>
      <w:proofErr w:type="spellStart"/>
      <w:r w:rsidRPr="00A64D02">
        <w:rPr>
          <w:rFonts w:cs="Times New Roman"/>
        </w:rPr>
        <w:t>RiboCop</w:t>
      </w:r>
      <w:proofErr w:type="spellEnd"/>
      <w:r w:rsidRPr="00A64D02">
        <w:rPr>
          <w:rFonts w:cs="Times New Roman"/>
        </w:rPr>
        <w:t xml:space="preserve"> rRNA Depletion Kit for Mixed Bacterial Samples (</w:t>
      </w:r>
      <w:proofErr w:type="spellStart"/>
      <w:r w:rsidRPr="00A64D02">
        <w:rPr>
          <w:rFonts w:cs="Times New Roman"/>
        </w:rPr>
        <w:t>Lexogen</w:t>
      </w:r>
      <w:proofErr w:type="spellEnd"/>
      <w:r w:rsidRPr="00A64D02">
        <w:rPr>
          <w:rFonts w:cs="Times New Roman"/>
        </w:rPr>
        <w:t xml:space="preserve">, USA). Sequencing was performed on an Illumina Novaseq6000 sequencer (Illumina, San Diego, CA, USA) with paired-end sequencing method at </w:t>
      </w:r>
      <w:proofErr w:type="spellStart"/>
      <w:r w:rsidRPr="00A64D02">
        <w:rPr>
          <w:rFonts w:cs="Times New Roman"/>
        </w:rPr>
        <w:t>Majorbio</w:t>
      </w:r>
      <w:proofErr w:type="spellEnd"/>
      <w:r w:rsidRPr="00A64D02">
        <w:rPr>
          <w:rFonts w:cs="Times New Roman"/>
        </w:rPr>
        <w:t xml:space="preserve"> Bio-Pharm Technology Co., Ltd. (Shanghai, China).</w:t>
      </w:r>
    </w:p>
    <w:p w14:paraId="4DBCF446" w14:textId="77777777" w:rsidR="007821E9" w:rsidRPr="00A64D02" w:rsidRDefault="00000000">
      <w:pPr>
        <w:pStyle w:val="1"/>
        <w:spacing w:after="312"/>
        <w:rPr>
          <w:rFonts w:cs="Times New Roman"/>
        </w:rPr>
      </w:pPr>
      <w:bookmarkStart w:id="6" w:name="_Toc224453526"/>
      <w:r w:rsidRPr="00A64D02">
        <w:rPr>
          <w:rFonts w:cs="Times New Roman"/>
        </w:rPr>
        <w:t>Result</w:t>
      </w:r>
      <w:bookmarkEnd w:id="6"/>
    </w:p>
    <w:p w14:paraId="64F3F160" w14:textId="77777777" w:rsidR="007821E9" w:rsidRPr="00A64D02" w:rsidRDefault="00000000">
      <w:pPr>
        <w:pStyle w:val="2"/>
        <w:rPr>
          <w:rFonts w:cs="Times New Roman"/>
        </w:rPr>
      </w:pPr>
      <w:bookmarkStart w:id="7" w:name="_Toc224453527"/>
      <w:r w:rsidRPr="00A64D02">
        <w:rPr>
          <w:rFonts w:cs="Times New Roman"/>
        </w:rPr>
        <w:t>1 The Long-Term Methanogenic and Methanotrophic Activity Variation</w:t>
      </w:r>
      <w:bookmarkEnd w:id="7"/>
      <w:r w:rsidRPr="00A64D02">
        <w:rPr>
          <w:rFonts w:cs="Times New Roman"/>
        </w:rPr>
        <w:t xml:space="preserve"> </w:t>
      </w:r>
    </w:p>
    <w:p w14:paraId="7D7FE8CE" w14:textId="77777777" w:rsidR="007821E9" w:rsidRPr="00A64D02" w:rsidRDefault="00000000">
      <w:pPr>
        <w:spacing w:after="156"/>
        <w:rPr>
          <w:rFonts w:cs="Times New Roman"/>
        </w:rPr>
      </w:pPr>
      <w:r w:rsidRPr="00A64D02">
        <w:rPr>
          <w:rFonts w:cs="Times New Roman"/>
        </w:rPr>
        <w:t xml:space="preserve">The soil methanogenic and methanotrophic activities were measured over both long-term (12 years) and 7 years after (Fig. S1). For </w:t>
      </w:r>
      <w:r w:rsidRPr="00A64D02">
        <w:rPr>
          <w:rFonts w:cs="Times New Roman"/>
          <w:bCs/>
        </w:rPr>
        <w:t>methanogenic activity (the source)</w:t>
      </w:r>
      <w:r w:rsidRPr="00A64D02">
        <w:rPr>
          <w:rFonts w:cs="Times New Roman"/>
        </w:rPr>
        <w:t>, neither the HS nor AL exerted a significant impact compared to the control (CK) after 7 years or over the 12-year period (Fig. S1a, c). These results suggest that biochar amendment, regardless of its application mode or aging status, has a negligible effect on the intrinsic CH</w:t>
      </w:r>
      <w:r w:rsidRPr="00A64D02">
        <w:rPr>
          <w:rFonts w:cs="Times New Roman"/>
          <w:vertAlign w:val="subscript"/>
        </w:rPr>
        <w:t>4</w:t>
      </w:r>
      <w:r w:rsidRPr="00A64D02">
        <w:rPr>
          <w:rFonts w:cs="Times New Roman"/>
        </w:rPr>
        <w:t xml:space="preserve"> production potential of the soil.</w:t>
      </w:r>
    </w:p>
    <w:p w14:paraId="2F132D7C" w14:textId="77777777" w:rsidR="007821E9" w:rsidRPr="00A64D02" w:rsidRDefault="00000000">
      <w:pPr>
        <w:spacing w:after="156"/>
        <w:rPr>
          <w:rFonts w:cs="Times New Roman"/>
        </w:rPr>
      </w:pPr>
      <w:r w:rsidRPr="00A64D02">
        <w:rPr>
          <w:rFonts w:cs="Times New Roman"/>
        </w:rPr>
        <w:t>In contrast, methanotrophic activity (the sink) exhibited distinct, time-dependent responses to biochar aging. Long-term tracking revealed that while the HS treatment initially stimulated CH</w:t>
      </w:r>
      <w:r w:rsidRPr="00A64D02">
        <w:rPr>
          <w:rFonts w:cs="Times New Roman"/>
          <w:vertAlign w:val="subscript"/>
        </w:rPr>
        <w:t>4</w:t>
      </w:r>
      <w:r w:rsidRPr="00A64D02">
        <w:rPr>
          <w:rFonts w:cs="Times New Roman"/>
        </w:rPr>
        <w:t xml:space="preserve"> oxidation potential relative to CK, this enhancement was transient and attenuated over time, becoming non-significant in the later stages (Fig. S1b). However, the AL treatment sustained a robust methanotrophic potential, whose methanotrophic activity was significantly higher than those in both HS and CK treatments (Fig. S1d). Collectively, these findings indicate that CH</w:t>
      </w:r>
      <w:r w:rsidRPr="00A64D02">
        <w:rPr>
          <w:rFonts w:cs="Times New Roman"/>
          <w:vertAlign w:val="subscript"/>
        </w:rPr>
        <w:t>4</w:t>
      </w:r>
      <w:r w:rsidRPr="00A64D02">
        <w:rPr>
          <w:rFonts w:cs="Times New Roman"/>
        </w:rPr>
        <w:t xml:space="preserve"> oxidation process is the key process mitigating CH</w:t>
      </w:r>
      <w:r w:rsidRPr="00A64D02">
        <w:rPr>
          <w:rFonts w:cs="Times New Roman"/>
          <w:vertAlign w:val="subscript"/>
        </w:rPr>
        <w:t>4</w:t>
      </w:r>
      <w:r w:rsidRPr="00A64D02">
        <w:rPr>
          <w:rFonts w:cs="Times New Roman"/>
        </w:rPr>
        <w:t xml:space="preserve"> emission with biochar amendment.</w:t>
      </w:r>
    </w:p>
    <w:p w14:paraId="0DC4B143" w14:textId="77777777" w:rsidR="007821E9" w:rsidRPr="00A64D02" w:rsidRDefault="00000000">
      <w:pPr>
        <w:pStyle w:val="2"/>
        <w:rPr>
          <w:rFonts w:cs="Times New Roman"/>
        </w:rPr>
      </w:pPr>
      <w:bookmarkStart w:id="8" w:name="_Toc224453528"/>
      <w:r w:rsidRPr="00A64D02">
        <w:rPr>
          <w:rFonts w:cs="Times New Roman"/>
        </w:rPr>
        <w:t>2 Soil Physicochemical Divergence</w:t>
      </w:r>
      <w:bookmarkEnd w:id="8"/>
    </w:p>
    <w:p w14:paraId="4DD10831" w14:textId="77777777" w:rsidR="007821E9" w:rsidRPr="00A64D02" w:rsidRDefault="00000000">
      <w:pPr>
        <w:spacing w:after="156"/>
        <w:rPr>
          <w:rFonts w:cs="Times New Roman"/>
        </w:rPr>
      </w:pPr>
      <w:r w:rsidRPr="00A64D02">
        <w:rPr>
          <w:rFonts w:cs="Times New Roman"/>
        </w:rPr>
        <w:t xml:space="preserve">To determine the abiotic drivers underlying the observed microbial shifts we monitored the temporal dynamics of soil physicochemical properties across treatments during the rice growing season. </w:t>
      </w:r>
    </w:p>
    <w:p w14:paraId="67342A1F" w14:textId="77777777" w:rsidR="007821E9" w:rsidRPr="00A64D02" w:rsidRDefault="00000000">
      <w:pPr>
        <w:spacing w:after="156"/>
        <w:rPr>
          <w:rFonts w:cs="Times New Roman"/>
        </w:rPr>
      </w:pPr>
      <w:r w:rsidRPr="00A64D02">
        <w:rPr>
          <w:rFonts w:cs="Times New Roman"/>
        </w:rPr>
        <w:t>Continuous fresh biochar amendment in the AL treatment maintained a significantly (</w:t>
      </w:r>
      <w:r w:rsidRPr="00231DC2">
        <w:rPr>
          <w:rFonts w:cs="Times New Roman"/>
          <w:i/>
          <w:iCs/>
        </w:rPr>
        <w:t>p</w:t>
      </w:r>
      <w:r w:rsidRPr="00A64D02">
        <w:rPr>
          <w:rFonts w:cs="Times New Roman"/>
        </w:rPr>
        <w:t xml:space="preserve"> &lt; 0.05) lower soil bulk density (0.83 g cm </w:t>
      </w:r>
      <w:r w:rsidRPr="00A64D02">
        <w:rPr>
          <w:rFonts w:cs="Times New Roman"/>
          <w:vertAlign w:val="superscript"/>
        </w:rPr>
        <w:t>-3</w:t>
      </w:r>
      <w:r w:rsidRPr="00A64D02">
        <w:rPr>
          <w:rFonts w:cs="Times New Roman"/>
        </w:rPr>
        <w:t xml:space="preserve">) compared to CK (0.87 cm </w:t>
      </w:r>
      <w:r w:rsidRPr="00A64D02">
        <w:rPr>
          <w:rFonts w:cs="Times New Roman"/>
          <w:vertAlign w:val="superscript"/>
        </w:rPr>
        <w:t>-3</w:t>
      </w:r>
      <w:r w:rsidRPr="00A64D02">
        <w:rPr>
          <w:rFonts w:cs="Times New Roman"/>
        </w:rPr>
        <w:t xml:space="preserve">), which indicates a sustained improvement in soil porosity and aeration structure </w:t>
      </w:r>
      <w:r w:rsidRPr="00A64D02">
        <w:rPr>
          <w:rFonts w:cs="Times New Roman"/>
          <w:b/>
          <w:bCs/>
        </w:rPr>
        <w:t>(Fig. S2a)</w:t>
      </w:r>
      <w:r w:rsidRPr="00A64D02">
        <w:rPr>
          <w:rFonts w:cs="Times New Roman"/>
        </w:rPr>
        <w:t xml:space="preserve">. In contrast the soil bulk density in HS treatment rebounded to (0.95 cm </w:t>
      </w:r>
      <w:r w:rsidRPr="00A64D02">
        <w:rPr>
          <w:rFonts w:cs="Times New Roman"/>
          <w:vertAlign w:val="superscript"/>
        </w:rPr>
        <w:t>-3</w:t>
      </w:r>
      <w:r w:rsidRPr="00A64D02">
        <w:rPr>
          <w:rFonts w:cs="Times New Roman"/>
        </w:rPr>
        <w:t>), which is significantly (</w:t>
      </w:r>
      <w:r w:rsidRPr="00231DC2">
        <w:rPr>
          <w:rFonts w:cs="Times New Roman"/>
          <w:i/>
          <w:iCs/>
        </w:rPr>
        <w:t>p</w:t>
      </w:r>
      <w:r w:rsidRPr="00A64D02">
        <w:rPr>
          <w:rFonts w:cs="Times New Roman"/>
        </w:rPr>
        <w:t xml:space="preserve"> &lt; 0.05) higher even than CK after eight years of weathering confirming that the physical benefits of biochar are transient without replenishment. Chemically the aging process significantly altered NH</w:t>
      </w:r>
      <w:r w:rsidRPr="00A64D02">
        <w:rPr>
          <w:rFonts w:cs="Times New Roman"/>
          <w:vertAlign w:val="subscript"/>
        </w:rPr>
        <w:t>4</w:t>
      </w:r>
      <w:r w:rsidRPr="00A64D02">
        <w:rPr>
          <w:rFonts w:cs="Times New Roman"/>
          <w:vertAlign w:val="superscript"/>
        </w:rPr>
        <w:t>+</w:t>
      </w:r>
      <w:r w:rsidRPr="00A64D02">
        <w:rPr>
          <w:rFonts w:cs="Times New Roman"/>
        </w:rPr>
        <w:t xml:space="preserve"> and NO</w:t>
      </w:r>
      <w:r w:rsidRPr="00A64D02">
        <w:rPr>
          <w:rFonts w:cs="Times New Roman"/>
          <w:vertAlign w:val="subscript"/>
        </w:rPr>
        <w:t>3</w:t>
      </w:r>
      <w:r w:rsidRPr="00A64D02">
        <w:rPr>
          <w:rFonts w:cs="Times New Roman"/>
          <w:vertAlign w:val="superscript"/>
        </w:rPr>
        <w:t>-</w:t>
      </w:r>
      <w:r w:rsidRPr="00A64D02">
        <w:rPr>
          <w:rFonts w:cs="Times New Roman"/>
        </w:rPr>
        <w:t xml:space="preserve"> levels. Ammonium concentrations in the HS treatment were significantly (</w:t>
      </w:r>
      <w:r w:rsidRPr="00231DC2">
        <w:rPr>
          <w:rFonts w:cs="Times New Roman"/>
          <w:i/>
          <w:iCs/>
        </w:rPr>
        <w:t>p</w:t>
      </w:r>
      <w:r w:rsidRPr="00A64D02">
        <w:rPr>
          <w:rFonts w:cs="Times New Roman"/>
        </w:rPr>
        <w:t xml:space="preserve"> &lt; 0.05) maintained at higher levels (27.7 mg kg</w:t>
      </w:r>
      <w:r w:rsidRPr="00A64D02">
        <w:rPr>
          <w:rFonts w:cs="Times New Roman"/>
          <w:vertAlign w:val="superscript"/>
        </w:rPr>
        <w:t>-1</w:t>
      </w:r>
      <w:r w:rsidRPr="00A64D02">
        <w:rPr>
          <w:rFonts w:cs="Times New Roman"/>
        </w:rPr>
        <w:t>) compared to the AL (20.1 mg kg</w:t>
      </w:r>
      <w:r w:rsidRPr="00A64D02">
        <w:rPr>
          <w:rFonts w:cs="Times New Roman"/>
          <w:vertAlign w:val="superscript"/>
        </w:rPr>
        <w:t>-1</w:t>
      </w:r>
      <w:r w:rsidRPr="00A64D02">
        <w:rPr>
          <w:rFonts w:cs="Times New Roman"/>
        </w:rPr>
        <w:t>) and CK (22.8 mg kg</w:t>
      </w:r>
      <w:r w:rsidRPr="00A64D02">
        <w:rPr>
          <w:rFonts w:cs="Times New Roman"/>
          <w:vertAlign w:val="superscript"/>
        </w:rPr>
        <w:t>-1</w:t>
      </w:r>
      <w:r w:rsidRPr="00A64D02">
        <w:rPr>
          <w:rFonts w:cs="Times New Roman"/>
        </w:rPr>
        <w:t xml:space="preserve">) </w:t>
      </w:r>
      <w:r w:rsidRPr="00A64D02">
        <w:rPr>
          <w:rFonts w:cs="Times New Roman"/>
        </w:rPr>
        <w:lastRenderedPageBreak/>
        <w:t>(Supplementary Fig. S3b). Nitrate dynamics acted as a sensitive indicator of the soil redox status where the aerated niche in AL facilitated a significantly (</w:t>
      </w:r>
      <w:r w:rsidRPr="00231DC2">
        <w:rPr>
          <w:rFonts w:cs="Times New Roman"/>
          <w:i/>
          <w:iCs/>
        </w:rPr>
        <w:t>p</w:t>
      </w:r>
      <w:r w:rsidRPr="00A64D02">
        <w:rPr>
          <w:rFonts w:cs="Times New Roman"/>
        </w:rPr>
        <w:t xml:space="preserve"> &lt; 0.05) recovery of nitrate (4.0 mg kg</w:t>
      </w:r>
      <w:r w:rsidRPr="00A64D02">
        <w:rPr>
          <w:rFonts w:cs="Times New Roman"/>
          <w:vertAlign w:val="superscript"/>
        </w:rPr>
        <w:t>-1</w:t>
      </w:r>
      <w:r w:rsidRPr="00A64D02">
        <w:rPr>
          <w:rFonts w:cs="Times New Roman"/>
        </w:rPr>
        <w:t>, Fig. S3b) compared to HS (3.1 mg kg</w:t>
      </w:r>
      <w:r w:rsidRPr="00A64D02">
        <w:rPr>
          <w:rFonts w:cs="Times New Roman"/>
          <w:vertAlign w:val="superscript"/>
        </w:rPr>
        <w:t>-1</w:t>
      </w:r>
      <w:r w:rsidRPr="00A64D02">
        <w:rPr>
          <w:rFonts w:cs="Times New Roman"/>
        </w:rPr>
        <w:t>). Dissolved organic carbon (DOC) dynamics underscored the influence of substrate quality on the soil chemical environment. The fresh organic inputs in RS significantly (</w:t>
      </w:r>
      <w:r w:rsidRPr="00231DC2">
        <w:rPr>
          <w:rFonts w:cs="Times New Roman"/>
          <w:i/>
          <w:iCs/>
        </w:rPr>
        <w:t>p</w:t>
      </w:r>
      <w:r w:rsidRPr="00A64D02">
        <w:rPr>
          <w:rFonts w:cs="Times New Roman"/>
        </w:rPr>
        <w:t xml:space="preserve"> &lt; 0.05) enriched the labile carbon pool, maintaining DOC concentrations above 80 mg kg</w:t>
      </w:r>
      <w:r w:rsidRPr="00A64D02">
        <w:rPr>
          <w:rFonts w:cs="Times New Roman"/>
          <w:vertAlign w:val="superscript"/>
        </w:rPr>
        <w:t>-1</w:t>
      </w:r>
      <w:r w:rsidRPr="00A64D02">
        <w:rPr>
          <w:rFonts w:cs="Times New Roman"/>
        </w:rPr>
        <w:t xml:space="preserve">. In contrast, the DOC levels in AL and HS showed the comparable level with CK </w:t>
      </w:r>
      <w:r w:rsidRPr="00A64D02">
        <w:rPr>
          <w:rFonts w:cs="Times New Roman"/>
          <w:b/>
          <w:bCs/>
        </w:rPr>
        <w:t>(Fig. S3d)</w:t>
      </w:r>
      <w:r w:rsidRPr="00A64D02">
        <w:rPr>
          <w:rFonts w:cs="Times New Roman"/>
        </w:rPr>
        <w:t xml:space="preserve">. </w:t>
      </w:r>
    </w:p>
    <w:p w14:paraId="5740DDCC" w14:textId="77777777" w:rsidR="007821E9" w:rsidRPr="00A64D02" w:rsidRDefault="00000000">
      <w:pPr>
        <w:pStyle w:val="2"/>
        <w:rPr>
          <w:rFonts w:cs="Times New Roman"/>
        </w:rPr>
      </w:pPr>
      <w:bookmarkStart w:id="9" w:name="_Toc224453529"/>
      <w:r w:rsidRPr="00A64D02">
        <w:rPr>
          <w:rFonts w:cs="Times New Roman"/>
        </w:rPr>
        <w:t>3 Ammonia Inhibition on Methanotrophic Activity</w:t>
      </w:r>
      <w:bookmarkEnd w:id="9"/>
    </w:p>
    <w:p w14:paraId="6E89C295" w14:textId="77777777" w:rsidR="007821E9" w:rsidRPr="00A64D02" w:rsidRDefault="00000000">
      <w:pPr>
        <w:spacing w:after="156"/>
        <w:rPr>
          <w:rFonts w:cs="Times New Roman"/>
        </w:rPr>
      </w:pPr>
      <w:r w:rsidRPr="00A64D02">
        <w:rPr>
          <w:rFonts w:cs="Times New Roman"/>
        </w:rPr>
        <w:t>We conducted incubation assays across a gradient of NH</w:t>
      </w:r>
      <w:r w:rsidRPr="00A64D02">
        <w:rPr>
          <w:rFonts w:cs="Times New Roman"/>
          <w:vertAlign w:val="subscript"/>
        </w:rPr>
        <w:t>4</w:t>
      </w:r>
      <w:r w:rsidRPr="00A64D02">
        <w:rPr>
          <w:rFonts w:cs="Times New Roman"/>
          <w:vertAlign w:val="superscript"/>
        </w:rPr>
        <w:t>+</w:t>
      </w:r>
      <w:r w:rsidRPr="00A64D02">
        <w:rPr>
          <w:rFonts w:cs="Times New Roman"/>
        </w:rPr>
        <w:t xml:space="preserve"> concentrations relevant to our field conditions in 2021. Our field monitoring data indicated that NH</w:t>
      </w:r>
      <w:r w:rsidRPr="00A64D02">
        <w:rPr>
          <w:rFonts w:cs="Times New Roman"/>
          <w:vertAlign w:val="subscript"/>
        </w:rPr>
        <w:t>4</w:t>
      </w:r>
      <w:r w:rsidRPr="00A64D02">
        <w:rPr>
          <w:rFonts w:cs="Times New Roman"/>
          <w:vertAlign w:val="superscript"/>
        </w:rPr>
        <w:t>+</w:t>
      </w:r>
      <w:r w:rsidRPr="00A64D02">
        <w:rPr>
          <w:rFonts w:cs="Times New Roman"/>
        </w:rPr>
        <w:t xml:space="preserve"> levels in the HS treatment frequently exceeded 20 mg kg</w:t>
      </w:r>
      <w:r w:rsidRPr="00A64D02">
        <w:rPr>
          <w:rFonts w:cs="Times New Roman"/>
          <w:vertAlign w:val="superscript"/>
        </w:rPr>
        <w:t>-1</w:t>
      </w:r>
      <w:r w:rsidRPr="00A64D02">
        <w:rPr>
          <w:rFonts w:cs="Times New Roman"/>
        </w:rPr>
        <w:t>, whereas the AL and control treatments generally maintained levels below 15 mg kg</w:t>
      </w:r>
      <w:r w:rsidRPr="00A64D02">
        <w:rPr>
          <w:rFonts w:cs="Times New Roman"/>
          <w:vertAlign w:val="superscript"/>
        </w:rPr>
        <w:t>-1</w:t>
      </w:r>
      <w:r w:rsidRPr="00A64D02">
        <w:rPr>
          <w:rFonts w:cs="Times New Roman"/>
        </w:rPr>
        <w:t xml:space="preserve"> (Fig. S3a). Correspondingly, the incubation results demonstrated a distinct dose-dependent suppression of methanotrophic activity. While low NH</w:t>
      </w:r>
      <w:r w:rsidRPr="00A64D02">
        <w:rPr>
          <w:rFonts w:cs="Times New Roman"/>
          <w:vertAlign w:val="subscript"/>
        </w:rPr>
        <w:t>4</w:t>
      </w:r>
      <w:r w:rsidRPr="00A64D02">
        <w:rPr>
          <w:rFonts w:cs="Times New Roman"/>
          <w:vertAlign w:val="superscript"/>
        </w:rPr>
        <w:t>+</w:t>
      </w:r>
      <w:r w:rsidRPr="00A64D02">
        <w:rPr>
          <w:rFonts w:cs="Times New Roman"/>
        </w:rPr>
        <w:t xml:space="preserve"> concentrations supported high methane oxidation rates, concentrations exceeding 10 mg kg⁻¹ significantly (</w:t>
      </w:r>
      <w:r w:rsidRPr="00231DC2">
        <w:rPr>
          <w:rFonts w:cs="Times New Roman"/>
          <w:i/>
          <w:iCs/>
        </w:rPr>
        <w:t>p</w:t>
      </w:r>
      <w:r w:rsidRPr="00A64D02">
        <w:rPr>
          <w:rFonts w:cs="Times New Roman"/>
        </w:rPr>
        <w:t xml:space="preserve"> &lt; 0.05) inhibited activity at both 24 h and 48 h time points (Fig. S3b). This threshold aligns with the elevated ammonium levels observed in the HS plots, confirming that the accumulation of ammonium in aged biochar soils acts as a potent physicochemical stressor that functionally constrains the methane sink.</w:t>
      </w:r>
    </w:p>
    <w:p w14:paraId="35FAC86A" w14:textId="77777777" w:rsidR="007821E9" w:rsidRPr="00A64D02" w:rsidRDefault="00000000">
      <w:pPr>
        <w:pStyle w:val="1"/>
        <w:spacing w:after="312"/>
        <w:rPr>
          <w:rFonts w:cs="Times New Roman"/>
        </w:rPr>
      </w:pPr>
      <w:bookmarkStart w:id="10" w:name="_Toc224453530"/>
      <w:r w:rsidRPr="00A64D02">
        <w:rPr>
          <w:rFonts w:cs="Times New Roman"/>
        </w:rPr>
        <w:t>Tables</w:t>
      </w:r>
      <w:bookmarkEnd w:id="10"/>
    </w:p>
    <w:p w14:paraId="70E74EC4" w14:textId="77777777" w:rsidR="007821E9" w:rsidRPr="00A64D02" w:rsidRDefault="00000000">
      <w:pPr>
        <w:pStyle w:val="11"/>
        <w:keepNext/>
        <w:keepLines/>
        <w:ind w:firstLineChars="0" w:firstLine="0"/>
        <w:jc w:val="center"/>
        <w:rPr>
          <w:sz w:val="20"/>
          <w:szCs w:val="20"/>
        </w:rPr>
      </w:pPr>
      <w:r w:rsidRPr="00A64D02">
        <w:rPr>
          <w:sz w:val="20"/>
          <w:szCs w:val="20"/>
        </w:rPr>
        <w:t xml:space="preserve">Table S1 Physicochemical properties of soil and biochar in the experiment </w:t>
      </w:r>
    </w:p>
    <w:tbl>
      <w:tblPr>
        <w:tblStyle w:val="TableNormal"/>
        <w:tblW w:w="5699" w:type="dxa"/>
        <w:jc w:val="center"/>
        <w:tblInd w:w="0" w:type="dxa"/>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1985"/>
        <w:gridCol w:w="1871"/>
      </w:tblGrid>
      <w:tr w:rsidR="007821E9" w:rsidRPr="00A64D02" w14:paraId="5DDA73BD" w14:textId="77777777">
        <w:trPr>
          <w:cantSplit/>
          <w:trHeight w:val="495"/>
          <w:jc w:val="center"/>
        </w:trPr>
        <w:tc>
          <w:tcPr>
            <w:tcW w:w="1843" w:type="dxa"/>
            <w:tcBorders>
              <w:top w:val="single" w:sz="12" w:space="0" w:color="auto"/>
              <w:left w:val="nil"/>
              <w:bottom w:val="single" w:sz="8" w:space="0" w:color="auto"/>
              <w:right w:val="nil"/>
            </w:tcBorders>
            <w:vAlign w:val="center"/>
          </w:tcPr>
          <w:p w14:paraId="74C5A13F" w14:textId="77777777" w:rsidR="007821E9" w:rsidRPr="00A64D02" w:rsidRDefault="007821E9">
            <w:pPr>
              <w:pStyle w:val="11"/>
              <w:keepNext/>
              <w:keepLines/>
              <w:widowControl/>
              <w:autoSpaceDE w:val="0"/>
              <w:ind w:firstLineChars="0" w:firstLine="0"/>
              <w:jc w:val="center"/>
              <w:textAlignment w:val="center"/>
              <w:rPr>
                <w:rFonts w:eastAsia="仿宋"/>
                <w:kern w:val="0"/>
                <w:sz w:val="20"/>
                <w:szCs w:val="20"/>
              </w:rPr>
            </w:pPr>
          </w:p>
        </w:tc>
        <w:tc>
          <w:tcPr>
            <w:tcW w:w="1985" w:type="dxa"/>
            <w:tcBorders>
              <w:top w:val="single" w:sz="12" w:space="0" w:color="auto"/>
              <w:left w:val="nil"/>
              <w:bottom w:val="single" w:sz="8" w:space="0" w:color="auto"/>
              <w:right w:val="nil"/>
            </w:tcBorders>
            <w:vAlign w:val="center"/>
          </w:tcPr>
          <w:p w14:paraId="5CC7EB64"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Soil</w:t>
            </w:r>
          </w:p>
        </w:tc>
        <w:tc>
          <w:tcPr>
            <w:tcW w:w="1871" w:type="dxa"/>
            <w:tcBorders>
              <w:top w:val="single" w:sz="12" w:space="0" w:color="auto"/>
              <w:left w:val="nil"/>
              <w:bottom w:val="single" w:sz="8" w:space="0" w:color="auto"/>
              <w:right w:val="nil"/>
            </w:tcBorders>
            <w:vAlign w:val="center"/>
          </w:tcPr>
          <w:p w14:paraId="7C9E3EC1"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Biochar</w:t>
            </w:r>
          </w:p>
        </w:tc>
      </w:tr>
      <w:tr w:rsidR="007821E9" w:rsidRPr="00A64D02" w14:paraId="32D2D63F" w14:textId="77777777">
        <w:trPr>
          <w:cantSplit/>
          <w:trHeight w:val="300"/>
          <w:jc w:val="center"/>
        </w:trPr>
        <w:tc>
          <w:tcPr>
            <w:tcW w:w="1843" w:type="dxa"/>
            <w:tcBorders>
              <w:top w:val="single" w:sz="8" w:space="0" w:color="auto"/>
              <w:left w:val="nil"/>
              <w:bottom w:val="nil"/>
              <w:right w:val="nil"/>
            </w:tcBorders>
            <w:vAlign w:val="center"/>
          </w:tcPr>
          <w:p w14:paraId="2096FCCB" w14:textId="77777777" w:rsidR="007821E9" w:rsidRPr="00A64D02" w:rsidRDefault="00000000">
            <w:pPr>
              <w:pStyle w:val="11"/>
              <w:keepNext/>
              <w:keepLines/>
              <w:ind w:firstLineChars="0" w:firstLine="0"/>
              <w:jc w:val="center"/>
              <w:rPr>
                <w:sz w:val="20"/>
                <w:szCs w:val="20"/>
              </w:rPr>
            </w:pPr>
            <w:r w:rsidRPr="00A64D02">
              <w:rPr>
                <w:kern w:val="0"/>
                <w:sz w:val="20"/>
                <w:szCs w:val="20"/>
              </w:rPr>
              <w:t>TC</w:t>
            </w:r>
            <w:r w:rsidRPr="00A64D02">
              <w:rPr>
                <w:rFonts w:ascii="宋体" w:eastAsia="宋体" w:hAnsi="宋体" w:cs="宋体" w:hint="eastAsia"/>
                <w:kern w:val="0"/>
                <w:sz w:val="20"/>
                <w:szCs w:val="20"/>
              </w:rPr>
              <w:t>（</w:t>
            </w:r>
            <w:r w:rsidRPr="00A64D02">
              <w:rPr>
                <w:kern w:val="0"/>
                <w:sz w:val="20"/>
                <w:szCs w:val="20"/>
              </w:rPr>
              <w:t>g kg</w:t>
            </w:r>
            <w:r w:rsidRPr="00A64D02">
              <w:rPr>
                <w:kern w:val="0"/>
                <w:sz w:val="20"/>
                <w:szCs w:val="20"/>
                <w:vertAlign w:val="superscript"/>
              </w:rPr>
              <w:t>-1</w:t>
            </w:r>
            <w:r w:rsidRPr="00A64D02">
              <w:rPr>
                <w:rFonts w:ascii="宋体" w:eastAsia="宋体" w:hAnsi="宋体" w:cs="宋体" w:hint="eastAsia"/>
                <w:kern w:val="0"/>
                <w:sz w:val="20"/>
                <w:szCs w:val="20"/>
              </w:rPr>
              <w:t>）</w:t>
            </w:r>
          </w:p>
        </w:tc>
        <w:tc>
          <w:tcPr>
            <w:tcW w:w="1985" w:type="dxa"/>
            <w:tcBorders>
              <w:top w:val="single" w:sz="8" w:space="0" w:color="auto"/>
              <w:left w:val="nil"/>
              <w:bottom w:val="nil"/>
              <w:right w:val="nil"/>
            </w:tcBorders>
            <w:vAlign w:val="center"/>
          </w:tcPr>
          <w:p w14:paraId="5B6CB722"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49.3</w:t>
            </w:r>
          </w:p>
        </w:tc>
        <w:tc>
          <w:tcPr>
            <w:tcW w:w="1871" w:type="dxa"/>
            <w:tcBorders>
              <w:top w:val="single" w:sz="8" w:space="0" w:color="auto"/>
              <w:left w:val="nil"/>
              <w:bottom w:val="nil"/>
              <w:right w:val="nil"/>
            </w:tcBorders>
            <w:vAlign w:val="center"/>
          </w:tcPr>
          <w:p w14:paraId="74BA86D0"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596.9</w:t>
            </w:r>
          </w:p>
        </w:tc>
      </w:tr>
      <w:tr w:rsidR="007821E9" w:rsidRPr="00A64D02" w14:paraId="370E6972" w14:textId="77777777">
        <w:trPr>
          <w:cantSplit/>
          <w:trHeight w:val="330"/>
          <w:jc w:val="center"/>
        </w:trPr>
        <w:tc>
          <w:tcPr>
            <w:tcW w:w="1843" w:type="dxa"/>
            <w:tcBorders>
              <w:top w:val="nil"/>
              <w:left w:val="nil"/>
              <w:bottom w:val="nil"/>
              <w:right w:val="nil"/>
            </w:tcBorders>
            <w:vAlign w:val="center"/>
          </w:tcPr>
          <w:p w14:paraId="5D71EBF4" w14:textId="77777777" w:rsidR="007821E9" w:rsidRPr="00A64D02" w:rsidRDefault="00000000">
            <w:pPr>
              <w:pStyle w:val="11"/>
              <w:keepNext/>
              <w:keepLines/>
              <w:ind w:firstLineChars="0" w:firstLine="0"/>
              <w:jc w:val="center"/>
              <w:rPr>
                <w:sz w:val="20"/>
                <w:szCs w:val="20"/>
              </w:rPr>
            </w:pPr>
            <w:r w:rsidRPr="00A64D02">
              <w:rPr>
                <w:kern w:val="0"/>
                <w:sz w:val="20"/>
                <w:szCs w:val="20"/>
              </w:rPr>
              <w:t>TN</w:t>
            </w:r>
            <w:r w:rsidRPr="00A64D02">
              <w:rPr>
                <w:rFonts w:ascii="宋体" w:eastAsia="宋体" w:hAnsi="宋体" w:cs="宋体" w:hint="eastAsia"/>
                <w:kern w:val="0"/>
                <w:sz w:val="20"/>
                <w:szCs w:val="20"/>
              </w:rPr>
              <w:t>（</w:t>
            </w:r>
            <w:r w:rsidRPr="00A64D02">
              <w:rPr>
                <w:kern w:val="0"/>
                <w:sz w:val="20"/>
                <w:szCs w:val="20"/>
              </w:rPr>
              <w:t>g kg</w:t>
            </w:r>
            <w:r w:rsidRPr="00A64D02">
              <w:rPr>
                <w:kern w:val="0"/>
                <w:sz w:val="20"/>
                <w:szCs w:val="20"/>
                <w:vertAlign w:val="superscript"/>
              </w:rPr>
              <w:t>-1</w:t>
            </w:r>
            <w:r w:rsidRPr="00A64D02">
              <w:rPr>
                <w:rFonts w:ascii="宋体" w:eastAsia="宋体" w:hAnsi="宋体" w:cs="宋体" w:hint="eastAsia"/>
                <w:kern w:val="0"/>
                <w:sz w:val="20"/>
                <w:szCs w:val="20"/>
              </w:rPr>
              <w:t>）</w:t>
            </w:r>
          </w:p>
        </w:tc>
        <w:tc>
          <w:tcPr>
            <w:tcW w:w="1985" w:type="dxa"/>
            <w:tcBorders>
              <w:top w:val="nil"/>
              <w:left w:val="nil"/>
              <w:bottom w:val="nil"/>
              <w:right w:val="nil"/>
            </w:tcBorders>
            <w:vAlign w:val="center"/>
          </w:tcPr>
          <w:p w14:paraId="7675CAE6"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2.8</w:t>
            </w:r>
          </w:p>
        </w:tc>
        <w:tc>
          <w:tcPr>
            <w:tcW w:w="1871" w:type="dxa"/>
            <w:tcBorders>
              <w:top w:val="nil"/>
              <w:left w:val="nil"/>
              <w:bottom w:val="nil"/>
              <w:right w:val="nil"/>
            </w:tcBorders>
            <w:vAlign w:val="center"/>
          </w:tcPr>
          <w:p w14:paraId="1FF5E2E7"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11.7</w:t>
            </w:r>
          </w:p>
        </w:tc>
      </w:tr>
      <w:tr w:rsidR="007821E9" w:rsidRPr="00A64D02" w14:paraId="4B19BF90" w14:textId="77777777">
        <w:trPr>
          <w:cantSplit/>
          <w:trHeight w:val="495"/>
          <w:jc w:val="center"/>
        </w:trPr>
        <w:tc>
          <w:tcPr>
            <w:tcW w:w="1843" w:type="dxa"/>
            <w:tcBorders>
              <w:top w:val="nil"/>
              <w:left w:val="nil"/>
              <w:bottom w:val="nil"/>
              <w:right w:val="nil"/>
            </w:tcBorders>
            <w:vAlign w:val="center"/>
          </w:tcPr>
          <w:p w14:paraId="3EF016BA" w14:textId="77777777" w:rsidR="007821E9" w:rsidRPr="00A64D02" w:rsidRDefault="00000000">
            <w:pPr>
              <w:pStyle w:val="11"/>
              <w:keepNext/>
              <w:keepLines/>
              <w:ind w:firstLineChars="0" w:firstLine="0"/>
              <w:jc w:val="center"/>
              <w:rPr>
                <w:sz w:val="20"/>
                <w:szCs w:val="20"/>
              </w:rPr>
            </w:pPr>
            <w:r w:rsidRPr="00A64D02">
              <w:rPr>
                <w:kern w:val="0"/>
                <w:sz w:val="20"/>
                <w:szCs w:val="20"/>
              </w:rPr>
              <w:t>C/N</w:t>
            </w:r>
          </w:p>
        </w:tc>
        <w:tc>
          <w:tcPr>
            <w:tcW w:w="1985" w:type="dxa"/>
            <w:tcBorders>
              <w:top w:val="nil"/>
              <w:left w:val="nil"/>
              <w:bottom w:val="nil"/>
              <w:right w:val="nil"/>
            </w:tcBorders>
            <w:vAlign w:val="center"/>
          </w:tcPr>
          <w:p w14:paraId="1BA4AF05"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17.6</w:t>
            </w:r>
          </w:p>
        </w:tc>
        <w:tc>
          <w:tcPr>
            <w:tcW w:w="1871" w:type="dxa"/>
            <w:tcBorders>
              <w:top w:val="nil"/>
              <w:left w:val="nil"/>
              <w:bottom w:val="nil"/>
              <w:right w:val="nil"/>
            </w:tcBorders>
            <w:vAlign w:val="center"/>
          </w:tcPr>
          <w:p w14:paraId="17DB174E"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51.0</w:t>
            </w:r>
          </w:p>
        </w:tc>
      </w:tr>
      <w:tr w:rsidR="007821E9" w:rsidRPr="00A64D02" w14:paraId="50673033" w14:textId="77777777">
        <w:trPr>
          <w:cantSplit/>
          <w:trHeight w:val="300"/>
          <w:jc w:val="center"/>
        </w:trPr>
        <w:tc>
          <w:tcPr>
            <w:tcW w:w="1843" w:type="dxa"/>
            <w:tcBorders>
              <w:top w:val="nil"/>
              <w:left w:val="nil"/>
              <w:bottom w:val="nil"/>
              <w:right w:val="nil"/>
            </w:tcBorders>
            <w:vAlign w:val="center"/>
          </w:tcPr>
          <w:p w14:paraId="35D6C1F1" w14:textId="77777777" w:rsidR="007821E9" w:rsidRPr="00A64D02" w:rsidRDefault="00000000">
            <w:pPr>
              <w:pStyle w:val="11"/>
              <w:keepNext/>
              <w:keepLines/>
              <w:ind w:firstLineChars="0" w:firstLine="0"/>
              <w:jc w:val="center"/>
              <w:rPr>
                <w:sz w:val="20"/>
                <w:szCs w:val="20"/>
              </w:rPr>
            </w:pPr>
            <w:r w:rsidRPr="00A64D02">
              <w:rPr>
                <w:kern w:val="0"/>
                <w:sz w:val="20"/>
                <w:szCs w:val="20"/>
              </w:rPr>
              <w:t>pH</w:t>
            </w:r>
          </w:p>
        </w:tc>
        <w:tc>
          <w:tcPr>
            <w:tcW w:w="1985" w:type="dxa"/>
            <w:tcBorders>
              <w:top w:val="nil"/>
              <w:left w:val="nil"/>
              <w:bottom w:val="nil"/>
              <w:right w:val="nil"/>
            </w:tcBorders>
            <w:vAlign w:val="center"/>
          </w:tcPr>
          <w:p w14:paraId="0ADB1119"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4.80</w:t>
            </w:r>
          </w:p>
        </w:tc>
        <w:tc>
          <w:tcPr>
            <w:tcW w:w="1871" w:type="dxa"/>
            <w:tcBorders>
              <w:top w:val="nil"/>
              <w:left w:val="nil"/>
              <w:bottom w:val="nil"/>
              <w:right w:val="nil"/>
            </w:tcBorders>
            <w:vAlign w:val="center"/>
          </w:tcPr>
          <w:p w14:paraId="112B97B2"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10.58</w:t>
            </w:r>
          </w:p>
        </w:tc>
      </w:tr>
      <w:tr w:rsidR="007821E9" w:rsidRPr="00A64D02" w14:paraId="5C2C3F37" w14:textId="77777777">
        <w:trPr>
          <w:cantSplit/>
          <w:trHeight w:val="330"/>
          <w:jc w:val="center"/>
        </w:trPr>
        <w:tc>
          <w:tcPr>
            <w:tcW w:w="1843" w:type="dxa"/>
            <w:tcBorders>
              <w:top w:val="nil"/>
              <w:left w:val="nil"/>
              <w:bottom w:val="nil"/>
              <w:right w:val="nil"/>
            </w:tcBorders>
            <w:vAlign w:val="center"/>
          </w:tcPr>
          <w:p w14:paraId="21B0F8A2" w14:textId="77777777" w:rsidR="007821E9" w:rsidRPr="00A64D02" w:rsidRDefault="00000000">
            <w:pPr>
              <w:pStyle w:val="11"/>
              <w:keepNext/>
              <w:keepLines/>
              <w:ind w:firstLineChars="0" w:firstLine="0"/>
              <w:jc w:val="center"/>
              <w:rPr>
                <w:sz w:val="20"/>
                <w:szCs w:val="20"/>
              </w:rPr>
            </w:pPr>
            <w:r w:rsidRPr="00A64D02">
              <w:rPr>
                <w:kern w:val="0"/>
                <w:sz w:val="20"/>
                <w:szCs w:val="20"/>
              </w:rPr>
              <w:t>NH</w:t>
            </w:r>
            <w:r w:rsidRPr="00A64D02">
              <w:rPr>
                <w:kern w:val="0"/>
                <w:sz w:val="20"/>
                <w:szCs w:val="20"/>
                <w:vertAlign w:val="subscript"/>
              </w:rPr>
              <w:t>4</w:t>
            </w:r>
            <w:r w:rsidRPr="00A64D02">
              <w:rPr>
                <w:kern w:val="0"/>
                <w:sz w:val="20"/>
                <w:szCs w:val="20"/>
                <w:vertAlign w:val="superscript"/>
              </w:rPr>
              <w:t>+</w:t>
            </w:r>
            <w:r w:rsidRPr="00A64D02">
              <w:rPr>
                <w:kern w:val="0"/>
                <w:sz w:val="20"/>
                <w:szCs w:val="20"/>
              </w:rPr>
              <w:t>-N</w:t>
            </w:r>
            <w:r w:rsidRPr="00A64D02">
              <w:rPr>
                <w:rFonts w:ascii="宋体" w:eastAsia="宋体" w:hAnsi="宋体" w:cs="宋体" w:hint="eastAsia"/>
                <w:kern w:val="0"/>
                <w:sz w:val="20"/>
                <w:szCs w:val="20"/>
              </w:rPr>
              <w:t>（</w:t>
            </w:r>
            <w:r w:rsidRPr="00A64D02">
              <w:rPr>
                <w:kern w:val="0"/>
                <w:sz w:val="20"/>
                <w:szCs w:val="20"/>
              </w:rPr>
              <w:t>g kg</w:t>
            </w:r>
            <w:r w:rsidRPr="00A64D02">
              <w:rPr>
                <w:kern w:val="0"/>
                <w:sz w:val="20"/>
                <w:szCs w:val="20"/>
                <w:vertAlign w:val="superscript"/>
              </w:rPr>
              <w:t>-1</w:t>
            </w:r>
            <w:r w:rsidRPr="00A64D02">
              <w:rPr>
                <w:rFonts w:ascii="宋体" w:eastAsia="宋体" w:hAnsi="宋体" w:cs="宋体" w:hint="eastAsia"/>
                <w:kern w:val="0"/>
                <w:sz w:val="20"/>
                <w:szCs w:val="20"/>
              </w:rPr>
              <w:t>）</w:t>
            </w:r>
          </w:p>
        </w:tc>
        <w:tc>
          <w:tcPr>
            <w:tcW w:w="1985" w:type="dxa"/>
            <w:tcBorders>
              <w:top w:val="nil"/>
              <w:left w:val="nil"/>
              <w:bottom w:val="nil"/>
              <w:right w:val="nil"/>
            </w:tcBorders>
            <w:vAlign w:val="center"/>
          </w:tcPr>
          <w:p w14:paraId="1D3F2C1B"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1.50×10</w:t>
            </w:r>
            <w:r w:rsidRPr="00A64D02">
              <w:rPr>
                <w:rFonts w:eastAsia="仿宋"/>
                <w:kern w:val="0"/>
                <w:sz w:val="20"/>
                <w:szCs w:val="20"/>
                <w:vertAlign w:val="superscript"/>
              </w:rPr>
              <w:t>-3</w:t>
            </w:r>
          </w:p>
        </w:tc>
        <w:tc>
          <w:tcPr>
            <w:tcW w:w="1871" w:type="dxa"/>
            <w:tcBorders>
              <w:top w:val="nil"/>
              <w:left w:val="nil"/>
              <w:bottom w:val="nil"/>
              <w:right w:val="nil"/>
            </w:tcBorders>
            <w:vAlign w:val="center"/>
          </w:tcPr>
          <w:p w14:paraId="1B8BC5B4"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w:t>
            </w:r>
          </w:p>
        </w:tc>
      </w:tr>
      <w:tr w:rsidR="007821E9" w:rsidRPr="00A64D02" w14:paraId="1F664796" w14:textId="77777777">
        <w:trPr>
          <w:cantSplit/>
          <w:trHeight w:val="330"/>
          <w:jc w:val="center"/>
        </w:trPr>
        <w:tc>
          <w:tcPr>
            <w:tcW w:w="1843" w:type="dxa"/>
            <w:tcBorders>
              <w:top w:val="nil"/>
              <w:left w:val="nil"/>
              <w:bottom w:val="nil"/>
              <w:right w:val="nil"/>
            </w:tcBorders>
            <w:vAlign w:val="center"/>
          </w:tcPr>
          <w:p w14:paraId="2881FCFF" w14:textId="77777777" w:rsidR="007821E9" w:rsidRPr="00A64D02" w:rsidRDefault="00000000">
            <w:pPr>
              <w:pStyle w:val="11"/>
              <w:keepNext/>
              <w:keepLines/>
              <w:ind w:firstLineChars="0" w:firstLine="0"/>
              <w:jc w:val="center"/>
              <w:rPr>
                <w:sz w:val="20"/>
                <w:szCs w:val="20"/>
              </w:rPr>
            </w:pPr>
            <w:r w:rsidRPr="00A64D02">
              <w:rPr>
                <w:kern w:val="0"/>
                <w:sz w:val="20"/>
                <w:szCs w:val="20"/>
              </w:rPr>
              <w:t>NO</w:t>
            </w:r>
            <w:r w:rsidRPr="00A64D02">
              <w:rPr>
                <w:kern w:val="0"/>
                <w:sz w:val="20"/>
                <w:szCs w:val="20"/>
                <w:vertAlign w:val="subscript"/>
              </w:rPr>
              <w:t>3</w:t>
            </w:r>
            <w:r w:rsidRPr="00A64D02">
              <w:rPr>
                <w:kern w:val="0"/>
                <w:sz w:val="20"/>
                <w:szCs w:val="20"/>
                <w:vertAlign w:val="superscript"/>
              </w:rPr>
              <w:t>-</w:t>
            </w:r>
            <w:r w:rsidRPr="00A64D02">
              <w:rPr>
                <w:kern w:val="0"/>
                <w:sz w:val="20"/>
                <w:szCs w:val="20"/>
              </w:rPr>
              <w:t>-N</w:t>
            </w:r>
            <w:r w:rsidRPr="00A64D02">
              <w:rPr>
                <w:rFonts w:ascii="宋体" w:eastAsia="宋体" w:hAnsi="宋体" w:cs="宋体" w:hint="eastAsia"/>
                <w:kern w:val="0"/>
                <w:sz w:val="20"/>
                <w:szCs w:val="20"/>
              </w:rPr>
              <w:t>（</w:t>
            </w:r>
            <w:r w:rsidRPr="00A64D02">
              <w:rPr>
                <w:kern w:val="0"/>
                <w:sz w:val="20"/>
                <w:szCs w:val="20"/>
              </w:rPr>
              <w:t>g kg</w:t>
            </w:r>
            <w:r w:rsidRPr="00A64D02">
              <w:rPr>
                <w:kern w:val="0"/>
                <w:sz w:val="20"/>
                <w:szCs w:val="20"/>
                <w:vertAlign w:val="superscript"/>
              </w:rPr>
              <w:t>-1</w:t>
            </w:r>
            <w:r w:rsidRPr="00A64D02">
              <w:rPr>
                <w:rFonts w:ascii="宋体" w:eastAsia="宋体" w:hAnsi="宋体" w:cs="宋体" w:hint="eastAsia"/>
                <w:kern w:val="0"/>
                <w:sz w:val="20"/>
                <w:szCs w:val="20"/>
              </w:rPr>
              <w:t>）</w:t>
            </w:r>
          </w:p>
        </w:tc>
        <w:tc>
          <w:tcPr>
            <w:tcW w:w="1985" w:type="dxa"/>
            <w:tcBorders>
              <w:top w:val="nil"/>
              <w:left w:val="nil"/>
              <w:bottom w:val="nil"/>
              <w:right w:val="nil"/>
            </w:tcBorders>
            <w:vAlign w:val="center"/>
          </w:tcPr>
          <w:p w14:paraId="1DD37836"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1.13×10</w:t>
            </w:r>
            <w:r w:rsidRPr="00A64D02">
              <w:rPr>
                <w:rFonts w:eastAsia="仿宋"/>
                <w:kern w:val="0"/>
                <w:sz w:val="20"/>
                <w:szCs w:val="20"/>
                <w:vertAlign w:val="superscript"/>
              </w:rPr>
              <w:t>-3</w:t>
            </w:r>
          </w:p>
        </w:tc>
        <w:tc>
          <w:tcPr>
            <w:tcW w:w="1871" w:type="dxa"/>
            <w:tcBorders>
              <w:top w:val="nil"/>
              <w:left w:val="nil"/>
              <w:bottom w:val="nil"/>
              <w:right w:val="nil"/>
            </w:tcBorders>
            <w:vAlign w:val="center"/>
          </w:tcPr>
          <w:p w14:paraId="54B78496"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w:t>
            </w:r>
          </w:p>
        </w:tc>
      </w:tr>
      <w:tr w:rsidR="007821E9" w:rsidRPr="00A64D02" w14:paraId="54C72567" w14:textId="77777777">
        <w:trPr>
          <w:cantSplit/>
          <w:trHeight w:val="300"/>
          <w:jc w:val="center"/>
        </w:trPr>
        <w:tc>
          <w:tcPr>
            <w:tcW w:w="1843" w:type="dxa"/>
            <w:tcBorders>
              <w:top w:val="nil"/>
              <w:left w:val="nil"/>
              <w:bottom w:val="nil"/>
              <w:right w:val="nil"/>
            </w:tcBorders>
            <w:vAlign w:val="center"/>
          </w:tcPr>
          <w:p w14:paraId="31D4F7D8" w14:textId="77777777" w:rsidR="007821E9" w:rsidRPr="00A64D02" w:rsidRDefault="00000000">
            <w:pPr>
              <w:pStyle w:val="11"/>
              <w:keepNext/>
              <w:keepLines/>
              <w:ind w:firstLineChars="0" w:firstLine="0"/>
              <w:jc w:val="center"/>
              <w:rPr>
                <w:sz w:val="20"/>
                <w:szCs w:val="20"/>
              </w:rPr>
            </w:pPr>
            <w:r w:rsidRPr="00A64D02">
              <w:rPr>
                <w:kern w:val="0"/>
                <w:sz w:val="20"/>
                <w:szCs w:val="20"/>
              </w:rPr>
              <w:t>BET surface area</w:t>
            </w:r>
            <w:r w:rsidRPr="00A64D02">
              <w:rPr>
                <w:rFonts w:ascii="宋体" w:eastAsia="宋体" w:hAnsi="宋体" w:cs="宋体" w:hint="eastAsia"/>
                <w:kern w:val="0"/>
                <w:sz w:val="20"/>
                <w:szCs w:val="20"/>
              </w:rPr>
              <w:t>（</w:t>
            </w:r>
            <w:r w:rsidRPr="00A64D02">
              <w:rPr>
                <w:kern w:val="0"/>
                <w:sz w:val="20"/>
                <w:szCs w:val="20"/>
              </w:rPr>
              <w:t>m</w:t>
            </w:r>
            <w:r w:rsidRPr="00A64D02">
              <w:rPr>
                <w:kern w:val="0"/>
                <w:sz w:val="20"/>
                <w:szCs w:val="20"/>
                <w:vertAlign w:val="superscript"/>
              </w:rPr>
              <w:t>2</w:t>
            </w:r>
            <w:r w:rsidRPr="00A64D02">
              <w:rPr>
                <w:kern w:val="0"/>
                <w:sz w:val="20"/>
                <w:szCs w:val="20"/>
              </w:rPr>
              <w:t xml:space="preserve"> g</w:t>
            </w:r>
            <w:r w:rsidRPr="00A64D02">
              <w:rPr>
                <w:kern w:val="0"/>
                <w:sz w:val="20"/>
                <w:szCs w:val="20"/>
                <w:vertAlign w:val="superscript"/>
              </w:rPr>
              <w:t>-1</w:t>
            </w:r>
            <w:r w:rsidRPr="00A64D02">
              <w:rPr>
                <w:rFonts w:ascii="宋体" w:eastAsia="宋体" w:hAnsi="宋体" w:cs="宋体" w:hint="eastAsia"/>
                <w:kern w:val="0"/>
                <w:sz w:val="20"/>
                <w:szCs w:val="20"/>
              </w:rPr>
              <w:t>）</w:t>
            </w:r>
          </w:p>
        </w:tc>
        <w:tc>
          <w:tcPr>
            <w:tcW w:w="1985" w:type="dxa"/>
            <w:tcBorders>
              <w:top w:val="nil"/>
              <w:left w:val="nil"/>
              <w:bottom w:val="nil"/>
              <w:right w:val="nil"/>
            </w:tcBorders>
            <w:vAlign w:val="center"/>
          </w:tcPr>
          <w:p w14:paraId="5234F5B4"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w:t>
            </w:r>
          </w:p>
        </w:tc>
        <w:tc>
          <w:tcPr>
            <w:tcW w:w="1871" w:type="dxa"/>
            <w:tcBorders>
              <w:top w:val="nil"/>
              <w:left w:val="nil"/>
              <w:bottom w:val="nil"/>
              <w:right w:val="nil"/>
            </w:tcBorders>
            <w:vAlign w:val="center"/>
          </w:tcPr>
          <w:p w14:paraId="54C2EB3B"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69.6</w:t>
            </w:r>
          </w:p>
        </w:tc>
      </w:tr>
      <w:tr w:rsidR="007821E9" w:rsidRPr="00A64D02" w14:paraId="7754DFC5" w14:textId="77777777">
        <w:trPr>
          <w:cantSplit/>
          <w:trHeight w:val="300"/>
          <w:jc w:val="center"/>
        </w:trPr>
        <w:tc>
          <w:tcPr>
            <w:tcW w:w="1843" w:type="dxa"/>
            <w:tcBorders>
              <w:top w:val="nil"/>
              <w:left w:val="nil"/>
              <w:bottom w:val="single" w:sz="12" w:space="0" w:color="auto"/>
              <w:right w:val="nil"/>
            </w:tcBorders>
            <w:vAlign w:val="center"/>
          </w:tcPr>
          <w:p w14:paraId="76F2BAA1" w14:textId="77777777" w:rsidR="007821E9" w:rsidRPr="00A64D02" w:rsidRDefault="00000000">
            <w:pPr>
              <w:pStyle w:val="11"/>
              <w:keepNext/>
              <w:keepLines/>
              <w:ind w:firstLineChars="0" w:firstLine="0"/>
              <w:jc w:val="center"/>
              <w:rPr>
                <w:sz w:val="20"/>
                <w:szCs w:val="20"/>
              </w:rPr>
            </w:pPr>
            <w:r w:rsidRPr="00A64D02">
              <w:rPr>
                <w:kern w:val="0"/>
                <w:sz w:val="20"/>
                <w:szCs w:val="20"/>
              </w:rPr>
              <w:t>Pore diameter</w:t>
            </w:r>
            <w:r w:rsidRPr="00A64D02">
              <w:rPr>
                <w:rFonts w:ascii="宋体" w:eastAsia="宋体" w:hAnsi="宋体" w:cs="宋体" w:hint="eastAsia"/>
                <w:kern w:val="0"/>
                <w:sz w:val="20"/>
                <w:szCs w:val="20"/>
              </w:rPr>
              <w:t>（</w:t>
            </w:r>
            <w:r w:rsidRPr="00A64D02">
              <w:rPr>
                <w:kern w:val="0"/>
                <w:sz w:val="20"/>
                <w:szCs w:val="20"/>
              </w:rPr>
              <w:t>nm</w:t>
            </w:r>
            <w:r w:rsidRPr="00A64D02">
              <w:rPr>
                <w:rFonts w:ascii="宋体" w:eastAsia="宋体" w:hAnsi="宋体" w:cs="宋体" w:hint="eastAsia"/>
                <w:kern w:val="0"/>
                <w:sz w:val="20"/>
                <w:szCs w:val="20"/>
              </w:rPr>
              <w:t>）</w:t>
            </w:r>
          </w:p>
        </w:tc>
        <w:tc>
          <w:tcPr>
            <w:tcW w:w="1985" w:type="dxa"/>
            <w:tcBorders>
              <w:top w:val="nil"/>
              <w:left w:val="nil"/>
              <w:bottom w:val="single" w:sz="12" w:space="0" w:color="auto"/>
              <w:right w:val="nil"/>
            </w:tcBorders>
            <w:vAlign w:val="center"/>
          </w:tcPr>
          <w:p w14:paraId="58EEA700"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w:t>
            </w:r>
          </w:p>
        </w:tc>
        <w:tc>
          <w:tcPr>
            <w:tcW w:w="1871" w:type="dxa"/>
            <w:tcBorders>
              <w:top w:val="nil"/>
              <w:left w:val="nil"/>
              <w:bottom w:val="single" w:sz="12" w:space="0" w:color="auto"/>
              <w:right w:val="nil"/>
            </w:tcBorders>
            <w:vAlign w:val="center"/>
          </w:tcPr>
          <w:p w14:paraId="56899639" w14:textId="77777777" w:rsidR="007821E9" w:rsidRPr="00A64D02" w:rsidRDefault="00000000">
            <w:pPr>
              <w:pStyle w:val="11"/>
              <w:keepNext/>
              <w:keepLines/>
              <w:widowControl/>
              <w:autoSpaceDE w:val="0"/>
              <w:ind w:firstLineChars="0" w:firstLine="0"/>
              <w:jc w:val="center"/>
              <w:textAlignment w:val="center"/>
              <w:rPr>
                <w:rFonts w:eastAsia="仿宋"/>
                <w:kern w:val="0"/>
                <w:sz w:val="20"/>
                <w:szCs w:val="20"/>
              </w:rPr>
            </w:pPr>
            <w:r w:rsidRPr="00A64D02">
              <w:rPr>
                <w:rFonts w:eastAsia="仿宋"/>
                <w:kern w:val="0"/>
                <w:sz w:val="20"/>
                <w:szCs w:val="20"/>
              </w:rPr>
              <w:t>6.82</w:t>
            </w:r>
          </w:p>
        </w:tc>
      </w:tr>
    </w:tbl>
    <w:p w14:paraId="0E198B52" w14:textId="77777777" w:rsidR="007821E9" w:rsidRPr="00A64D02" w:rsidRDefault="00000000">
      <w:pPr>
        <w:pStyle w:val="11"/>
        <w:ind w:firstLine="400"/>
      </w:pPr>
      <w:r w:rsidRPr="00A64D02">
        <w:rPr>
          <w:sz w:val="20"/>
          <w:szCs w:val="20"/>
        </w:rPr>
        <w:t>Note: Soil properties were tested prior to the start of the trial. The soil pH was determined with a soil-water ratio of 1:2.5 (Dong et al., 2015), and the biochar pH was determined with a carbon-water ratio of 1:10 (Yi et al., 2020).</w:t>
      </w:r>
    </w:p>
    <w:p w14:paraId="05027AEC" w14:textId="77777777" w:rsidR="007821E9" w:rsidRPr="00A64D02" w:rsidRDefault="00000000">
      <w:pPr>
        <w:pStyle w:val="1"/>
        <w:spacing w:after="312"/>
        <w:rPr>
          <w:rFonts w:cs="Times New Roman"/>
        </w:rPr>
      </w:pPr>
      <w:bookmarkStart w:id="11" w:name="_Toc224453531"/>
      <w:r w:rsidRPr="00A64D02">
        <w:rPr>
          <w:rFonts w:cs="Times New Roman"/>
        </w:rPr>
        <w:lastRenderedPageBreak/>
        <w:t>Figures</w:t>
      </w:r>
      <w:bookmarkEnd w:id="11"/>
    </w:p>
    <w:p w14:paraId="4B3250B4" w14:textId="77777777" w:rsidR="007821E9" w:rsidRPr="00A64D02" w:rsidRDefault="00000000">
      <w:pPr>
        <w:keepNext/>
        <w:keepLines/>
        <w:spacing w:after="156"/>
        <w:jc w:val="center"/>
        <w:rPr>
          <w:rFonts w:cs="Times New Roman"/>
        </w:rPr>
      </w:pPr>
      <w:r w:rsidRPr="00A64D02">
        <w:rPr>
          <w:rFonts w:cs="Times New Roman"/>
          <w:noProof/>
        </w:rPr>
        <w:drawing>
          <wp:inline distT="0" distB="0" distL="0" distR="0" wp14:anchorId="61679D9C" wp14:editId="540C6806">
            <wp:extent cx="3952875" cy="31388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977084" cy="3158260"/>
                    </a:xfrm>
                    <a:prstGeom prst="rect">
                      <a:avLst/>
                    </a:prstGeom>
                    <a:noFill/>
                  </pic:spPr>
                </pic:pic>
              </a:graphicData>
            </a:graphic>
          </wp:inline>
        </w:drawing>
      </w:r>
    </w:p>
    <w:p w14:paraId="644EE03B" w14:textId="40F2ABB9" w:rsidR="007821E9" w:rsidRPr="00A64D02" w:rsidRDefault="00000000">
      <w:pPr>
        <w:keepNext/>
        <w:keepLines/>
        <w:spacing w:after="156"/>
        <w:rPr>
          <w:rFonts w:cs="Times New Roman"/>
        </w:rPr>
      </w:pPr>
      <w:r w:rsidRPr="00A64D02">
        <w:rPr>
          <w:rFonts w:cs="Times New Roman"/>
          <w:b/>
          <w:bCs/>
        </w:rPr>
        <w:t>Fig. S1 | Changes in soil CH</w:t>
      </w:r>
      <w:r w:rsidRPr="00A64D02">
        <w:rPr>
          <w:rFonts w:cs="Times New Roman"/>
          <w:b/>
          <w:bCs/>
          <w:vertAlign w:val="subscript"/>
        </w:rPr>
        <w:t>4</w:t>
      </w:r>
      <w:r w:rsidRPr="00A64D02">
        <w:rPr>
          <w:rFonts w:cs="Times New Roman"/>
          <w:b/>
          <w:bCs/>
        </w:rPr>
        <w:t xml:space="preserve"> metabolism relevant microbial activities under different treatments. </w:t>
      </w:r>
      <w:r w:rsidRPr="00A64D02">
        <w:rPr>
          <w:rFonts w:cs="Times New Roman"/>
        </w:rPr>
        <w:t>Long-term field comparison of methanogenic activity (</w:t>
      </w:r>
      <w:r w:rsidRPr="00A64D02">
        <w:rPr>
          <w:rFonts w:cs="Times New Roman"/>
          <w:b/>
          <w:bCs/>
        </w:rPr>
        <w:t>a</w:t>
      </w:r>
      <w:r w:rsidRPr="00A64D02">
        <w:rPr>
          <w:rFonts w:cs="Times New Roman"/>
        </w:rPr>
        <w:t>) and methanotrophic activity (</w:t>
      </w:r>
      <w:r w:rsidRPr="00A64D02">
        <w:rPr>
          <w:rFonts w:cs="Times New Roman"/>
          <w:b/>
          <w:bCs/>
        </w:rPr>
        <w:t>c</w:t>
      </w:r>
      <w:r w:rsidRPr="00A64D02">
        <w:rPr>
          <w:rFonts w:cs="Times New Roman"/>
        </w:rPr>
        <w:t>) over time (2, 6, 11, and 12 years) between CK (control) and HS (high single treatment). Short-term field comparison of methanogenic activity</w:t>
      </w:r>
      <w:r w:rsidR="00231DC2">
        <w:rPr>
          <w:rFonts w:cs="Times New Roman" w:hint="eastAsia"/>
        </w:rPr>
        <w:t xml:space="preserve"> </w:t>
      </w:r>
      <w:r w:rsidRPr="00A64D02">
        <w:rPr>
          <w:rFonts w:cs="Times New Roman"/>
        </w:rPr>
        <w:t>(</w:t>
      </w:r>
      <w:r w:rsidRPr="00A64D02">
        <w:rPr>
          <w:rFonts w:cs="Times New Roman"/>
          <w:b/>
          <w:bCs/>
        </w:rPr>
        <w:t>b</w:t>
      </w:r>
      <w:r w:rsidRPr="00A64D02">
        <w:rPr>
          <w:rFonts w:cs="Times New Roman"/>
        </w:rPr>
        <w:t>) and methanotrophic activity (</w:t>
      </w:r>
      <w:r w:rsidRPr="00A64D02">
        <w:rPr>
          <w:rFonts w:cs="Times New Roman"/>
          <w:b/>
          <w:bCs/>
        </w:rPr>
        <w:t>d</w:t>
      </w:r>
      <w:r w:rsidRPr="00A64D02">
        <w:rPr>
          <w:rFonts w:cs="Times New Roman"/>
        </w:rPr>
        <w:t xml:space="preserve">) measured at 24 h and 48 h in 2021 (the 7th experimental year) among CK (control), AL (annual low-rate treatment), and HS (high single treatment). Lowercase letters above bars indicate statistically significant differences among treatments within each year (Tukey’s HSD test, </w:t>
      </w:r>
      <w:r w:rsidRPr="00231DC2">
        <w:rPr>
          <w:rFonts w:cs="Times New Roman"/>
          <w:i/>
          <w:iCs/>
        </w:rPr>
        <w:t>p</w:t>
      </w:r>
      <w:r w:rsidRPr="00A64D02">
        <w:rPr>
          <w:rFonts w:cs="Times New Roman"/>
        </w:rPr>
        <w:t xml:space="preserve"> &lt; 0.05; n=3). </w:t>
      </w:r>
    </w:p>
    <w:p w14:paraId="40FD2547" w14:textId="77777777" w:rsidR="007821E9" w:rsidRPr="00A64D02" w:rsidRDefault="007821E9">
      <w:pPr>
        <w:keepNext/>
        <w:keepLines/>
        <w:spacing w:after="156"/>
        <w:rPr>
          <w:rFonts w:cs="Times New Roman"/>
        </w:rPr>
      </w:pPr>
    </w:p>
    <w:p w14:paraId="4A8BF992" w14:textId="77777777" w:rsidR="007821E9" w:rsidRPr="00A64D02" w:rsidRDefault="00000000">
      <w:pPr>
        <w:keepNext/>
        <w:keepLines/>
        <w:spacing w:after="156"/>
        <w:jc w:val="center"/>
        <w:rPr>
          <w:rFonts w:cs="Times New Roman"/>
          <w:b/>
          <w:bCs/>
        </w:rPr>
      </w:pPr>
      <w:r w:rsidRPr="00A64D02">
        <w:rPr>
          <w:rFonts w:cs="Times New Roman"/>
          <w:b/>
          <w:bCs/>
          <w:noProof/>
        </w:rPr>
        <w:drawing>
          <wp:inline distT="0" distB="0" distL="0" distR="0" wp14:anchorId="76E62AB4" wp14:editId="7701330C">
            <wp:extent cx="3959860" cy="2072640"/>
            <wp:effectExtent l="0" t="0" r="2540" b="3810"/>
            <wp:docPr id="15042714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1407"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960000" cy="2072961"/>
                    </a:xfrm>
                    <a:prstGeom prst="rect">
                      <a:avLst/>
                    </a:prstGeom>
                    <a:noFill/>
                  </pic:spPr>
                </pic:pic>
              </a:graphicData>
            </a:graphic>
          </wp:inline>
        </w:drawing>
      </w:r>
    </w:p>
    <w:p w14:paraId="76F23BA4" w14:textId="77777777" w:rsidR="007821E9" w:rsidRPr="00A64D02" w:rsidRDefault="00000000">
      <w:pPr>
        <w:keepNext/>
        <w:keepLines/>
        <w:spacing w:after="156"/>
        <w:rPr>
          <w:rFonts w:cs="Times New Roman"/>
        </w:rPr>
      </w:pPr>
      <w:r w:rsidRPr="00A64D02">
        <w:rPr>
          <w:rFonts w:cs="Times New Roman"/>
          <w:b/>
          <w:bCs/>
        </w:rPr>
        <w:lastRenderedPageBreak/>
        <w:t xml:space="preserve">Fig. S2 | Differential effects of biochar and straw amendments on soil nitrogen availability, acidity, moisture, and dissolved organic carbon. </w:t>
      </w:r>
      <w:r w:rsidRPr="00A64D02">
        <w:rPr>
          <w:rFonts w:cs="Times New Roman"/>
        </w:rPr>
        <w:t>Soil samples collected on four dates (20 July, 2 August, 23 August, and 17 September) in 2022 were analyzed for NO</w:t>
      </w:r>
      <w:r w:rsidRPr="00A64D02">
        <w:rPr>
          <w:rFonts w:cs="Times New Roman"/>
          <w:vertAlign w:val="subscript"/>
        </w:rPr>
        <w:t>3</w:t>
      </w:r>
      <w:r w:rsidRPr="00A64D02">
        <w:rPr>
          <w:rFonts w:cs="Times New Roman"/>
          <w:vertAlign w:val="superscript"/>
        </w:rPr>
        <w:t>-</w:t>
      </w:r>
      <w:r w:rsidRPr="00A64D02">
        <w:rPr>
          <w:rFonts w:cs="Times New Roman"/>
        </w:rPr>
        <w:t>, NH</w:t>
      </w:r>
      <w:r w:rsidRPr="00A64D02">
        <w:rPr>
          <w:rFonts w:cs="Times New Roman"/>
          <w:vertAlign w:val="subscript"/>
        </w:rPr>
        <w:t>4</w:t>
      </w:r>
      <w:r w:rsidRPr="00A64D02">
        <w:rPr>
          <w:rFonts w:cs="Times New Roman"/>
        </w:rPr>
        <w:t xml:space="preserve">⁺, pH, and moisture content. Separately, soil bulk density and dissolved organic carbon (DOC) were determined using samples collected on 22 August 2022. Lowercase letters above bars indicate statistically significant differences among treatments within each year (Tukey’s HSD test, </w:t>
      </w:r>
      <w:r w:rsidRPr="00231DC2">
        <w:rPr>
          <w:rFonts w:cs="Times New Roman"/>
          <w:i/>
          <w:iCs/>
        </w:rPr>
        <w:t>p</w:t>
      </w:r>
      <w:r w:rsidRPr="00A64D02">
        <w:rPr>
          <w:rFonts w:cs="Times New Roman"/>
        </w:rPr>
        <w:t xml:space="preserve"> &lt; 0.05; n=3). </w:t>
      </w:r>
    </w:p>
    <w:p w14:paraId="45E6E81B" w14:textId="77777777" w:rsidR="007821E9" w:rsidRPr="00A64D02" w:rsidRDefault="007821E9">
      <w:pPr>
        <w:keepNext/>
        <w:keepLines/>
        <w:spacing w:after="156"/>
        <w:rPr>
          <w:rFonts w:cs="Times New Roman"/>
        </w:rPr>
      </w:pPr>
    </w:p>
    <w:p w14:paraId="46633271" w14:textId="77777777" w:rsidR="007821E9" w:rsidRPr="00A64D02" w:rsidRDefault="00000000">
      <w:pPr>
        <w:spacing w:after="156"/>
        <w:jc w:val="center"/>
        <w:rPr>
          <w:rFonts w:cs="Times New Roman"/>
        </w:rPr>
      </w:pPr>
      <w:r w:rsidRPr="00A64D02">
        <w:rPr>
          <w:rFonts w:cs="Times New Roman"/>
          <w:noProof/>
        </w:rPr>
        <w:drawing>
          <wp:inline distT="0" distB="0" distL="0" distR="0" wp14:anchorId="041056B6" wp14:editId="6156A532">
            <wp:extent cx="2807970" cy="21285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b="6435"/>
                    <a:stretch>
                      <a:fillRect/>
                    </a:stretch>
                  </pic:blipFill>
                  <pic:spPr>
                    <a:xfrm>
                      <a:off x="0" y="0"/>
                      <a:ext cx="2817042" cy="2135600"/>
                    </a:xfrm>
                    <a:prstGeom prst="rect">
                      <a:avLst/>
                    </a:prstGeom>
                    <a:noFill/>
                    <a:ln>
                      <a:noFill/>
                    </a:ln>
                  </pic:spPr>
                </pic:pic>
              </a:graphicData>
            </a:graphic>
          </wp:inline>
        </w:drawing>
      </w:r>
    </w:p>
    <w:p w14:paraId="669302B3" w14:textId="397C7282" w:rsidR="007821E9" w:rsidRPr="00A64D02" w:rsidRDefault="00000000">
      <w:pPr>
        <w:spacing w:after="156"/>
        <w:rPr>
          <w:rFonts w:cs="Times New Roman"/>
        </w:rPr>
      </w:pPr>
      <w:r w:rsidRPr="00A64D02">
        <w:rPr>
          <w:rFonts w:cs="Times New Roman"/>
          <w:b/>
          <w:bCs/>
        </w:rPr>
        <w:t>Fig. S3 | The effect of soil ammonium on methanotrophic activity. a</w:t>
      </w:r>
      <w:r w:rsidRPr="00A64D02">
        <w:rPr>
          <w:rFonts w:cs="Times New Roman"/>
        </w:rPr>
        <w:t>, Soil ammonium nitrogen (NH</w:t>
      </w:r>
      <w:r w:rsidRPr="00A64D02">
        <w:rPr>
          <w:rFonts w:cs="Times New Roman"/>
          <w:vertAlign w:val="subscript"/>
        </w:rPr>
        <w:t>4</w:t>
      </w:r>
      <w:r w:rsidRPr="00A64D02">
        <w:rPr>
          <w:rFonts w:cs="Times New Roman"/>
          <w:vertAlign w:val="superscript"/>
        </w:rPr>
        <w:t>+</w:t>
      </w:r>
      <w:r w:rsidRPr="00A64D02">
        <w:rPr>
          <w:rFonts w:cs="Times New Roman"/>
        </w:rPr>
        <w:t>content under different treatments in 2021. Different lowercase letters indicate significant differences among treatments (</w:t>
      </w:r>
      <w:r w:rsidRPr="00231DC2">
        <w:rPr>
          <w:rFonts w:cs="Times New Roman"/>
          <w:i/>
          <w:iCs/>
        </w:rPr>
        <w:t>p</w:t>
      </w:r>
      <w:r w:rsidRPr="00A64D02">
        <w:rPr>
          <w:rFonts w:cs="Times New Roman"/>
        </w:rPr>
        <w:t xml:space="preserve"> &lt; 0.05). Different lowercase letters indicate significant differences among treatments (</w:t>
      </w:r>
      <w:r w:rsidRPr="00231DC2">
        <w:rPr>
          <w:rFonts w:cs="Times New Roman"/>
          <w:i/>
          <w:iCs/>
        </w:rPr>
        <w:t>p</w:t>
      </w:r>
      <w:r w:rsidRPr="00A64D02">
        <w:rPr>
          <w:rFonts w:cs="Times New Roman"/>
        </w:rPr>
        <w:t xml:space="preserve"> &lt; 0.05). </w:t>
      </w:r>
      <w:r w:rsidRPr="00A64D02">
        <w:rPr>
          <w:rFonts w:cs="Times New Roman"/>
          <w:b/>
          <w:bCs/>
        </w:rPr>
        <w:t>b</w:t>
      </w:r>
      <w:r w:rsidRPr="00A64D02">
        <w:rPr>
          <w:rFonts w:cs="Times New Roman"/>
        </w:rPr>
        <w:t>, Response of soil methanotrophic activity to a gradient of ammonium nitrogen concentration (10–50 µg NH</w:t>
      </w:r>
      <w:r w:rsidRPr="00A64D02">
        <w:rPr>
          <w:rFonts w:cs="Times New Roman"/>
          <w:vertAlign w:val="subscript"/>
        </w:rPr>
        <w:t>4</w:t>
      </w:r>
      <w:r w:rsidRPr="00A64D02">
        <w:rPr>
          <w:rFonts w:cs="Times New Roman"/>
          <w:vertAlign w:val="superscript"/>
        </w:rPr>
        <w:t>+</w:t>
      </w:r>
      <w:r w:rsidRPr="00A64D02">
        <w:rPr>
          <w:rFonts w:cs="Times New Roman"/>
        </w:rPr>
        <w:t>-N kg</w:t>
      </w:r>
      <w:r w:rsidRPr="00A64D02">
        <w:rPr>
          <w:rFonts w:cs="Times New Roman"/>
          <w:vertAlign w:val="superscript"/>
        </w:rPr>
        <w:t>-1</w:t>
      </w:r>
      <w:r w:rsidRPr="00A64D02">
        <w:rPr>
          <w:rFonts w:cs="Times New Roman"/>
        </w:rPr>
        <w:t xml:space="preserve">), measured at 24 h and 48 h of incubation. Different lowercase letters indicate significant differences among ammonium concentrations within the same measurement time (Tukey’s HSD test, </w:t>
      </w:r>
      <w:r w:rsidRPr="00231DC2">
        <w:rPr>
          <w:rFonts w:cs="Times New Roman"/>
          <w:i/>
          <w:iCs/>
        </w:rPr>
        <w:t>p</w:t>
      </w:r>
      <w:r w:rsidRPr="00A64D02">
        <w:rPr>
          <w:rFonts w:cs="Times New Roman"/>
        </w:rPr>
        <w:t xml:space="preserve"> &lt; 0.05). Data are presented as mean ± SE. </w:t>
      </w:r>
    </w:p>
    <w:p w14:paraId="30DB6B37" w14:textId="77777777" w:rsidR="007821E9" w:rsidRPr="00A64D02" w:rsidRDefault="00000000">
      <w:pPr>
        <w:spacing w:after="156"/>
        <w:jc w:val="center"/>
        <w:rPr>
          <w:rFonts w:cs="Times New Roman"/>
        </w:rPr>
      </w:pPr>
      <w:r w:rsidRPr="00A64D02">
        <w:rPr>
          <w:rFonts w:cs="Times New Roman"/>
          <w:noProof/>
        </w:rPr>
        <w:lastRenderedPageBreak/>
        <w:drawing>
          <wp:inline distT="0" distB="0" distL="0" distR="0" wp14:anchorId="5457B837" wp14:editId="4442EFD2">
            <wp:extent cx="5200650" cy="5832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b="2081"/>
                    <a:stretch>
                      <a:fillRect/>
                    </a:stretch>
                  </pic:blipFill>
                  <pic:spPr>
                    <a:xfrm>
                      <a:off x="0" y="0"/>
                      <a:ext cx="5203592" cy="5835515"/>
                    </a:xfrm>
                    <a:prstGeom prst="rect">
                      <a:avLst/>
                    </a:prstGeom>
                    <a:noFill/>
                    <a:ln>
                      <a:noFill/>
                    </a:ln>
                  </pic:spPr>
                </pic:pic>
              </a:graphicData>
            </a:graphic>
          </wp:inline>
        </w:drawing>
      </w:r>
    </w:p>
    <w:p w14:paraId="6CACDCD1" w14:textId="5182B569" w:rsidR="007821E9" w:rsidRPr="00A64D02" w:rsidRDefault="00000000">
      <w:pPr>
        <w:spacing w:after="156"/>
        <w:rPr>
          <w:rFonts w:cs="Times New Roman"/>
        </w:rPr>
      </w:pPr>
      <w:r w:rsidRPr="00A64D02">
        <w:rPr>
          <w:rFonts w:cs="Times New Roman"/>
          <w:b/>
          <w:bCs/>
        </w:rPr>
        <w:t>Fig. S4 | Taxon-specific decoupling between genomic potential and transcriptional activity in the methanotrophic community under contrasting biochar amendments.</w:t>
      </w:r>
      <w:r w:rsidRPr="00A64D02">
        <w:rPr>
          <w:rFonts w:cs="Times New Roman"/>
        </w:rPr>
        <w:t xml:space="preserve"> </w:t>
      </w:r>
      <w:bookmarkStart w:id="12" w:name="_Hlk217461225"/>
      <w:r w:rsidRPr="00A64D02">
        <w:rPr>
          <w:rFonts w:cs="Times New Roman"/>
        </w:rPr>
        <w:t>The contig-based taxonomic abundance</w:t>
      </w:r>
      <w:bookmarkEnd w:id="12"/>
      <w:r w:rsidRPr="00A64D02">
        <w:rPr>
          <w:rFonts w:cs="Times New Roman"/>
        </w:rPr>
        <w:t xml:space="preserve"> profiles were generated using the </w:t>
      </w:r>
      <w:proofErr w:type="spellStart"/>
      <w:r w:rsidRPr="00A64D02">
        <w:rPr>
          <w:rFonts w:cs="Times New Roman"/>
        </w:rPr>
        <w:t>SqueezeMeta</w:t>
      </w:r>
      <w:proofErr w:type="spellEnd"/>
      <w:r w:rsidRPr="00A64D02">
        <w:rPr>
          <w:rFonts w:cs="Times New Roman"/>
        </w:rPr>
        <w:t xml:space="preserve"> pipeline. Contigs were classified based on the consensus taxonomy of their encoded genes, and their abundances were summarized to generate directly comparable metagenomic (reflecting potential presence) and </w:t>
      </w:r>
      <w:proofErr w:type="spellStart"/>
      <w:r w:rsidRPr="00A64D02">
        <w:rPr>
          <w:rFonts w:cs="Times New Roman"/>
        </w:rPr>
        <w:t>metatranscriptomic</w:t>
      </w:r>
      <w:proofErr w:type="spellEnd"/>
      <w:r w:rsidRPr="00A64D02">
        <w:rPr>
          <w:rFonts w:cs="Times New Roman"/>
        </w:rPr>
        <w:t xml:space="preserve"> (reflecting in situ metabolic activity) profiles at an identical taxonomic resolution. The table summarizes differentially abundant methanotrophic genera (taxon) in response to biochar amendments, based on DESeq2 analysis. Comparisons are made between the annual low-dose biochar application (AL) and the control (CK), as well as between AL and the high single-dose application (HS). For each genus, the bar length represents its relative population abundance (metagenome) or its aggregate transcriptional activity (</w:t>
      </w:r>
      <w:proofErr w:type="spellStart"/>
      <w:r w:rsidRPr="00A64D02">
        <w:rPr>
          <w:rFonts w:cs="Times New Roman"/>
        </w:rPr>
        <w:t>metatranscriptome</w:t>
      </w:r>
      <w:proofErr w:type="spellEnd"/>
      <w:r w:rsidRPr="00A64D02">
        <w:rPr>
          <w:rFonts w:cs="Times New Roman"/>
        </w:rPr>
        <w:t xml:space="preserve">). Compared to CK and HS, a green upward arrow denotes a significant increase, and a red downward arrow denotes a significant decrease (FDR-adjusted </w:t>
      </w:r>
      <w:r w:rsidRPr="00231DC2">
        <w:rPr>
          <w:rFonts w:cs="Times New Roman"/>
          <w:i/>
          <w:iCs/>
        </w:rPr>
        <w:t>p</w:t>
      </w:r>
      <w:r w:rsidRPr="00A64D02">
        <w:rPr>
          <w:rFonts w:cs="Times New Roman"/>
        </w:rPr>
        <w:t xml:space="preserve"> &lt; 0.05) in AL treatments.</w:t>
      </w:r>
    </w:p>
    <w:p w14:paraId="3EA034D6" w14:textId="77777777" w:rsidR="007821E9" w:rsidRPr="00A64D02" w:rsidRDefault="00000000">
      <w:pPr>
        <w:keepNext/>
        <w:keepLines/>
        <w:spacing w:after="156"/>
        <w:rPr>
          <w:rFonts w:cs="Times New Roman"/>
        </w:rPr>
      </w:pPr>
      <w:r w:rsidRPr="00A64D02">
        <w:rPr>
          <w:rFonts w:cs="Times New Roman"/>
          <w:noProof/>
        </w:rPr>
        <w:lastRenderedPageBreak/>
        <w:drawing>
          <wp:inline distT="0" distB="0" distL="0" distR="0" wp14:anchorId="56F733F6" wp14:editId="64915B0D">
            <wp:extent cx="5306695" cy="3104515"/>
            <wp:effectExtent l="0" t="0" r="8255" b="635"/>
            <wp:docPr id="13178129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12961"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l="913" r="-1" b="-452"/>
                    <a:stretch>
                      <a:fillRect/>
                    </a:stretch>
                  </pic:blipFill>
                  <pic:spPr>
                    <a:xfrm>
                      <a:off x="0" y="0"/>
                      <a:ext cx="5307896" cy="3105381"/>
                    </a:xfrm>
                    <a:prstGeom prst="rect">
                      <a:avLst/>
                    </a:prstGeom>
                    <a:noFill/>
                    <a:ln>
                      <a:noFill/>
                    </a:ln>
                  </pic:spPr>
                </pic:pic>
              </a:graphicData>
            </a:graphic>
          </wp:inline>
        </w:drawing>
      </w:r>
    </w:p>
    <w:p w14:paraId="2317D9C6" w14:textId="3D5B4E90" w:rsidR="007821E9" w:rsidRPr="00A64D02" w:rsidRDefault="00000000">
      <w:pPr>
        <w:keepNext/>
        <w:keepLines/>
        <w:spacing w:after="156"/>
        <w:rPr>
          <w:rFonts w:cs="Times New Roman"/>
        </w:rPr>
      </w:pPr>
      <w:r w:rsidRPr="00A64D02">
        <w:rPr>
          <w:rFonts w:cs="Times New Roman"/>
          <w:b/>
          <w:bCs/>
        </w:rPr>
        <w:t>Fig. S5 | Contrasting transcriptional regulation in methanotrophic communities. a,</w:t>
      </w:r>
      <w:r w:rsidRPr="00A64D02">
        <w:rPr>
          <w:rFonts w:cs="Times New Roman"/>
        </w:rPr>
        <w:t xml:space="preserve"> Circular heatmap displaying the genomic-to-transcript abundance ratio for key methanotrophic functional genes across treatments. From inner to outer rings: treatment groups (Control, CK; Annual-low biochar, AL; Single-high biochar, HS). </w:t>
      </w:r>
      <w:r w:rsidRPr="00A64D02">
        <w:rPr>
          <w:rFonts w:cs="Times New Roman"/>
          <w:b/>
          <w:bCs/>
        </w:rPr>
        <w:t>b,</w:t>
      </w:r>
      <w:r w:rsidRPr="00A64D02">
        <w:rPr>
          <w:rFonts w:cs="Times New Roman"/>
        </w:rPr>
        <w:t xml:space="preserve"> Box plots showing the expression levels of the </w:t>
      </w:r>
      <w:proofErr w:type="spellStart"/>
      <w:r w:rsidRPr="00A64D02">
        <w:rPr>
          <w:rFonts w:cs="Times New Roman"/>
          <w:i/>
          <w:iCs/>
        </w:rPr>
        <w:t>nir</w:t>
      </w:r>
      <w:r w:rsidRPr="00A64D02">
        <w:rPr>
          <w:rFonts w:cs="Times New Roman"/>
        </w:rPr>
        <w:t>B</w:t>
      </w:r>
      <w:proofErr w:type="spellEnd"/>
      <w:r w:rsidRPr="00A64D02">
        <w:rPr>
          <w:rFonts w:cs="Times New Roman"/>
          <w:i/>
          <w:iCs/>
        </w:rPr>
        <w:t xml:space="preserve"> </w:t>
      </w:r>
      <w:r w:rsidRPr="00A64D02">
        <w:rPr>
          <w:rFonts w:cs="Times New Roman"/>
        </w:rPr>
        <w:t>and </w:t>
      </w:r>
      <w:proofErr w:type="spellStart"/>
      <w:r w:rsidRPr="00A64D02">
        <w:rPr>
          <w:rFonts w:cs="Times New Roman"/>
          <w:i/>
          <w:iCs/>
        </w:rPr>
        <w:t>nir</w:t>
      </w:r>
      <w:r w:rsidRPr="00A64D02">
        <w:rPr>
          <w:rFonts w:cs="Times New Roman"/>
        </w:rPr>
        <w:t>D</w:t>
      </w:r>
      <w:proofErr w:type="spellEnd"/>
      <w:r w:rsidRPr="00A64D02">
        <w:rPr>
          <w:rFonts w:cs="Times New Roman"/>
          <w:i/>
          <w:iCs/>
        </w:rPr>
        <w:t xml:space="preserve"> </w:t>
      </w:r>
      <w:r w:rsidRPr="00A64D02">
        <w:rPr>
          <w:rFonts w:cs="Times New Roman"/>
        </w:rPr>
        <w:t>genes, encoding nitrite reductase subunits, within the total methanotrophic community. Different letters indicate significant differences among treatments (</w:t>
      </w:r>
      <w:r w:rsidRPr="00231DC2">
        <w:rPr>
          <w:rFonts w:cs="Times New Roman"/>
          <w:i/>
          <w:iCs/>
        </w:rPr>
        <w:t>p</w:t>
      </w:r>
      <w:r w:rsidRPr="00A64D02">
        <w:rPr>
          <w:rFonts w:cs="Times New Roman"/>
        </w:rPr>
        <w:t xml:space="preserve"> &lt; 0.05, Kruskal-Wallis test with Dunn’s post hoc; n=3).</w:t>
      </w:r>
      <w:r w:rsidR="00231DC2">
        <w:rPr>
          <w:rFonts w:cs="Times New Roman" w:hint="eastAsia"/>
        </w:rPr>
        <w:t xml:space="preserve"> </w:t>
      </w:r>
      <w:r w:rsidRPr="00A64D02">
        <w:rPr>
          <w:rFonts w:cs="Times New Roman"/>
          <w:b/>
          <w:bCs/>
        </w:rPr>
        <w:t xml:space="preserve">c, </w:t>
      </w:r>
      <w:r w:rsidRPr="00A64D02">
        <w:rPr>
          <w:rFonts w:cs="Times New Roman"/>
        </w:rPr>
        <w:t>Heatmap of gene expression (Z-score) in the genus </w:t>
      </w:r>
      <w:proofErr w:type="spellStart"/>
      <w:r w:rsidRPr="00A64D02">
        <w:rPr>
          <w:rFonts w:cs="Times New Roman"/>
          <w:i/>
          <w:iCs/>
        </w:rPr>
        <w:t>Methylomonas</w:t>
      </w:r>
      <w:proofErr w:type="spellEnd"/>
      <w:r w:rsidRPr="00A64D02">
        <w:rPr>
          <w:rFonts w:cs="Times New Roman"/>
          <w:i/>
          <w:iCs/>
        </w:rPr>
        <w:t xml:space="preserve"> </w:t>
      </w:r>
      <w:r w:rsidRPr="00A64D02">
        <w:rPr>
          <w:rFonts w:cs="Times New Roman"/>
        </w:rPr>
        <w:t xml:space="preserve">for a subset of core methanotrophic and denitrification genes. Rows are genes, columns are samples grouped by treatment. </w:t>
      </w:r>
    </w:p>
    <w:p w14:paraId="650A4736" w14:textId="77777777" w:rsidR="007821E9" w:rsidRPr="00A64D02" w:rsidRDefault="007821E9">
      <w:pPr>
        <w:spacing w:after="156"/>
        <w:rPr>
          <w:rFonts w:cs="Times New Roman"/>
        </w:rPr>
      </w:pPr>
    </w:p>
    <w:p w14:paraId="565ACAFE" w14:textId="77777777" w:rsidR="007821E9" w:rsidRPr="00A64D02" w:rsidRDefault="007821E9">
      <w:pPr>
        <w:spacing w:after="156"/>
        <w:rPr>
          <w:rFonts w:cs="Times New Roman"/>
        </w:rPr>
      </w:pPr>
      <w:bookmarkStart w:id="13" w:name="_Hlk217577775"/>
    </w:p>
    <w:p w14:paraId="742A4D15" w14:textId="77777777" w:rsidR="007821E9" w:rsidRPr="00A64D02" w:rsidRDefault="00000000">
      <w:pPr>
        <w:keepNext/>
        <w:keepLines/>
        <w:spacing w:after="156"/>
        <w:rPr>
          <w:rFonts w:cs="Times New Roman"/>
        </w:rPr>
      </w:pPr>
      <w:r w:rsidRPr="00A64D02">
        <w:rPr>
          <w:rFonts w:cs="Times New Roman"/>
          <w:noProof/>
        </w:rPr>
        <w:lastRenderedPageBreak/>
        <w:drawing>
          <wp:inline distT="0" distB="0" distL="0" distR="0" wp14:anchorId="375EF723" wp14:editId="513BC564">
            <wp:extent cx="5274310" cy="3204845"/>
            <wp:effectExtent l="0" t="0" r="0" b="0"/>
            <wp:docPr id="1"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形 4"/>
                    <pic:cNvPicPr>
                      <a:picLocks noChangeAspect="1"/>
                    </pic:cNvPicPr>
                  </pic:nvPicPr>
                  <pic:blipFill>
                    <a:blip r:embed="rId12">
                      <a:extLst>
                        <a:ext uri="{96DAC541-7B7A-43D3-8B79-37D633B846F1}">
                          <asvg:svgBlip xmlns:asvg="http://schemas.microsoft.com/office/drawing/2016/SVG/main" r:embed="rId13"/>
                        </a:ext>
                      </a:extLst>
                    </a:blip>
                    <a:srcRect t="4500"/>
                    <a:stretch>
                      <a:fillRect/>
                    </a:stretch>
                  </pic:blipFill>
                  <pic:spPr>
                    <a:xfrm>
                      <a:off x="0" y="0"/>
                      <a:ext cx="5278061" cy="3207124"/>
                    </a:xfrm>
                    <a:prstGeom prst="rect">
                      <a:avLst/>
                    </a:prstGeom>
                  </pic:spPr>
                </pic:pic>
              </a:graphicData>
            </a:graphic>
          </wp:inline>
        </w:drawing>
      </w:r>
    </w:p>
    <w:p w14:paraId="15DC2487" w14:textId="1BE54C6B" w:rsidR="007821E9" w:rsidRPr="00A64D02" w:rsidRDefault="00000000">
      <w:pPr>
        <w:keepNext/>
        <w:keepLines/>
        <w:spacing w:after="156"/>
        <w:rPr>
          <w:rFonts w:cs="Times New Roman"/>
        </w:rPr>
      </w:pPr>
      <w:r w:rsidRPr="00A64D02">
        <w:rPr>
          <w:rFonts w:cs="Times New Roman"/>
          <w:b/>
          <w:bCs/>
        </w:rPr>
        <w:t xml:space="preserve">Fig. S6 | Pairwise correlations among soil properties, Methanotrophs genomic and transcriptomic features, and methane oxidation potential (PMO). </w:t>
      </w:r>
      <w:proofErr w:type="spellStart"/>
      <w:r w:rsidRPr="00A64D02">
        <w:rPr>
          <w:rFonts w:cs="Times New Roman"/>
        </w:rPr>
        <w:t>Monas_trans</w:t>
      </w:r>
      <w:proofErr w:type="spellEnd"/>
      <w:r w:rsidRPr="00A64D02">
        <w:rPr>
          <w:rFonts w:cs="Times New Roman"/>
        </w:rPr>
        <w:t xml:space="preserve"> and </w:t>
      </w:r>
      <w:proofErr w:type="spellStart"/>
      <w:r w:rsidRPr="00A64D02">
        <w:rPr>
          <w:rFonts w:cs="Times New Roman"/>
        </w:rPr>
        <w:t>Methyl_trans</w:t>
      </w:r>
      <w:proofErr w:type="spellEnd"/>
      <w:r w:rsidRPr="00A64D02">
        <w:rPr>
          <w:rFonts w:cs="Times New Roman"/>
        </w:rPr>
        <w:t xml:space="preserve"> represent the contig-based </w:t>
      </w:r>
      <w:proofErr w:type="spellStart"/>
      <w:r w:rsidRPr="00A64D02">
        <w:rPr>
          <w:rFonts w:cs="Times New Roman"/>
        </w:rPr>
        <w:t>metatranscriptomic</w:t>
      </w:r>
      <w:proofErr w:type="spellEnd"/>
      <w:r w:rsidRPr="00A64D02">
        <w:rPr>
          <w:rFonts w:cs="Times New Roman"/>
        </w:rPr>
        <w:t xml:space="preserve"> abundance (i.e., overall transcriptional activity) of the genus </w:t>
      </w:r>
      <w:proofErr w:type="spellStart"/>
      <w:r w:rsidRPr="00A64D02">
        <w:rPr>
          <w:rFonts w:cs="Times New Roman"/>
        </w:rPr>
        <w:t>Methylomonas</w:t>
      </w:r>
      <w:proofErr w:type="spellEnd"/>
      <w:r w:rsidRPr="00A64D02">
        <w:rPr>
          <w:rFonts w:cs="Times New Roman"/>
        </w:rPr>
        <w:t xml:space="preserve"> and of the methanotrophic community, respectively. </w:t>
      </w:r>
      <w:proofErr w:type="spellStart"/>
      <w:r w:rsidRPr="00A64D02">
        <w:rPr>
          <w:rFonts w:cs="Times New Roman"/>
        </w:rPr>
        <w:t>Methyl_t_P</w:t>
      </w:r>
      <w:proofErr w:type="spellEnd"/>
      <w:r w:rsidRPr="00A64D02">
        <w:rPr>
          <w:rFonts w:cs="Times New Roman"/>
        </w:rPr>
        <w:t xml:space="preserve"> denotes the abundance of temperate phages predicted to target methanotrophs. BD and NH4 represent soil bulk density and ammonium concentration, respectively.</w:t>
      </w:r>
    </w:p>
    <w:p w14:paraId="3972194C" w14:textId="77777777" w:rsidR="007821E9" w:rsidRPr="00A64D02" w:rsidRDefault="00000000">
      <w:pPr>
        <w:keepNext/>
        <w:keepLines/>
        <w:spacing w:after="156"/>
        <w:jc w:val="center"/>
        <w:rPr>
          <w:rFonts w:cs="Times New Roman"/>
          <w:b/>
          <w:bCs/>
        </w:rPr>
      </w:pPr>
      <w:r w:rsidRPr="00A64D02">
        <w:rPr>
          <w:rFonts w:cs="Times New Roman"/>
          <w:b/>
          <w:bCs/>
          <w:noProof/>
        </w:rPr>
        <w:lastRenderedPageBreak/>
        <w:drawing>
          <wp:inline distT="0" distB="0" distL="0" distR="0" wp14:anchorId="7D1078B2" wp14:editId="0BD76552">
            <wp:extent cx="3552825" cy="43929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62984" cy="4405556"/>
                    </a:xfrm>
                    <a:prstGeom prst="rect">
                      <a:avLst/>
                    </a:prstGeom>
                    <a:noFill/>
                  </pic:spPr>
                </pic:pic>
              </a:graphicData>
            </a:graphic>
          </wp:inline>
        </w:drawing>
      </w:r>
    </w:p>
    <w:p w14:paraId="694152AC" w14:textId="1E8869A2" w:rsidR="007821E9" w:rsidRPr="00A64D02" w:rsidRDefault="00000000">
      <w:pPr>
        <w:keepNext/>
        <w:keepLines/>
        <w:spacing w:after="156"/>
        <w:rPr>
          <w:rFonts w:cs="Times New Roman"/>
        </w:rPr>
      </w:pPr>
      <w:r w:rsidRPr="00A64D02">
        <w:rPr>
          <w:rFonts w:cs="Times New Roman"/>
          <w:b/>
          <w:bCs/>
        </w:rPr>
        <w:t xml:space="preserve">Fig. S7 | Results of Partial Least Squares Structural Equation Modeling (PLS-SEM) testing the hypothesized importance of soil environment, DNRA and </w:t>
      </w:r>
      <w:proofErr w:type="spellStart"/>
      <w:r w:rsidRPr="00A64D02">
        <w:rPr>
          <w:rFonts w:cs="Times New Roman"/>
          <w:b/>
          <w:bCs/>
        </w:rPr>
        <w:t>Methylomonas</w:t>
      </w:r>
      <w:proofErr w:type="spellEnd"/>
      <w:r w:rsidRPr="00A64D02">
        <w:rPr>
          <w:rFonts w:cs="Times New Roman"/>
          <w:b/>
          <w:bCs/>
        </w:rPr>
        <w:t xml:space="preserve"> significance on methane oxidation potential (PMO). a, </w:t>
      </w:r>
      <w:r w:rsidRPr="00A64D02">
        <w:rPr>
          <w:rFonts w:cs="Times New Roman"/>
        </w:rPr>
        <w:t xml:space="preserve">PLS-SEM conceptual path model. Soil environment is an exogenous variable, while </w:t>
      </w:r>
      <w:proofErr w:type="spellStart"/>
      <w:r w:rsidRPr="00A64D02">
        <w:rPr>
          <w:rFonts w:cs="Times New Roman"/>
          <w:i/>
          <w:iCs/>
        </w:rPr>
        <w:t>Methylomonas</w:t>
      </w:r>
      <w:proofErr w:type="spellEnd"/>
      <w:r w:rsidRPr="00A64D02">
        <w:rPr>
          <w:rFonts w:cs="Times New Roman"/>
          <w:i/>
          <w:iCs/>
        </w:rPr>
        <w:t xml:space="preserve"> </w:t>
      </w:r>
      <w:r w:rsidRPr="00A64D02">
        <w:rPr>
          <w:rFonts w:cs="Times New Roman"/>
        </w:rPr>
        <w:t xml:space="preserve">abundance (DNA level), </w:t>
      </w:r>
      <w:proofErr w:type="spellStart"/>
      <w:r w:rsidRPr="00A64D02">
        <w:rPr>
          <w:rFonts w:cs="Times New Roman"/>
          <w:i/>
          <w:iCs/>
        </w:rPr>
        <w:t>Methylomonas</w:t>
      </w:r>
      <w:proofErr w:type="spellEnd"/>
      <w:r w:rsidRPr="00A64D02">
        <w:rPr>
          <w:rFonts w:cs="Times New Roman"/>
          <w:i/>
          <w:iCs/>
        </w:rPr>
        <w:t xml:space="preserve"> </w:t>
      </w:r>
      <w:r w:rsidRPr="00A64D02">
        <w:rPr>
          <w:rFonts w:cs="Times New Roman"/>
        </w:rPr>
        <w:t xml:space="preserve">transcriptional activity (RNA level), DNRA pathway activity, and PMO activity are endogenous variables. Arrows denote hypothesized directional paths. Red lines indicate positive relationships. Blue lines indicate negative relationships. Numbers on arrows are the standardized path coefficients (β) estimated by the model. </w:t>
      </w:r>
      <w:r w:rsidRPr="00A64D02">
        <w:rPr>
          <w:rFonts w:cs="Times New Roman"/>
          <w:b/>
          <w:bCs/>
        </w:rPr>
        <w:t>b</w:t>
      </w:r>
      <w:r w:rsidRPr="00A64D02">
        <w:rPr>
          <w:rFonts w:cs="Times New Roman"/>
        </w:rPr>
        <w:t>, Statistical evaluation of path coefficients.​ The forest plot displays the standardized path coefficients (points) with their 95% confidence intervals (bars) for each hypothesized relationship in the model. Paths are grouped by the dependent (outcome) variable. Red points and intervals indicate statistically significant paths (where the 95% CI does not cross zero), while blue points indicate non-significant paths. The exogenous variable Soil Env​</w:t>
      </w:r>
      <w:proofErr w:type="spellStart"/>
      <w:r w:rsidRPr="00A64D02">
        <w:rPr>
          <w:rFonts w:cs="Times New Roman"/>
        </w:rPr>
        <w:t>ironment</w:t>
      </w:r>
      <w:proofErr w:type="spellEnd"/>
      <w:r w:rsidRPr="00A64D02">
        <w:rPr>
          <w:rFonts w:cs="Times New Roman"/>
        </w:rPr>
        <w:t xml:space="preserve"> (</w:t>
      </w:r>
      <w:proofErr w:type="spellStart"/>
      <w:r w:rsidRPr="00A64D02">
        <w:rPr>
          <w:rFonts w:cs="Times New Roman"/>
        </w:rPr>
        <w:t>Soil</w:t>
      </w:r>
      <w:r w:rsidRPr="00A64D02">
        <w:rPr>
          <w:rFonts w:cs="Times New Roman"/>
        </w:rPr>
        <w:softHyphen/>
        <w:t>_Env</w:t>
      </w:r>
      <w:proofErr w:type="spellEnd"/>
      <w:r w:rsidRPr="00A64D02">
        <w:rPr>
          <w:rFonts w:cs="Times New Roman"/>
        </w:rPr>
        <w:t xml:space="preserve"> in </w:t>
      </w:r>
      <w:r w:rsidRPr="00A64D02">
        <w:rPr>
          <w:rFonts w:cs="Times New Roman"/>
          <w:b/>
          <w:bCs/>
        </w:rPr>
        <w:t>b</w:t>
      </w:r>
      <w:r w:rsidRPr="00A64D02">
        <w:rPr>
          <w:rFonts w:cs="Times New Roman"/>
        </w:rPr>
        <w:t xml:space="preserve">) integrated bulk density and ammonium concentration. The endogenous variable </w:t>
      </w:r>
      <w:proofErr w:type="spellStart"/>
      <w:r w:rsidRPr="00A64D02">
        <w:rPr>
          <w:rFonts w:cs="Times New Roman"/>
        </w:rPr>
        <w:t>Methylmonas</w:t>
      </w:r>
      <w:proofErr w:type="spellEnd"/>
      <w:r w:rsidRPr="00A64D02">
        <w:rPr>
          <w:rFonts w:cs="Times New Roman"/>
        </w:rPr>
        <w:t xml:space="preserve"> Abundance (</w:t>
      </w:r>
      <w:proofErr w:type="spellStart"/>
      <w:r w:rsidRPr="00A64D02">
        <w:rPr>
          <w:rFonts w:cs="Times New Roman"/>
        </w:rPr>
        <w:t>Monas_Abun</w:t>
      </w:r>
      <w:proofErr w:type="spellEnd"/>
      <w:r w:rsidRPr="00A64D02">
        <w:rPr>
          <w:rFonts w:cs="Times New Roman"/>
        </w:rPr>
        <w:t xml:space="preserve"> in </w:t>
      </w:r>
      <w:r w:rsidRPr="00A64D02">
        <w:rPr>
          <w:rFonts w:cs="Times New Roman"/>
          <w:b/>
          <w:bCs/>
        </w:rPr>
        <w:t>b</w:t>
      </w:r>
      <w:r w:rsidRPr="00A64D02">
        <w:rPr>
          <w:rFonts w:cs="Times New Roman"/>
        </w:rPr>
        <w:t xml:space="preserve">) represented the relative abundance of two dominant </w:t>
      </w:r>
      <w:proofErr w:type="spellStart"/>
      <w:r w:rsidRPr="00A64D02">
        <w:rPr>
          <w:rFonts w:cs="Times New Roman"/>
          <w:i/>
          <w:iCs/>
        </w:rPr>
        <w:t>Methylomonas</w:t>
      </w:r>
      <w:proofErr w:type="spellEnd"/>
      <w:r w:rsidRPr="00A64D02">
        <w:rPr>
          <w:rFonts w:cs="Times New Roman"/>
          <w:i/>
          <w:iCs/>
        </w:rPr>
        <w:t xml:space="preserve"> </w:t>
      </w:r>
      <w:r w:rsidRPr="00A64D02">
        <w:rPr>
          <w:rFonts w:cs="Times New Roman"/>
        </w:rPr>
        <w:t>MAGs (I3_bin.11 and I3_bin.12). Methanotrophs Transcripts (</w:t>
      </w:r>
      <w:proofErr w:type="spellStart"/>
      <w:r w:rsidRPr="00A64D02">
        <w:rPr>
          <w:rFonts w:cs="Times New Roman"/>
        </w:rPr>
        <w:t>Methanotrophs_Trans</w:t>
      </w:r>
      <w:proofErr w:type="spellEnd"/>
      <w:r w:rsidRPr="00A64D02">
        <w:rPr>
          <w:rFonts w:cs="Times New Roman"/>
        </w:rPr>
        <w:t xml:space="preserve"> in </w:t>
      </w:r>
      <w:r w:rsidRPr="00A64D02">
        <w:rPr>
          <w:rFonts w:cs="Times New Roman"/>
          <w:b/>
          <w:bCs/>
        </w:rPr>
        <w:t>b</w:t>
      </w:r>
      <w:r w:rsidRPr="00A64D02">
        <w:rPr>
          <w:rFonts w:cs="Times New Roman"/>
        </w:rPr>
        <w:t xml:space="preserve">) captured the in situ transcriptional activity of methanotrophs, combining with </w:t>
      </w:r>
      <w:proofErr w:type="spellStart"/>
      <w:r w:rsidRPr="00A64D02">
        <w:rPr>
          <w:rFonts w:cs="Times New Roman"/>
          <w:i/>
          <w:iCs/>
        </w:rPr>
        <w:t>Methylomonas</w:t>
      </w:r>
      <w:proofErr w:type="spellEnd"/>
      <w:r w:rsidRPr="00A64D02">
        <w:rPr>
          <w:rFonts w:cs="Times New Roman"/>
        </w:rPr>
        <w:t xml:space="preserve">-specific expression. DNRA was reflected by the expression levels of the </w:t>
      </w:r>
      <w:proofErr w:type="spellStart"/>
      <w:r w:rsidRPr="00A64D02">
        <w:rPr>
          <w:rFonts w:cs="Times New Roman"/>
          <w:i/>
          <w:iCs/>
        </w:rPr>
        <w:t>nir</w:t>
      </w:r>
      <w:r w:rsidRPr="00A64D02">
        <w:rPr>
          <w:rFonts w:cs="Times New Roman"/>
        </w:rPr>
        <w:t>B</w:t>
      </w:r>
      <w:proofErr w:type="spellEnd"/>
      <w:r w:rsidRPr="00A64D02">
        <w:rPr>
          <w:rFonts w:cs="Times New Roman"/>
          <w:i/>
          <w:iCs/>
        </w:rPr>
        <w:t xml:space="preserve"> </w:t>
      </w:r>
      <w:r w:rsidRPr="00A64D02">
        <w:rPr>
          <w:rFonts w:cs="Times New Roman"/>
        </w:rPr>
        <w:t xml:space="preserve">and </w:t>
      </w:r>
      <w:proofErr w:type="spellStart"/>
      <w:r w:rsidRPr="00A64D02">
        <w:rPr>
          <w:rFonts w:cs="Times New Roman"/>
          <w:i/>
          <w:iCs/>
        </w:rPr>
        <w:t>nir</w:t>
      </w:r>
      <w:r w:rsidRPr="00A64D02">
        <w:rPr>
          <w:rFonts w:cs="Times New Roman"/>
        </w:rPr>
        <w:t>D</w:t>
      </w:r>
      <w:proofErr w:type="spellEnd"/>
      <w:r w:rsidRPr="00A64D02">
        <w:rPr>
          <w:rFonts w:cs="Times New Roman"/>
          <w:i/>
          <w:iCs/>
        </w:rPr>
        <w:t xml:space="preserve"> </w:t>
      </w:r>
      <w:r w:rsidRPr="00A64D02">
        <w:rPr>
          <w:rFonts w:cs="Times New Roman"/>
        </w:rPr>
        <w:t>genes.</w:t>
      </w:r>
    </w:p>
    <w:bookmarkEnd w:id="13"/>
    <w:p w14:paraId="0A0D7711" w14:textId="30C64546" w:rsidR="007821E9" w:rsidRPr="00A64D02" w:rsidRDefault="007821E9">
      <w:pPr>
        <w:spacing w:after="156"/>
        <w:rPr>
          <w:rFonts w:cs="Times New Roman"/>
        </w:rPr>
      </w:pPr>
    </w:p>
    <w:p w14:paraId="419D6DD7" w14:textId="5FFA4448" w:rsidR="007821E9" w:rsidRPr="00A64D02" w:rsidRDefault="0071281E" w:rsidP="0071281E">
      <w:pPr>
        <w:spacing w:after="156"/>
        <w:jc w:val="center"/>
        <w:rPr>
          <w:rFonts w:cs="Times New Roman"/>
        </w:rPr>
      </w:pPr>
      <w:r w:rsidRPr="00A64D02">
        <w:rPr>
          <w:rFonts w:cs="Times New Roman"/>
          <w:noProof/>
        </w:rPr>
        <w:lastRenderedPageBreak/>
        <w:drawing>
          <wp:inline distT="0" distB="0" distL="0" distR="0" wp14:anchorId="016C071E" wp14:editId="4A82828E">
            <wp:extent cx="5172075" cy="3752573"/>
            <wp:effectExtent l="0" t="0" r="0" b="635"/>
            <wp:docPr id="1525067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4401" cy="3761516"/>
                    </a:xfrm>
                    <a:prstGeom prst="rect">
                      <a:avLst/>
                    </a:prstGeom>
                    <a:noFill/>
                  </pic:spPr>
                </pic:pic>
              </a:graphicData>
            </a:graphic>
          </wp:inline>
        </w:drawing>
      </w:r>
    </w:p>
    <w:p w14:paraId="4F8BA074" w14:textId="7C96B06A" w:rsidR="007821E9" w:rsidRPr="00A64D02" w:rsidRDefault="00000000">
      <w:pPr>
        <w:spacing w:after="156"/>
        <w:rPr>
          <w:rFonts w:cs="Times New Roman"/>
        </w:rPr>
      </w:pPr>
      <w:r w:rsidRPr="00A64D02">
        <w:rPr>
          <w:rFonts w:cs="Times New Roman"/>
          <w:b/>
          <w:bCs/>
        </w:rPr>
        <w:t xml:space="preserve">Fig. S8 | Phylogenetic identity of </w:t>
      </w:r>
      <w:proofErr w:type="spellStart"/>
      <w:r w:rsidRPr="00A64D02">
        <w:rPr>
          <w:rFonts w:cs="Times New Roman"/>
          <w:b/>
          <w:bCs/>
          <w:i/>
          <w:iCs/>
        </w:rPr>
        <w:t>Methylomonas</w:t>
      </w:r>
      <w:proofErr w:type="spellEnd"/>
      <w:r w:rsidRPr="00A64D02">
        <w:rPr>
          <w:rFonts w:cs="Times New Roman"/>
          <w:b/>
          <w:bCs/>
        </w:rPr>
        <w:t xml:space="preserve"> MAG. a, </w:t>
      </w:r>
      <w:r w:rsidRPr="00A64D02">
        <w:rPr>
          <w:rFonts w:cs="Times New Roman"/>
        </w:rPr>
        <w:t>Maximum-likelihood phylogenetic tree of Methylomonas16S rRNA gene sequences, showing the placement of MAGs recovered in this study within the genus. Brown labels represent reference sequences obtained from the NCBI database; accession numbers beginning with ‘GCF’ correspond to their NCBI genome IDs. Red labels denote the MAGs identified in this study (e.g., 13_bin.11, 13_bin.12). The Average Nucleotide Identity (ANI) values (e.g., 0.73/70) indicate the genomic similarity between the labelled MAGs and their closest cultivated relatives (</w:t>
      </w:r>
      <w:proofErr w:type="spellStart"/>
      <w:r w:rsidRPr="00A64D02">
        <w:rPr>
          <w:rFonts w:cs="Times New Roman"/>
          <w:i/>
          <w:iCs/>
        </w:rPr>
        <w:t>Methylomonas</w:t>
      </w:r>
      <w:proofErr w:type="spellEnd"/>
      <w:r w:rsidRPr="00A64D02">
        <w:rPr>
          <w:rFonts w:cs="Times New Roman"/>
        </w:rPr>
        <w:t xml:space="preserve"> </w:t>
      </w:r>
      <w:proofErr w:type="spellStart"/>
      <w:r w:rsidRPr="00A64D02">
        <w:rPr>
          <w:rFonts w:cs="Times New Roman"/>
        </w:rPr>
        <w:t>rapida</w:t>
      </w:r>
      <w:proofErr w:type="spellEnd"/>
      <w:r w:rsidRPr="00A64D02">
        <w:rPr>
          <w:rFonts w:cs="Times New Roman"/>
        </w:rPr>
        <w:t xml:space="preserve"> and </w:t>
      </w:r>
      <w:proofErr w:type="spellStart"/>
      <w:r w:rsidRPr="00A64D02">
        <w:rPr>
          <w:rFonts w:cs="Times New Roman"/>
          <w:i/>
          <w:iCs/>
        </w:rPr>
        <w:t>Methylomonas</w:t>
      </w:r>
      <w:proofErr w:type="spellEnd"/>
      <w:r w:rsidRPr="00A64D02">
        <w:rPr>
          <w:rFonts w:cs="Times New Roman"/>
          <w:i/>
          <w:iCs/>
        </w:rPr>
        <w:t xml:space="preserve"> </w:t>
      </w:r>
      <w:proofErr w:type="spellStart"/>
      <w:r w:rsidRPr="00A64D02">
        <w:rPr>
          <w:rFonts w:cs="Times New Roman"/>
        </w:rPr>
        <w:t>koyamae</w:t>
      </w:r>
      <w:proofErr w:type="spellEnd"/>
      <w:r w:rsidRPr="00A64D02">
        <w:rPr>
          <w:rFonts w:cs="Times New Roman"/>
        </w:rPr>
        <w:t xml:space="preserve">, respectively), suggesting they may represent novel species. </w:t>
      </w:r>
      <w:r w:rsidRPr="00A64D02">
        <w:rPr>
          <w:rFonts w:cs="Times New Roman"/>
          <w:b/>
          <w:bCs/>
        </w:rPr>
        <w:t xml:space="preserve">b, </w:t>
      </w:r>
      <w:r w:rsidRPr="00A64D02">
        <w:rPr>
          <w:rFonts w:cs="Times New Roman"/>
        </w:rPr>
        <w:t xml:space="preserve">The </w:t>
      </w:r>
      <w:proofErr w:type="spellStart"/>
      <w:r w:rsidRPr="00A64D02">
        <w:rPr>
          <w:rFonts w:cs="Times New Roman"/>
        </w:rPr>
        <w:t>anudance</w:t>
      </w:r>
      <w:proofErr w:type="spellEnd"/>
      <w:r w:rsidRPr="00A64D02">
        <w:rPr>
          <w:rFonts w:cs="Times New Roman"/>
        </w:rPr>
        <w:t xml:space="preserve"> of recovered </w:t>
      </w:r>
      <w:proofErr w:type="spellStart"/>
      <w:r w:rsidRPr="00A64D02">
        <w:rPr>
          <w:rFonts w:cs="Times New Roman"/>
        </w:rPr>
        <w:t>Methyomonas</w:t>
      </w:r>
      <w:proofErr w:type="spellEnd"/>
      <w:r w:rsidRPr="00A64D02">
        <w:rPr>
          <w:rFonts w:cs="Times New Roman"/>
        </w:rPr>
        <w:t xml:space="preserve"> MAGs. Different lowercase letters indicate significant differences among ammonium concentrations within the same measurement time (Tukey’s HSD test, </w:t>
      </w:r>
      <w:r w:rsidRPr="00231DC2">
        <w:rPr>
          <w:rFonts w:cs="Times New Roman"/>
          <w:i/>
          <w:iCs/>
        </w:rPr>
        <w:t>p</w:t>
      </w:r>
      <w:r w:rsidRPr="00A64D02">
        <w:rPr>
          <w:rFonts w:cs="Times New Roman"/>
        </w:rPr>
        <w:t xml:space="preserve"> &lt; 0.05, n=3). Data are presented as mean ± SE.</w:t>
      </w:r>
    </w:p>
    <w:p w14:paraId="3A9769B1" w14:textId="77777777" w:rsidR="007821E9" w:rsidRPr="00A64D02" w:rsidRDefault="007821E9">
      <w:pPr>
        <w:spacing w:after="156"/>
        <w:rPr>
          <w:rFonts w:cs="Times New Roman"/>
        </w:rPr>
      </w:pPr>
    </w:p>
    <w:p w14:paraId="5DBE8630" w14:textId="44DACD0E" w:rsidR="007821E9" w:rsidRPr="00A64D02" w:rsidRDefault="00E5238A">
      <w:pPr>
        <w:spacing w:after="156"/>
        <w:jc w:val="center"/>
        <w:rPr>
          <w:rFonts w:cs="Times New Roman"/>
        </w:rPr>
      </w:pPr>
      <w:r w:rsidRPr="00A64D02">
        <w:rPr>
          <w:rFonts w:cs="Times New Roman"/>
          <w:noProof/>
        </w:rPr>
        <w:lastRenderedPageBreak/>
        <w:drawing>
          <wp:inline distT="0" distB="0" distL="0" distR="0" wp14:anchorId="18F97106" wp14:editId="4694799E">
            <wp:extent cx="5274310" cy="3636010"/>
            <wp:effectExtent l="0" t="0" r="2540" b="2540"/>
            <wp:docPr id="381452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52953" name=""/>
                    <pic:cNvPicPr/>
                  </pic:nvPicPr>
                  <pic:blipFill>
                    <a:blip r:embed="rId16"/>
                    <a:stretch>
                      <a:fillRect/>
                    </a:stretch>
                  </pic:blipFill>
                  <pic:spPr>
                    <a:xfrm>
                      <a:off x="0" y="0"/>
                      <a:ext cx="5274310" cy="3636010"/>
                    </a:xfrm>
                    <a:prstGeom prst="rect">
                      <a:avLst/>
                    </a:prstGeom>
                  </pic:spPr>
                </pic:pic>
              </a:graphicData>
            </a:graphic>
          </wp:inline>
        </w:drawing>
      </w:r>
    </w:p>
    <w:p w14:paraId="712EC5F0" w14:textId="13F05CD0" w:rsidR="007821E9" w:rsidRPr="00A64D02" w:rsidRDefault="00000000">
      <w:pPr>
        <w:spacing w:after="156"/>
        <w:rPr>
          <w:rFonts w:cs="Times New Roman"/>
        </w:rPr>
      </w:pPr>
      <w:r w:rsidRPr="00A64D02">
        <w:rPr>
          <w:rFonts w:cs="Times New Roman"/>
          <w:b/>
          <w:bCs/>
        </w:rPr>
        <w:t xml:space="preserve">Fig. S9 | </w:t>
      </w:r>
      <w:r w:rsidR="00303AB1" w:rsidRPr="00A64D02">
        <w:rPr>
          <w:rFonts w:cs="Times New Roman"/>
          <w:b/>
          <w:bCs/>
        </w:rPr>
        <w:t xml:space="preserve">Genomic and transcriptomic dynamics reveal an active, synchronized phage-host mutualism driving the biochar-amended methane sink. a, </w:t>
      </w:r>
      <w:r w:rsidR="00A7353B" w:rsidRPr="00A64D02">
        <w:rPr>
          <w:rFonts w:cs="Times New Roman"/>
        </w:rPr>
        <w:t>A</w:t>
      </w:r>
      <w:r w:rsidR="00303AB1" w:rsidRPr="00A64D02">
        <w:rPr>
          <w:rFonts w:cs="Times New Roman"/>
        </w:rPr>
        <w:t>bundance (measured as mean sequencing coverage) of the primary methanotroph host (</w:t>
      </w:r>
      <w:proofErr w:type="spellStart"/>
      <w:r w:rsidR="00303AB1" w:rsidRPr="00A64D02">
        <w:rPr>
          <w:rFonts w:cs="Times New Roman"/>
          <w:i/>
          <w:iCs/>
        </w:rPr>
        <w:t>Methylomonas</w:t>
      </w:r>
      <w:proofErr w:type="spellEnd"/>
      <w:r w:rsidR="00303AB1" w:rsidRPr="00A64D02">
        <w:rPr>
          <w:rFonts w:cs="Times New Roman"/>
        </w:rPr>
        <w:t>, MAG I3_bin.11) and the specific viral contigs encoding auxiliary metabolic genes (</w:t>
      </w:r>
      <w:proofErr w:type="spellStart"/>
      <w:r w:rsidR="00303AB1" w:rsidRPr="00A64D02">
        <w:rPr>
          <w:rFonts w:cs="Times New Roman"/>
          <w:i/>
          <w:iCs/>
        </w:rPr>
        <w:t>isc</w:t>
      </w:r>
      <w:r w:rsidR="00303AB1" w:rsidRPr="00A64D02">
        <w:rPr>
          <w:rFonts w:cs="Times New Roman"/>
        </w:rPr>
        <w:t>A</w:t>
      </w:r>
      <w:proofErr w:type="spellEnd"/>
      <w:r w:rsidR="00303AB1" w:rsidRPr="00A64D02">
        <w:rPr>
          <w:rFonts w:cs="Times New Roman"/>
        </w:rPr>
        <w:t xml:space="preserve"> and </w:t>
      </w:r>
      <w:proofErr w:type="spellStart"/>
      <w:r w:rsidR="00303AB1" w:rsidRPr="00A64D02">
        <w:rPr>
          <w:rFonts w:cs="Times New Roman"/>
          <w:i/>
          <w:iCs/>
        </w:rPr>
        <w:t>erp</w:t>
      </w:r>
      <w:r w:rsidR="00303AB1" w:rsidRPr="00A64D02">
        <w:rPr>
          <w:rFonts w:cs="Times New Roman"/>
        </w:rPr>
        <w:t>A</w:t>
      </w:r>
      <w:proofErr w:type="spellEnd"/>
      <w:r w:rsidR="00303AB1" w:rsidRPr="00A64D02">
        <w:rPr>
          <w:rFonts w:cs="Times New Roman"/>
        </w:rPr>
        <w:t xml:space="preserve">) across the control (CK), fresh biochar (AL), and aged biochar (HS) treatments. The AL treatment induced a significant, synchronized massive expansion of both the host and viral genomic pools. </w:t>
      </w:r>
      <w:r w:rsidR="00303AB1" w:rsidRPr="00A64D02">
        <w:rPr>
          <w:rFonts w:cs="Times New Roman"/>
          <w:b/>
          <w:bCs/>
        </w:rPr>
        <w:t>b</w:t>
      </w:r>
      <w:r w:rsidR="00303AB1" w:rsidRPr="00A64D02">
        <w:rPr>
          <w:rFonts w:cs="Times New Roman"/>
        </w:rPr>
        <w:t xml:space="preserve">, </w:t>
      </w:r>
      <w:proofErr w:type="gramStart"/>
      <w:r w:rsidR="00303AB1" w:rsidRPr="00A64D02">
        <w:rPr>
          <w:rFonts w:cs="Times New Roman"/>
        </w:rPr>
        <w:t>The</w:t>
      </w:r>
      <w:proofErr w:type="gramEnd"/>
      <w:r w:rsidR="00303AB1" w:rsidRPr="00A64D02">
        <w:rPr>
          <w:rFonts w:cs="Times New Roman"/>
        </w:rPr>
        <w:t xml:space="preserve"> estimated Viral-to-Host Ratio (VHR) calculated from the DNA coverage values. The dashed line at y = 1.0 represents a theoretical 1:1 stoichiometric relationship characteristic of coupled prophage replication. The lack of a significant shift from this baseline during the massive host bloom indicates a pervasive carriage load. </w:t>
      </w:r>
      <w:r w:rsidR="00303AB1" w:rsidRPr="00A64D02">
        <w:rPr>
          <w:rFonts w:cs="Times New Roman"/>
          <w:b/>
          <w:bCs/>
        </w:rPr>
        <w:t>c</w:t>
      </w:r>
      <w:r w:rsidR="00303AB1" w:rsidRPr="00A64D02">
        <w:rPr>
          <w:rFonts w:cs="Times New Roman"/>
        </w:rPr>
        <w:t>, Intra-population transcript abundance (measured as Transcripts Per Million, TPM) of essential host metabolic genes (</w:t>
      </w:r>
      <w:proofErr w:type="spellStart"/>
      <w:r w:rsidR="00303AB1" w:rsidRPr="00A64D02">
        <w:rPr>
          <w:rFonts w:cs="Times New Roman"/>
          <w:i/>
          <w:iCs/>
        </w:rPr>
        <w:t>pmo</w:t>
      </w:r>
      <w:r w:rsidR="00303AB1" w:rsidRPr="00A64D02">
        <w:rPr>
          <w:rFonts w:cs="Times New Roman"/>
        </w:rPr>
        <w:t>B</w:t>
      </w:r>
      <w:proofErr w:type="spellEnd"/>
      <w:r w:rsidR="00303AB1" w:rsidRPr="00A64D02">
        <w:rPr>
          <w:rFonts w:cs="Times New Roman"/>
        </w:rPr>
        <w:t xml:space="preserve"> for methane oxidation, </w:t>
      </w:r>
      <w:proofErr w:type="spellStart"/>
      <w:r w:rsidR="00303AB1" w:rsidRPr="00A64D02">
        <w:rPr>
          <w:rFonts w:cs="Times New Roman"/>
        </w:rPr>
        <w:t>nir</w:t>
      </w:r>
      <w:r w:rsidR="00303AB1" w:rsidRPr="00A64D02">
        <w:rPr>
          <w:rFonts w:cs="Times New Roman"/>
          <w:i/>
          <w:iCs/>
        </w:rPr>
        <w:t>D</w:t>
      </w:r>
      <w:proofErr w:type="spellEnd"/>
      <w:r w:rsidR="00303AB1" w:rsidRPr="00A64D02">
        <w:rPr>
          <w:rFonts w:cs="Times New Roman"/>
        </w:rPr>
        <w:t xml:space="preserve"> for detoxification) and the viral AMGs. The horizontal red dashed line indicates the basal mean transcript abundance (TPM ≈ 1234) calculated across all contigs within the host MAG, serving as the genome-wide expression baseline. Pairwise significance was tested using Student’s t-tests. Asterisks denote statistical significance (</w:t>
      </w:r>
      <w:r w:rsidR="00303AB1" w:rsidRPr="00A64D02">
        <w:rPr>
          <w:rFonts w:cs="Times New Roman"/>
          <w:vertAlign w:val="superscript"/>
        </w:rPr>
        <w:t>*</w:t>
      </w:r>
      <w:r w:rsidR="00303AB1" w:rsidRPr="00A64D02">
        <w:rPr>
          <w:rFonts w:cs="Times New Roman"/>
        </w:rPr>
        <w:t xml:space="preserve">, </w:t>
      </w:r>
      <w:r w:rsidR="00303AB1" w:rsidRPr="00A64D02">
        <w:rPr>
          <w:rFonts w:cs="Times New Roman"/>
          <w:i/>
          <w:iCs/>
        </w:rPr>
        <w:t>p</w:t>
      </w:r>
      <w:r w:rsidR="00303AB1" w:rsidRPr="00A64D02">
        <w:rPr>
          <w:rFonts w:cs="Times New Roman"/>
        </w:rPr>
        <w:t xml:space="preserve"> &lt; 0.05; </w:t>
      </w:r>
      <w:r w:rsidR="00303AB1" w:rsidRPr="00A64D02">
        <w:rPr>
          <w:rFonts w:cs="Times New Roman"/>
          <w:vertAlign w:val="superscript"/>
        </w:rPr>
        <w:t>**</w:t>
      </w:r>
      <w:r w:rsidR="00303AB1" w:rsidRPr="00A64D02">
        <w:rPr>
          <w:rFonts w:cs="Times New Roman"/>
        </w:rPr>
        <w:t xml:space="preserve">, </w:t>
      </w:r>
      <w:r w:rsidR="00303AB1" w:rsidRPr="00A64D02">
        <w:rPr>
          <w:rFonts w:cs="Times New Roman"/>
          <w:i/>
          <w:iCs/>
        </w:rPr>
        <w:t>p</w:t>
      </w:r>
      <w:r w:rsidR="00303AB1" w:rsidRPr="00A64D02">
        <w:rPr>
          <w:rFonts w:cs="Times New Roman"/>
        </w:rPr>
        <w:t xml:space="preserve"> &lt; 0.01), with non-significant (ns) comparisons omitted for clarity.</w:t>
      </w:r>
    </w:p>
    <w:p w14:paraId="2A6C749C" w14:textId="77777777" w:rsidR="007821E9" w:rsidRPr="00A64D02" w:rsidRDefault="007821E9">
      <w:pPr>
        <w:spacing w:after="156"/>
        <w:rPr>
          <w:rFonts w:cs="Times New Roman"/>
        </w:rPr>
      </w:pPr>
    </w:p>
    <w:p w14:paraId="1DC25838" w14:textId="77777777" w:rsidR="007821E9" w:rsidRPr="00A64D02" w:rsidRDefault="00000000">
      <w:pPr>
        <w:keepNext/>
        <w:keepLines/>
        <w:spacing w:after="156"/>
        <w:jc w:val="center"/>
        <w:rPr>
          <w:rFonts w:cs="Times New Roman"/>
        </w:rPr>
      </w:pPr>
      <w:r w:rsidRPr="00A64D02">
        <w:rPr>
          <w:rFonts w:cs="Times New Roman"/>
          <w:noProof/>
        </w:rPr>
        <w:lastRenderedPageBreak/>
        <w:drawing>
          <wp:inline distT="0" distB="0" distL="0" distR="0" wp14:anchorId="17DAFFCB" wp14:editId="4793D04F">
            <wp:extent cx="3642360" cy="18503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85436" cy="1872010"/>
                    </a:xfrm>
                    <a:prstGeom prst="rect">
                      <a:avLst/>
                    </a:prstGeom>
                    <a:noFill/>
                  </pic:spPr>
                </pic:pic>
              </a:graphicData>
            </a:graphic>
          </wp:inline>
        </w:drawing>
      </w:r>
    </w:p>
    <w:p w14:paraId="43BF2420" w14:textId="3BFAC945" w:rsidR="007821E9" w:rsidRPr="00A64D02" w:rsidRDefault="00000000">
      <w:pPr>
        <w:keepNext/>
        <w:keepLines/>
        <w:spacing w:after="156"/>
        <w:rPr>
          <w:rFonts w:cs="Times New Roman"/>
        </w:rPr>
      </w:pPr>
      <w:r w:rsidRPr="00A64D02">
        <w:rPr>
          <w:rFonts w:cs="Times New Roman"/>
          <w:b/>
          <w:bCs/>
        </w:rPr>
        <w:t>Fig. S10 | Physical appearance of biochar fragments recovered in the fifth year (2019) of the long-term field experiment initiated in 2015. a</w:t>
      </w:r>
      <w:r w:rsidRPr="00A64D02">
        <w:rPr>
          <w:rFonts w:cs="Times New Roman"/>
        </w:rPr>
        <w:t xml:space="preserve">, Biochar particles in AL treatment. </w:t>
      </w:r>
      <w:r w:rsidRPr="00A64D02">
        <w:rPr>
          <w:rFonts w:cs="Times New Roman"/>
          <w:b/>
          <w:bCs/>
        </w:rPr>
        <w:t>b</w:t>
      </w:r>
      <w:r w:rsidRPr="00A64D02">
        <w:rPr>
          <w:rFonts w:cs="Times New Roman"/>
        </w:rPr>
        <w:t xml:space="preserve">, Biochar in HS showed significantly more finely dispersed biochar particles. </w:t>
      </w:r>
    </w:p>
    <w:p w14:paraId="16D9B9EB" w14:textId="77777777" w:rsidR="007821E9" w:rsidRPr="00A64D02" w:rsidRDefault="007821E9">
      <w:pPr>
        <w:spacing w:after="156"/>
        <w:rPr>
          <w:rFonts w:cs="Times New Roman"/>
        </w:rPr>
      </w:pPr>
    </w:p>
    <w:p w14:paraId="39BE1B21" w14:textId="77777777" w:rsidR="007821E9" w:rsidRPr="00A64D02" w:rsidRDefault="00000000">
      <w:pPr>
        <w:spacing w:after="156"/>
        <w:jc w:val="center"/>
        <w:rPr>
          <w:rFonts w:cs="Times New Roman"/>
        </w:rPr>
      </w:pPr>
      <w:r w:rsidRPr="00A64D02">
        <w:rPr>
          <w:rFonts w:cs="Times New Roman"/>
          <w:noProof/>
        </w:rPr>
        <w:drawing>
          <wp:inline distT="0" distB="0" distL="0" distR="0" wp14:anchorId="0CAB3E12" wp14:editId="2078E413">
            <wp:extent cx="3112135" cy="1854835"/>
            <wp:effectExtent l="0" t="0" r="0" b="0"/>
            <wp:docPr id="7799035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3515"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18012" cy="1858727"/>
                    </a:xfrm>
                    <a:prstGeom prst="rect">
                      <a:avLst/>
                    </a:prstGeom>
                    <a:noFill/>
                  </pic:spPr>
                </pic:pic>
              </a:graphicData>
            </a:graphic>
          </wp:inline>
        </w:drawing>
      </w:r>
    </w:p>
    <w:p w14:paraId="4D2381A7" w14:textId="04C3DEFF" w:rsidR="007821E9" w:rsidRPr="00A64D02" w:rsidRDefault="00000000">
      <w:pPr>
        <w:keepNext/>
        <w:keepLines/>
        <w:spacing w:after="156"/>
        <w:rPr>
          <w:rFonts w:cs="Times New Roman"/>
        </w:rPr>
      </w:pPr>
      <w:r w:rsidRPr="00A64D02">
        <w:rPr>
          <w:rFonts w:cs="Times New Roman"/>
          <w:b/>
          <w:bCs/>
        </w:rPr>
        <w:t xml:space="preserve">Fig. S11 | Distribution of aggregates content in paddy soil under different biochar management strategies. </w:t>
      </w:r>
      <w:r w:rsidRPr="00A64D02">
        <w:rPr>
          <w:rFonts w:cs="Times New Roman"/>
        </w:rPr>
        <w:t xml:space="preserve">Large macroaggregates (&gt;2 mm), small macroaggregates (0.25-2 mm), microaggregates (53-250 </w:t>
      </w:r>
      <w:proofErr w:type="spellStart"/>
      <w:r w:rsidRPr="00A64D02">
        <w:rPr>
          <w:rFonts w:cs="Times New Roman"/>
        </w:rPr>
        <w:t>μm</w:t>
      </w:r>
      <w:proofErr w:type="spellEnd"/>
      <w:r w:rsidRPr="00A64D02">
        <w:rPr>
          <w:rFonts w:cs="Times New Roman"/>
        </w:rPr>
        <w:t xml:space="preserve">), and the silt and clay fraction (&lt;53 </w:t>
      </w:r>
      <w:proofErr w:type="spellStart"/>
      <w:r w:rsidRPr="00A64D02">
        <w:rPr>
          <w:rFonts w:cs="Times New Roman"/>
        </w:rPr>
        <w:t>μm</w:t>
      </w:r>
      <w:proofErr w:type="spellEnd"/>
      <w:r w:rsidRPr="00A64D02">
        <w:rPr>
          <w:rFonts w:cs="Times New Roman"/>
        </w:rPr>
        <w:t>). Different lowercase letters above bars within the same aggregate size class indicate statistically significant differences among treatments (</w:t>
      </w:r>
      <w:r w:rsidRPr="00231DC2">
        <w:rPr>
          <w:rFonts w:cs="Times New Roman"/>
          <w:i/>
          <w:iCs/>
        </w:rPr>
        <w:t>p</w:t>
      </w:r>
      <w:r w:rsidRPr="00A64D02">
        <w:rPr>
          <w:rFonts w:cs="Times New Roman"/>
        </w:rPr>
        <w:t xml:space="preserve"> &lt; 0.05, one-way ANOVA with Tukey’s HSD test).</w:t>
      </w:r>
    </w:p>
    <w:p w14:paraId="6631B424" w14:textId="77777777" w:rsidR="007821E9" w:rsidRPr="00A64D02" w:rsidRDefault="007821E9">
      <w:pPr>
        <w:spacing w:after="156"/>
        <w:rPr>
          <w:rFonts w:cs="Times New Roman"/>
        </w:rPr>
      </w:pPr>
    </w:p>
    <w:p w14:paraId="1BD8A611" w14:textId="77777777" w:rsidR="007821E9" w:rsidRPr="00A64D02" w:rsidRDefault="007821E9">
      <w:pPr>
        <w:spacing w:after="156"/>
        <w:jc w:val="center"/>
        <w:rPr>
          <w:rFonts w:cs="Times New Roman"/>
        </w:rPr>
      </w:pPr>
    </w:p>
    <w:sectPr w:rsidR="007821E9" w:rsidRPr="00A64D02">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24CCE" w14:textId="77777777" w:rsidR="00741AF2" w:rsidRDefault="00741AF2">
      <w:pPr>
        <w:spacing w:after="120"/>
      </w:pPr>
      <w:r>
        <w:separator/>
      </w:r>
    </w:p>
  </w:endnote>
  <w:endnote w:type="continuationSeparator" w:id="0">
    <w:p w14:paraId="21DABCC6" w14:textId="77777777" w:rsidR="00741AF2" w:rsidRDefault="00741AF2">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3807" w14:textId="77777777" w:rsidR="007821E9" w:rsidRDefault="007821E9">
    <w:pPr>
      <w:pStyle w:val="a3"/>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E946" w14:textId="77777777" w:rsidR="007821E9" w:rsidRDefault="007821E9">
    <w:pPr>
      <w:pStyle w:val="a3"/>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15006" w14:textId="77777777" w:rsidR="007821E9" w:rsidRDefault="007821E9">
    <w:pPr>
      <w:pStyle w:val="a3"/>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C1050" w14:textId="77777777" w:rsidR="00741AF2" w:rsidRDefault="00741AF2">
      <w:pPr>
        <w:spacing w:after="120"/>
      </w:pPr>
      <w:r>
        <w:separator/>
      </w:r>
    </w:p>
  </w:footnote>
  <w:footnote w:type="continuationSeparator" w:id="0">
    <w:p w14:paraId="18F09953" w14:textId="77777777" w:rsidR="00741AF2" w:rsidRDefault="00741AF2">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B70B4" w14:textId="77777777" w:rsidR="007821E9" w:rsidRDefault="007821E9">
    <w:pPr>
      <w:pStyle w:val="a5"/>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B32C" w14:textId="77777777" w:rsidR="007821E9" w:rsidRDefault="007821E9">
    <w:pPr>
      <w:pStyle w:val="a5"/>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B28F" w14:textId="77777777" w:rsidR="007821E9" w:rsidRDefault="007821E9">
    <w:pPr>
      <w:pStyle w:val="a5"/>
      <w:spacing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15C"/>
    <w:rsid w:val="00037060"/>
    <w:rsid w:val="00063BF1"/>
    <w:rsid w:val="00072E01"/>
    <w:rsid w:val="0007382C"/>
    <w:rsid w:val="00076F20"/>
    <w:rsid w:val="000B0DDD"/>
    <w:rsid w:val="000B1D00"/>
    <w:rsid w:val="000C5E1D"/>
    <w:rsid w:val="000E3936"/>
    <w:rsid w:val="00116B08"/>
    <w:rsid w:val="0013713A"/>
    <w:rsid w:val="00165CC9"/>
    <w:rsid w:val="0017483A"/>
    <w:rsid w:val="00177DA2"/>
    <w:rsid w:val="001F2537"/>
    <w:rsid w:val="00202D24"/>
    <w:rsid w:val="00223B7E"/>
    <w:rsid w:val="00231DC2"/>
    <w:rsid w:val="00241686"/>
    <w:rsid w:val="00246B21"/>
    <w:rsid w:val="002520D4"/>
    <w:rsid w:val="002D2E9B"/>
    <w:rsid w:val="002F029A"/>
    <w:rsid w:val="002F475D"/>
    <w:rsid w:val="002F6658"/>
    <w:rsid w:val="00303AB1"/>
    <w:rsid w:val="00326002"/>
    <w:rsid w:val="0034761F"/>
    <w:rsid w:val="003515F1"/>
    <w:rsid w:val="003570BF"/>
    <w:rsid w:val="00361925"/>
    <w:rsid w:val="00382C6E"/>
    <w:rsid w:val="003E3647"/>
    <w:rsid w:val="004070DF"/>
    <w:rsid w:val="00421175"/>
    <w:rsid w:val="0042753E"/>
    <w:rsid w:val="004315B9"/>
    <w:rsid w:val="0043715C"/>
    <w:rsid w:val="0047277B"/>
    <w:rsid w:val="004A387C"/>
    <w:rsid w:val="004B1079"/>
    <w:rsid w:val="004B64E7"/>
    <w:rsid w:val="004D5E92"/>
    <w:rsid w:val="00536719"/>
    <w:rsid w:val="005D45FA"/>
    <w:rsid w:val="005D51F7"/>
    <w:rsid w:val="005D7F22"/>
    <w:rsid w:val="005E029B"/>
    <w:rsid w:val="00633148"/>
    <w:rsid w:val="00636F55"/>
    <w:rsid w:val="00651A88"/>
    <w:rsid w:val="00673527"/>
    <w:rsid w:val="00692F33"/>
    <w:rsid w:val="006B722B"/>
    <w:rsid w:val="006C1EE7"/>
    <w:rsid w:val="006E008B"/>
    <w:rsid w:val="0071281E"/>
    <w:rsid w:val="007216AF"/>
    <w:rsid w:val="00725755"/>
    <w:rsid w:val="007360D1"/>
    <w:rsid w:val="00741AF2"/>
    <w:rsid w:val="0075753F"/>
    <w:rsid w:val="007821E9"/>
    <w:rsid w:val="00794D78"/>
    <w:rsid w:val="007D3CD6"/>
    <w:rsid w:val="008027C0"/>
    <w:rsid w:val="008437FD"/>
    <w:rsid w:val="00886E44"/>
    <w:rsid w:val="00896857"/>
    <w:rsid w:val="008B57B7"/>
    <w:rsid w:val="008C1BD7"/>
    <w:rsid w:val="00906C8D"/>
    <w:rsid w:val="00921B82"/>
    <w:rsid w:val="00962C09"/>
    <w:rsid w:val="00997610"/>
    <w:rsid w:val="009D4A7C"/>
    <w:rsid w:val="009E5DA0"/>
    <w:rsid w:val="00A02554"/>
    <w:rsid w:val="00A31093"/>
    <w:rsid w:val="00A3718E"/>
    <w:rsid w:val="00A37860"/>
    <w:rsid w:val="00A56742"/>
    <w:rsid w:val="00A64D02"/>
    <w:rsid w:val="00A7353B"/>
    <w:rsid w:val="00A754E0"/>
    <w:rsid w:val="00A807EA"/>
    <w:rsid w:val="00A839CB"/>
    <w:rsid w:val="00A85300"/>
    <w:rsid w:val="00AC2524"/>
    <w:rsid w:val="00AD1F26"/>
    <w:rsid w:val="00AE1FB4"/>
    <w:rsid w:val="00B23F6B"/>
    <w:rsid w:val="00B5523B"/>
    <w:rsid w:val="00B5776F"/>
    <w:rsid w:val="00B65952"/>
    <w:rsid w:val="00B9379F"/>
    <w:rsid w:val="00BB36FB"/>
    <w:rsid w:val="00BB6EBF"/>
    <w:rsid w:val="00BB6FC6"/>
    <w:rsid w:val="00BC209D"/>
    <w:rsid w:val="00BD3355"/>
    <w:rsid w:val="00C06EAC"/>
    <w:rsid w:val="00C16C95"/>
    <w:rsid w:val="00C26C94"/>
    <w:rsid w:val="00C635AD"/>
    <w:rsid w:val="00C8580B"/>
    <w:rsid w:val="00CA429D"/>
    <w:rsid w:val="00CB2ABD"/>
    <w:rsid w:val="00CD53F1"/>
    <w:rsid w:val="00CF3A44"/>
    <w:rsid w:val="00D14FC4"/>
    <w:rsid w:val="00D931D1"/>
    <w:rsid w:val="00D95281"/>
    <w:rsid w:val="00DD55E8"/>
    <w:rsid w:val="00E03CF5"/>
    <w:rsid w:val="00E5238A"/>
    <w:rsid w:val="00E65458"/>
    <w:rsid w:val="00E8631E"/>
    <w:rsid w:val="00E8786F"/>
    <w:rsid w:val="00E952CA"/>
    <w:rsid w:val="00EE2ADE"/>
    <w:rsid w:val="00EE2D5A"/>
    <w:rsid w:val="00EF0C29"/>
    <w:rsid w:val="00F040B7"/>
    <w:rsid w:val="00F93383"/>
    <w:rsid w:val="00FB7D23"/>
    <w:rsid w:val="00FF075E"/>
    <w:rsid w:val="022C6982"/>
    <w:rsid w:val="0395181D"/>
    <w:rsid w:val="0DE6032D"/>
    <w:rsid w:val="13627860"/>
    <w:rsid w:val="348222AE"/>
    <w:rsid w:val="3ECA2888"/>
    <w:rsid w:val="4A8C30E7"/>
    <w:rsid w:val="55F61D5C"/>
    <w:rsid w:val="568D2765"/>
    <w:rsid w:val="7DD14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DA867D"/>
  <w15:docId w15:val="{05C6D493-4518-421B-9A93-D316D0C5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Lines="50" w:after="50"/>
      <w:jc w:val="both"/>
    </w:pPr>
    <w:rPr>
      <w:rFonts w:eastAsiaTheme="minorEastAsia" w:cstheme="minorBidi"/>
      <w:kern w:val="2"/>
      <w:sz w:val="22"/>
      <w:szCs w:val="22"/>
    </w:rPr>
  </w:style>
  <w:style w:type="paragraph" w:styleId="1">
    <w:name w:val="heading 1"/>
    <w:basedOn w:val="a"/>
    <w:next w:val="a"/>
    <w:link w:val="10"/>
    <w:uiPriority w:val="9"/>
    <w:qFormat/>
    <w:pPr>
      <w:keepNext/>
      <w:keepLines/>
      <w:spacing w:afterLines="0" w:after="0"/>
      <w:outlineLvl w:val="0"/>
    </w:pPr>
    <w:rPr>
      <w:b/>
      <w:bCs/>
      <w:kern w:val="44"/>
      <w:szCs w:val="44"/>
    </w:rPr>
  </w:style>
  <w:style w:type="paragraph" w:styleId="2">
    <w:name w:val="heading 2"/>
    <w:basedOn w:val="a"/>
    <w:next w:val="a"/>
    <w:link w:val="20"/>
    <w:uiPriority w:val="9"/>
    <w:unhideWhenUsed/>
    <w:qFormat/>
    <w:pPr>
      <w:keepNext/>
      <w:keepLines/>
      <w:spacing w:afterLines="0" w:after="0"/>
      <w:jc w:val="left"/>
      <w:outlineLvl w:val="1"/>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autoRedefine/>
    <w:uiPriority w:val="39"/>
    <w:unhideWhenUsed/>
    <w:pPr>
      <w:widowControl/>
      <w:spacing w:afterLines="0" w:after="100" w:line="259" w:lineRule="auto"/>
      <w:ind w:left="440"/>
      <w:jc w:val="left"/>
    </w:pPr>
    <w:rPr>
      <w:rFonts w:asciiTheme="minorHAnsi" w:hAnsiTheme="minorHAnsi" w:cs="Times New Roman"/>
      <w:kern w:val="0"/>
    </w:r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paragraph" w:styleId="TOC1">
    <w:name w:val="toc 1"/>
    <w:basedOn w:val="a"/>
    <w:next w:val="a"/>
    <w:autoRedefine/>
    <w:uiPriority w:val="39"/>
    <w:unhideWhenUsed/>
    <w:pPr>
      <w:widowControl/>
      <w:spacing w:afterLines="0" w:after="100" w:line="259" w:lineRule="auto"/>
      <w:jc w:val="left"/>
    </w:pPr>
    <w:rPr>
      <w:rFonts w:asciiTheme="minorHAnsi" w:hAnsiTheme="minorHAnsi" w:cs="Times New Roman"/>
      <w:kern w:val="0"/>
    </w:rPr>
  </w:style>
  <w:style w:type="paragraph" w:styleId="TOC2">
    <w:name w:val="toc 2"/>
    <w:basedOn w:val="a"/>
    <w:next w:val="a"/>
    <w:autoRedefine/>
    <w:uiPriority w:val="39"/>
    <w:unhideWhenUsed/>
    <w:pPr>
      <w:widowControl/>
      <w:spacing w:afterLines="0" w:after="100" w:line="259" w:lineRule="auto"/>
      <w:ind w:left="220"/>
      <w:jc w:val="left"/>
    </w:pPr>
    <w:rPr>
      <w:rFonts w:asciiTheme="minorHAnsi" w:hAnsiTheme="minorHAnsi" w:cs="Times New Roman"/>
      <w:kern w:val="0"/>
    </w:rPr>
  </w:style>
  <w:style w:type="character" w:styleId="a7">
    <w:name w:val="Strong"/>
    <w:basedOn w:val="a0"/>
    <w:uiPriority w:val="22"/>
    <w:qFormat/>
    <w:rPr>
      <w:b/>
      <w:bCs/>
    </w:rPr>
  </w:style>
  <w:style w:type="character" w:styleId="a8">
    <w:name w:val="Hyperlink"/>
    <w:basedOn w:val="a0"/>
    <w:uiPriority w:val="99"/>
    <w:unhideWhenUsed/>
    <w:rPr>
      <w:color w:val="0563C1" w:themeColor="hyperlink"/>
      <w:u w:val="single"/>
    </w:rPr>
  </w:style>
  <w:style w:type="character" w:customStyle="1" w:styleId="10">
    <w:name w:val="标题 1 字符"/>
    <w:basedOn w:val="a0"/>
    <w:link w:val="1"/>
    <w:uiPriority w:val="9"/>
    <w:rPr>
      <w:rFonts w:ascii="Times New Roman" w:hAnsi="Times New Roman"/>
      <w:b/>
      <w:bCs/>
      <w:kern w:val="44"/>
      <w:sz w:val="22"/>
      <w:szCs w:val="44"/>
    </w:rPr>
  </w:style>
  <w:style w:type="paragraph" w:customStyle="1" w:styleId="11">
    <w:name w:val="正文1"/>
    <w:qFormat/>
    <w:pPr>
      <w:widowControl w:val="0"/>
      <w:ind w:firstLineChars="200" w:firstLine="562"/>
      <w:jc w:val="both"/>
    </w:pPr>
    <w:rPr>
      <w:kern w:val="2"/>
      <w:sz w:val="21"/>
      <w:szCs w:val="21"/>
    </w:rPr>
  </w:style>
  <w:style w:type="table" w:customStyle="1" w:styleId="TableNormal">
    <w:name w:val="Table Normal"/>
    <w:semiHidden/>
    <w:qFormat/>
    <w:rPr>
      <w:rFonts w:eastAsia="Times New Roman"/>
    </w:rPr>
    <w:tblPr>
      <w:tblCellMar>
        <w:top w:w="0" w:type="dxa"/>
        <w:left w:w="108" w:type="dxa"/>
        <w:bottom w:w="0" w:type="dxa"/>
        <w:right w:w="108" w:type="dxa"/>
      </w:tblCellMar>
    </w:tblPr>
  </w:style>
  <w:style w:type="character" w:customStyle="1" w:styleId="20">
    <w:name w:val="标题 2 字符"/>
    <w:basedOn w:val="a0"/>
    <w:link w:val="2"/>
    <w:uiPriority w:val="9"/>
    <w:qFormat/>
    <w:rPr>
      <w:rFonts w:ascii="Times New Roman" w:eastAsiaTheme="majorEastAsia" w:hAnsi="Times New Roman" w:cstheme="majorBidi"/>
      <w:b/>
      <w:bCs/>
      <w:sz w:val="20"/>
      <w:szCs w:val="32"/>
    </w:rPr>
  </w:style>
  <w:style w:type="paragraph" w:customStyle="1" w:styleId="tab">
    <w:name w:val="tab"/>
    <w:basedOn w:val="a"/>
    <w:pPr>
      <w:widowControl/>
      <w:spacing w:afterLines="0" w:after="0"/>
      <w:ind w:firstLineChars="200" w:firstLine="200"/>
      <w:jc w:val="center"/>
      <w:textAlignment w:val="center"/>
    </w:pPr>
    <w:rPr>
      <w:rFonts w:eastAsia="宋体" w:cs="Times New Roman"/>
      <w:color w:val="000000"/>
      <w:sz w:val="21"/>
      <w:szCs w:val="21"/>
    </w:rPr>
  </w:style>
  <w:style w:type="character" w:customStyle="1" w:styleId="15">
    <w:name w:val="15"/>
    <w:basedOn w:val="a0"/>
    <w:rPr>
      <w:rFonts w:ascii="宋体" w:eastAsia="宋体" w:hAnsi="宋体" w:hint="eastAsia"/>
      <w:color w:val="000000"/>
      <w:sz w:val="21"/>
      <w:szCs w:val="21"/>
    </w:rPr>
  </w:style>
  <w:style w:type="character" w:customStyle="1" w:styleId="16">
    <w:name w:val="16"/>
    <w:basedOn w:val="a0"/>
    <w:rPr>
      <w:rFonts w:ascii="Times New Roman" w:hAnsi="Times New Roman" w:cs="Times New Roman" w:hint="default"/>
      <w:color w:val="000000"/>
      <w:sz w:val="21"/>
      <w:szCs w:val="21"/>
    </w:rPr>
  </w:style>
  <w:style w:type="character" w:customStyle="1" w:styleId="17">
    <w:name w:val="17"/>
    <w:basedOn w:val="a0"/>
    <w:qFormat/>
    <w:rPr>
      <w:rFonts w:ascii="Times New Roman" w:hAnsi="Times New Roman" w:cs="Times New Roman" w:hint="default"/>
      <w:color w:val="000000"/>
      <w:sz w:val="21"/>
      <w:szCs w:val="21"/>
      <w:vertAlign w:val="superscript"/>
    </w:rPr>
  </w:style>
  <w:style w:type="character" w:customStyle="1" w:styleId="a6">
    <w:name w:val="页眉 字符"/>
    <w:basedOn w:val="a0"/>
    <w:link w:val="a5"/>
    <w:uiPriority w:val="99"/>
    <w:qFormat/>
    <w:rPr>
      <w:rFonts w:ascii="Times New Roman" w:hAnsi="Times New Roman"/>
      <w:sz w:val="18"/>
      <w:szCs w:val="18"/>
    </w:rPr>
  </w:style>
  <w:style w:type="character" w:customStyle="1" w:styleId="a4">
    <w:name w:val="页脚 字符"/>
    <w:basedOn w:val="a0"/>
    <w:link w:val="a3"/>
    <w:uiPriority w:val="99"/>
    <w:qFormat/>
    <w:rPr>
      <w:rFonts w:ascii="Times New Roman" w:hAnsi="Times New Roman"/>
      <w:sz w:val="18"/>
      <w:szCs w:val="18"/>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E624C-9C5A-4842-8B1A-824048E4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3210</Words>
  <Characters>18460</Characters>
  <Application>Microsoft Office Word</Application>
  <DocSecurity>0</DocSecurity>
  <Lines>329</Lines>
  <Paragraphs>103</Paragraphs>
  <ScaleCrop>false</ScaleCrop>
  <Company/>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qiong</dc:creator>
  <cp:lastModifiedBy>kai ren</cp:lastModifiedBy>
  <cp:revision>107</cp:revision>
  <dcterms:created xsi:type="dcterms:W3CDTF">2025-12-26T01:48:00Z</dcterms:created>
  <dcterms:modified xsi:type="dcterms:W3CDTF">2026-03-14T23:57:00Z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fde76eaa-e3fc-4bbc-af36-df117df1ac16</vt:lpwstr>
  </property>
  <property fmtid="{D5CDD505-2E9C-101B-9397-08002B2CF9AE}" pid="3" name="KSOTemplateDocerSaveRecord">
    <vt:lpwstr>eyJoZGlkIjoiZWI5OWZhYTI1N2FlNmJhYTQ2NWI2Zjg0NWVjMDk3NjIiLCJ1c2VySWQiOiIyMDI2Nzc1MDgifQ==</vt:lpwstr>
  </property>
  <property fmtid="{D5CDD505-2E9C-101B-9397-08002B2CF9AE}" pid="4" name="KSOProductBuildVer">
    <vt:lpwstr>2052-12.1.0.25225</vt:lpwstr>
  </property>
  <property fmtid="{D5CDD505-2E9C-101B-9397-08002B2CF9AE}" pid="5" name="ICV">
    <vt:lpwstr>10BBE807BB7D48598F2188478C498FD1_12</vt:lpwstr>
  </property>
</Properties>
</file>