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507ED" w14:textId="77777777" w:rsidR="00F72B2F" w:rsidRPr="00F82BC6" w:rsidRDefault="00F72B2F" w:rsidP="00F72B2F">
      <w:pPr>
        <w:spacing w:line="360" w:lineRule="auto"/>
        <w:jc w:val="both"/>
        <w:rPr>
          <w:rFonts w:ascii="Times" w:hAnsi="Times"/>
          <w:b/>
          <w:bCs/>
          <w:sz w:val="20"/>
          <w:szCs w:val="20"/>
          <w:lang w:val="en-US"/>
        </w:rPr>
      </w:pPr>
      <w:r w:rsidRPr="00F82BC6">
        <w:rPr>
          <w:rFonts w:ascii="Times" w:hAnsi="Times"/>
          <w:b/>
          <w:bCs/>
          <w:sz w:val="20"/>
          <w:szCs w:val="20"/>
          <w:lang w:val="en-US"/>
        </w:rPr>
        <w:t>Supplementary information</w:t>
      </w:r>
    </w:p>
    <w:p w14:paraId="62DDD0F6" w14:textId="77777777" w:rsidR="00F72B2F" w:rsidRPr="00F82BC6" w:rsidRDefault="00F72B2F" w:rsidP="00F72B2F">
      <w:pPr>
        <w:spacing w:line="360" w:lineRule="auto"/>
        <w:jc w:val="both"/>
        <w:rPr>
          <w:rFonts w:ascii="Times" w:hAnsi="Times"/>
          <w:b/>
          <w:bCs/>
          <w:sz w:val="20"/>
          <w:szCs w:val="20"/>
          <w:lang w:val="en-US"/>
        </w:rPr>
      </w:pPr>
    </w:p>
    <w:tbl>
      <w:tblPr>
        <w:tblStyle w:val="Tablaconcuadrcula"/>
        <w:tblW w:w="9356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977"/>
      </w:tblGrid>
      <w:tr w:rsidR="00F72B2F" w:rsidRPr="00F82BC6" w14:paraId="6FCE8068" w14:textId="77777777" w:rsidTr="00087A02">
        <w:trPr>
          <w:jc w:val="center"/>
        </w:trPr>
        <w:tc>
          <w:tcPr>
            <w:tcW w:w="9356" w:type="dxa"/>
            <w:gridSpan w:val="2"/>
            <w:tcBorders>
              <w:bottom w:val="single" w:sz="4" w:space="0" w:color="auto"/>
            </w:tcBorders>
          </w:tcPr>
          <w:p w14:paraId="72A645BE" w14:textId="77777777" w:rsidR="00F72B2F" w:rsidRPr="00F82BC6" w:rsidRDefault="00F72B2F" w:rsidP="00087A0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  <w:lang w:val="en-US"/>
              </w:rPr>
              <w:t xml:space="preserve">Table 1 </w:t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  <w:lang w:val="en-US"/>
              </w:rPr>
              <w:t xml:space="preserve">Primer sets used in this study. </w:t>
            </w:r>
            <w:proofErr w:type="spellStart"/>
            <w:r w:rsidRPr="00F82BC6">
              <w:rPr>
                <w:rFonts w:ascii="Times New Roman" w:eastAsia="Arial Bold" w:hAnsi="Times New Roman" w:cs="Times New Roman"/>
                <w:sz w:val="20"/>
                <w:szCs w:val="20"/>
                <w:lang w:val="en-US"/>
              </w:rPr>
              <w:t>RdRd</w:t>
            </w:r>
            <w:proofErr w:type="spellEnd"/>
            <w:r w:rsidRPr="00F82BC6">
              <w:rPr>
                <w:rFonts w:ascii="Times New Roman" w:eastAsia="Arial Bold" w:hAnsi="Times New Roman" w:cs="Times New Roman"/>
                <w:sz w:val="20"/>
                <w:szCs w:val="20"/>
                <w:lang w:val="en-US"/>
              </w:rPr>
              <w:t xml:space="preserve"> and E sequences were based on the report done by Corman </w:t>
            </w:r>
            <w:r>
              <w:rPr>
                <w:rFonts w:ascii="Times New Roman" w:eastAsia="Arial Bold" w:hAnsi="Times New Roman" w:cs="Times New Roman"/>
                <w:sz w:val="20"/>
                <w:szCs w:val="20"/>
                <w:lang w:val="en-US"/>
              </w:rPr>
              <w:t xml:space="preserve">et al. </w:t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fldChar w:fldCharType="begin"/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  <w:lang w:val="en-US"/>
              </w:rPr>
              <w:instrText xml:space="preserve"> ADDIN ZOTERO_ITEM CSL_CITATION {"citationID":"Xa59tzzw","properties":{"formattedCitation":"(11)","plainCitation":"(11)","noteIndex":0},"citationItems":[{"id":71,"uris":["http://zotero.org/users/local/wPQkuzSr/items/BQNNIYIK"],"uri":["http://zotero.org/users/local/wPQkuzSr/items/BQNNIYIK"],"itemData":{"id":71,"type":"article-journal","container-title":"Eurosurveillance","DOI":"10.2807/1560-7917.ES.2020.25.3.2000045","ISSN":"1560-7917","issue":"3","language":"en","source":"DOI.org (Crossref)","title":"Detection of 2019 novel coronavirus (2019-nCoV) by real-time RT-PCR","URL":"https://www.eurosurveillance.org/content/10.2807/1560-7917.ES.2020.25.3.2000045","volume":"25","author":[{"family":"Corman","given":"Victor M"},{"family":"Landt","given":"Olfert"},{"family":"Kaiser","given":"Marco"},{"family":"Molenkamp","given":"Richard"},{"family":"Meijer","given":"Adam"},{"family":"Chu","given":"Daniel KW"},{"family":"Bleicker","given":"Tobias"},{"family":"Brünink","given":"Sebastian"},{"family":"Schneider","given":"Julia"},{"family":"Schmidt","given":"Marie Luisa"},{"family":"Mulders","given":"Daphne GJC"},{"family":"Haagmans","given":"Bart L"},{"family":"Veer","given":"Bas","non-dropping-particle":"van der"},{"family":"Brink","given":"Sharon","non-dropping-particle":"van den"},{"family":"Wijsman","given":"Lisa"},{"family":"Goderski","given":"Gabriel"},{"family":"Romette","given":"Jean-Louis"},{"family":"Ellis","given":"Joanna"},{"family":"Zambon","given":"Maria"},{"family":"Peiris","given":"Malik"},{"family":"Goossens","given":"Herman"},{"family":"Reusken","given":"Chantal"},{"family":"Koopmans","given":"Marion PG"},{"family":"Drosten","given":"Christian"}],"accessed":{"date-parts":[["2020",9,22]]},"issued":{"date-parts":[["2020",1,23]]}}}],"schema":"https://github.com/citation-style-language/schema/raw/master/csl-citation.json"} </w:instrText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fldChar w:fldCharType="separate"/>
            </w:r>
            <w:r w:rsidRPr="00F82BC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(11)</w:t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fldChar w:fldCharType="end"/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RP </w:t>
            </w:r>
            <w:proofErr w:type="spellStart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sequences</w:t>
            </w:r>
            <w:proofErr w:type="spellEnd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were</w:t>
            </w:r>
            <w:proofErr w:type="spellEnd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obtained</w:t>
            </w:r>
            <w:proofErr w:type="spellEnd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Arial Bold" w:hAnsi="Times New Roman" w:cs="Times New Roman"/>
                <w:sz w:val="20"/>
                <w:szCs w:val="20"/>
              </w:rPr>
              <w:t>ro</w:t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m</w:t>
            </w:r>
            <w:proofErr w:type="spellEnd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 CDC </w:t>
            </w:r>
            <w:proofErr w:type="spellStart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reports</w:t>
            </w:r>
            <w:proofErr w:type="spellEnd"/>
            <w:r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 </w:t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fldChar w:fldCharType="begin"/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instrText xml:space="preserve"> ADDIN ZOTERO_ITEM CSL_CITATION {"citationID":"pe4Ly4bc","properties":{"formattedCitation":"(18)","plainCitation":"(18)","noteIndex":0},"citationItems":[{"id":93,"uris":["http://zotero.org/users/local/wPQkuzSr/items/S9PB8EEH"],"uri":["http://zotero.org/users/local/wPQkuzSr/items/S9PB8EEH"],"itemData":{"id":93,"type":"report","event-place":"United States","number":"I","publisher-place":"United States","title":"CDC 2019-Novel Coronavirus (2019 nCoV) Real-Time RT-PCR Diagnostic Panel","URL":"https://www.fda.gov/media/134922/download","author":[{"family":"Centre for Disease Control and Prevention","given":""}],"accessed":{"date-parts":[["2020",9,25]]}}}],"schema":"https://github.com/citation-style-language/schema/raw/master/csl-citation.json"} </w:instrText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fldChar w:fldCharType="separate"/>
            </w:r>
            <w:r w:rsidRPr="00F82BC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(18)</w:t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fldChar w:fldCharType="end"/>
            </w: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.</w:t>
            </w:r>
          </w:p>
        </w:tc>
      </w:tr>
      <w:tr w:rsidR="00F72B2F" w:rsidRPr="00F82BC6" w14:paraId="56F7140A" w14:textId="77777777" w:rsidTr="00087A02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14:paraId="602115AF" w14:textId="77777777" w:rsidR="00F72B2F" w:rsidRPr="00F82BC6" w:rsidRDefault="00F72B2F" w:rsidP="00087A0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360" w:lineRule="auto"/>
              <w:jc w:val="center"/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  <w:lang w:val="en-US"/>
              </w:rPr>
            </w:pPr>
            <w:bookmarkStart w:id="0" w:name="_Hlk49981400"/>
            <w:r w:rsidRPr="00F82BC6"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  <w:lang w:val="en-US"/>
              </w:rPr>
              <w:t>Primers for each genetic target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7049B6CF" w14:textId="77777777" w:rsidR="00F72B2F" w:rsidRPr="00F82BC6" w:rsidRDefault="00F72B2F" w:rsidP="00087A0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360" w:lineRule="auto"/>
              <w:jc w:val="center"/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</w:rPr>
              <w:t>SARS-CoV</w:t>
            </w:r>
            <w:r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</w:rPr>
              <w:t>-</w:t>
            </w:r>
            <w:r w:rsidRPr="00F82BC6"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</w:rPr>
              <w:t xml:space="preserve">2 </w:t>
            </w:r>
            <w:proofErr w:type="gramStart"/>
            <w:r w:rsidRPr="00F82BC6"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</w:rPr>
              <w:t>target</w:t>
            </w:r>
            <w:proofErr w:type="gramEnd"/>
          </w:p>
        </w:tc>
      </w:tr>
      <w:bookmarkEnd w:id="0"/>
      <w:tr w:rsidR="00F72B2F" w:rsidRPr="00F82BC6" w14:paraId="28877A48" w14:textId="77777777" w:rsidTr="00087A02">
        <w:trPr>
          <w:jc w:val="center"/>
        </w:trPr>
        <w:tc>
          <w:tcPr>
            <w:tcW w:w="6379" w:type="dxa"/>
            <w:tcBorders>
              <w:top w:val="single" w:sz="4" w:space="0" w:color="auto"/>
            </w:tcBorders>
          </w:tcPr>
          <w:p w14:paraId="5FC8B2C0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  <w:lang w:val="en-GB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  <w:lang w:val="en-GB"/>
              </w:rPr>
              <w:t xml:space="preserve">GTG ARA TGG TCA TGT GTG GCG G </w:t>
            </w:r>
          </w:p>
          <w:p w14:paraId="317E57E7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CAR ATG TT A AAA ACA CTA TTA GCA TA 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6FEFED3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proofErr w:type="spellStart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RdRp</w:t>
            </w:r>
            <w:proofErr w:type="spellEnd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-F</w:t>
            </w:r>
          </w:p>
          <w:p w14:paraId="0F82D08D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proofErr w:type="spellStart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RdRp</w:t>
            </w:r>
            <w:proofErr w:type="spellEnd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-R</w:t>
            </w:r>
          </w:p>
        </w:tc>
      </w:tr>
      <w:tr w:rsidR="00F72B2F" w:rsidRPr="0075734F" w14:paraId="16A351AB" w14:textId="77777777" w:rsidTr="00087A02">
        <w:trPr>
          <w:jc w:val="center"/>
        </w:trPr>
        <w:tc>
          <w:tcPr>
            <w:tcW w:w="6379" w:type="dxa"/>
          </w:tcPr>
          <w:p w14:paraId="706AD373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  <w:lang w:val="en-GB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  <w:lang w:val="en-GB"/>
              </w:rPr>
              <w:t xml:space="preserve">ACA GGT ACG TTA ATA GTT AAT AGC GT                  </w:t>
            </w:r>
          </w:p>
          <w:p w14:paraId="4D3EE4ED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ATA TTG CAG </w:t>
            </w:r>
            <w:proofErr w:type="spellStart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CAG</w:t>
            </w:r>
            <w:proofErr w:type="spellEnd"/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 TAC GCA CAC A                              </w:t>
            </w:r>
          </w:p>
        </w:tc>
        <w:tc>
          <w:tcPr>
            <w:tcW w:w="2977" w:type="dxa"/>
          </w:tcPr>
          <w:p w14:paraId="00E14592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Gen-E F</w:t>
            </w:r>
          </w:p>
          <w:p w14:paraId="5D36B3F9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Gen-E R</w:t>
            </w:r>
          </w:p>
        </w:tc>
      </w:tr>
      <w:tr w:rsidR="00F72B2F" w:rsidRPr="00F82BC6" w14:paraId="1B00E75A" w14:textId="77777777" w:rsidTr="00087A02">
        <w:trPr>
          <w:jc w:val="center"/>
        </w:trPr>
        <w:tc>
          <w:tcPr>
            <w:tcW w:w="6379" w:type="dxa"/>
          </w:tcPr>
          <w:p w14:paraId="1280D5E1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AGA TTT GGA CCT GCG AGC G                                          </w:t>
            </w:r>
          </w:p>
          <w:p w14:paraId="7399DA86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 xml:space="preserve">GAG CGG CTG TCT CCA CAA GT                                       </w:t>
            </w:r>
          </w:p>
        </w:tc>
        <w:tc>
          <w:tcPr>
            <w:tcW w:w="2977" w:type="dxa"/>
          </w:tcPr>
          <w:p w14:paraId="706132F3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RP-F</w:t>
            </w:r>
          </w:p>
          <w:p w14:paraId="5BEC803F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eastAsia="Arial Bold" w:hAnsi="Times New Roman" w:cs="Times New Roman"/>
                <w:sz w:val="20"/>
                <w:szCs w:val="20"/>
              </w:rPr>
              <w:t>RP-R</w:t>
            </w:r>
          </w:p>
        </w:tc>
      </w:tr>
      <w:tr w:rsidR="00F72B2F" w:rsidRPr="00F82BC6" w14:paraId="36C02EB1" w14:textId="77777777" w:rsidTr="00087A02">
        <w:trPr>
          <w:jc w:val="center"/>
        </w:trPr>
        <w:tc>
          <w:tcPr>
            <w:tcW w:w="6379" w:type="dxa"/>
          </w:tcPr>
          <w:p w14:paraId="0CB821D8" w14:textId="77777777" w:rsidR="00F72B2F" w:rsidRPr="00F82BC6" w:rsidRDefault="00F72B2F" w:rsidP="00087A02">
            <w:pPr>
              <w:pStyle w:val="Cuerpo"/>
              <w:spacing w:after="120" w:line="360" w:lineRule="auto"/>
              <w:jc w:val="center"/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82BC6"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</w:rPr>
              <w:t>Probes</w:t>
            </w:r>
            <w:proofErr w:type="spellEnd"/>
            <w:r w:rsidRPr="00F82BC6"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</w:tcPr>
          <w:p w14:paraId="0EF70D26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2B2F" w:rsidRPr="00F82BC6" w14:paraId="2736AF6A" w14:textId="77777777" w:rsidTr="00087A02">
        <w:trPr>
          <w:jc w:val="center"/>
        </w:trPr>
        <w:tc>
          <w:tcPr>
            <w:tcW w:w="6379" w:type="dxa"/>
          </w:tcPr>
          <w:p w14:paraId="05CC0582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  <w:lang w:val="en-GB"/>
              </w:rPr>
            </w:pPr>
            <w:r w:rsidRPr="00F82B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5' FAM-ACA CTA GCC ATC CTT ACT GCG CTT CG-BHQ1 3'</w:t>
            </w:r>
          </w:p>
        </w:tc>
        <w:tc>
          <w:tcPr>
            <w:tcW w:w="2977" w:type="dxa"/>
          </w:tcPr>
          <w:p w14:paraId="7EFC1175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82B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Gen-E Probe</w:t>
            </w:r>
          </w:p>
        </w:tc>
      </w:tr>
      <w:tr w:rsidR="00F72B2F" w:rsidRPr="00F82BC6" w14:paraId="719F4924" w14:textId="77777777" w:rsidTr="00087A02">
        <w:trPr>
          <w:jc w:val="center"/>
        </w:trPr>
        <w:tc>
          <w:tcPr>
            <w:tcW w:w="6379" w:type="dxa"/>
          </w:tcPr>
          <w:p w14:paraId="77F43D5C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  <w:lang w:val="en-US"/>
              </w:rPr>
            </w:pPr>
            <w:r w:rsidRPr="00F82B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5' ROX-CAG GTG GAA CCT CAT CAG GAG ATG C-BHQ1 3'       </w:t>
            </w:r>
          </w:p>
        </w:tc>
        <w:tc>
          <w:tcPr>
            <w:tcW w:w="2977" w:type="dxa"/>
          </w:tcPr>
          <w:p w14:paraId="6FE2FA0A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82B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Gen-RdRp Probe</w:t>
            </w:r>
          </w:p>
        </w:tc>
      </w:tr>
      <w:tr w:rsidR="00F72B2F" w:rsidRPr="00F82BC6" w14:paraId="714FF705" w14:textId="77777777" w:rsidTr="00087A02">
        <w:trPr>
          <w:jc w:val="center"/>
        </w:trPr>
        <w:tc>
          <w:tcPr>
            <w:tcW w:w="6379" w:type="dxa"/>
          </w:tcPr>
          <w:p w14:paraId="06C5DF7F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eastAsia="Arial Bold" w:hAnsi="Times New Roman" w:cs="Times New Roman"/>
                <w:sz w:val="20"/>
                <w:szCs w:val="20"/>
                <w:lang w:val="en-GB"/>
              </w:rPr>
            </w:pPr>
            <w:r w:rsidRPr="00F82BC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5' VIC-TTC TGA CCT GAA GGC TCT GCG CG-BHQ1 3'                </w:t>
            </w:r>
          </w:p>
        </w:tc>
        <w:tc>
          <w:tcPr>
            <w:tcW w:w="2977" w:type="dxa"/>
          </w:tcPr>
          <w:p w14:paraId="701BB086" w14:textId="77777777" w:rsidR="00F72B2F" w:rsidRPr="00F82BC6" w:rsidRDefault="00F72B2F" w:rsidP="00087A02">
            <w:pPr>
              <w:pStyle w:val="Cuerpo"/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2BC6">
              <w:rPr>
                <w:rFonts w:ascii="Times New Roman" w:hAnsi="Times New Roman" w:cs="Times New Roman"/>
                <w:sz w:val="20"/>
                <w:szCs w:val="20"/>
              </w:rPr>
              <w:t xml:space="preserve">Gen-RP </w:t>
            </w:r>
            <w:proofErr w:type="spellStart"/>
            <w:r w:rsidRPr="00F82BC6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  <w:proofErr w:type="spellEnd"/>
          </w:p>
        </w:tc>
      </w:tr>
    </w:tbl>
    <w:p w14:paraId="23C45BDA" w14:textId="77777777" w:rsidR="00F72B2F" w:rsidRPr="00F82BC6" w:rsidRDefault="00F72B2F" w:rsidP="00F72B2F">
      <w:pPr>
        <w:spacing w:line="360" w:lineRule="auto"/>
        <w:jc w:val="both"/>
        <w:rPr>
          <w:rFonts w:ascii="Times" w:hAnsi="Times"/>
          <w:sz w:val="20"/>
          <w:szCs w:val="20"/>
          <w:lang w:val="en-US"/>
        </w:rPr>
      </w:pPr>
    </w:p>
    <w:p w14:paraId="3F04765D" w14:textId="77777777" w:rsidR="00F72B2F" w:rsidRPr="00F82BC6" w:rsidRDefault="00F72B2F" w:rsidP="00F72B2F">
      <w:pPr>
        <w:spacing w:line="360" w:lineRule="auto"/>
        <w:jc w:val="both"/>
        <w:rPr>
          <w:rFonts w:ascii="Times" w:hAnsi="Times"/>
          <w:b/>
          <w:bCs/>
          <w:sz w:val="20"/>
          <w:szCs w:val="20"/>
          <w:lang w:val="en-US"/>
        </w:rPr>
      </w:pPr>
    </w:p>
    <w:p w14:paraId="293DA228" w14:textId="77777777" w:rsidR="00F72B2F" w:rsidRPr="00F82BC6" w:rsidRDefault="00F72B2F" w:rsidP="00F72B2F">
      <w:pPr>
        <w:spacing w:line="360" w:lineRule="auto"/>
        <w:jc w:val="center"/>
        <w:rPr>
          <w:rFonts w:ascii="Times" w:hAnsi="Times"/>
          <w:b/>
          <w:bCs/>
          <w:sz w:val="20"/>
          <w:szCs w:val="20"/>
          <w:lang w:val="en-US"/>
        </w:rPr>
      </w:pPr>
      <w:r w:rsidRPr="00F82BC6">
        <w:rPr>
          <w:rFonts w:ascii="Times" w:hAnsi="Times"/>
          <w:noProof/>
          <w:sz w:val="20"/>
          <w:szCs w:val="20"/>
          <w:lang w:val="es-EC" w:eastAsia="es-EC"/>
        </w:rPr>
        <w:drawing>
          <wp:inline distT="0" distB="0" distL="0" distR="0" wp14:anchorId="3C236FD5" wp14:editId="368605A3">
            <wp:extent cx="5826369" cy="3610708"/>
            <wp:effectExtent l="0" t="0" r="15875" b="889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35D2BB6-84E8-AB4F-89C2-23C1C7AF3EC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C82A03D" w14:textId="77777777" w:rsidR="00F72B2F" w:rsidRPr="00F82BC6" w:rsidRDefault="00F72B2F" w:rsidP="00F72B2F">
      <w:pPr>
        <w:spacing w:line="360" w:lineRule="auto"/>
        <w:jc w:val="both"/>
        <w:rPr>
          <w:rFonts w:ascii="Times" w:hAnsi="Times"/>
          <w:sz w:val="20"/>
          <w:szCs w:val="20"/>
          <w:lang w:val="en-US"/>
        </w:rPr>
      </w:pPr>
      <w:r w:rsidRPr="00F82BC6">
        <w:rPr>
          <w:rFonts w:ascii="Times" w:hAnsi="Times"/>
          <w:b/>
          <w:bCs/>
          <w:sz w:val="20"/>
          <w:szCs w:val="20"/>
          <w:lang w:val="en-US"/>
        </w:rPr>
        <w:t xml:space="preserve">Fig. 1 </w:t>
      </w:r>
      <w:r w:rsidRPr="00F82BC6">
        <w:rPr>
          <w:rFonts w:ascii="Times" w:hAnsi="Times"/>
          <w:sz w:val="20"/>
          <w:szCs w:val="20"/>
          <w:lang w:val="en-US"/>
        </w:rPr>
        <w:t>Death percentage of confirmed COVID-19 cases. Data shown as of September 17</w:t>
      </w:r>
      <w:r w:rsidRPr="00F82BC6">
        <w:rPr>
          <w:rFonts w:ascii="Times" w:hAnsi="Times"/>
          <w:sz w:val="20"/>
          <w:szCs w:val="20"/>
          <w:vertAlign w:val="superscript"/>
          <w:lang w:val="en-US"/>
        </w:rPr>
        <w:t>th</w:t>
      </w:r>
      <w:r w:rsidRPr="00F82BC6">
        <w:rPr>
          <w:rFonts w:ascii="Times" w:hAnsi="Times"/>
          <w:sz w:val="20"/>
          <w:szCs w:val="20"/>
          <w:lang w:val="en-US"/>
        </w:rPr>
        <w:t xml:space="preserve">, 2020. Ecuador was the country with the highest rate up to that date. </w:t>
      </w:r>
    </w:p>
    <w:p w14:paraId="7A4A177A" w14:textId="77777777" w:rsidR="00F72B2F" w:rsidRPr="00F82BC6" w:rsidRDefault="00F72B2F" w:rsidP="00F72B2F">
      <w:pPr>
        <w:spacing w:line="360" w:lineRule="auto"/>
        <w:jc w:val="both"/>
        <w:rPr>
          <w:rFonts w:ascii="Times" w:hAnsi="Times"/>
          <w:b/>
          <w:bCs/>
          <w:sz w:val="20"/>
          <w:szCs w:val="20"/>
          <w:lang w:val="en-US"/>
        </w:rPr>
      </w:pPr>
    </w:p>
    <w:p w14:paraId="0773A2ED" w14:textId="77777777" w:rsidR="00F72B2F" w:rsidRPr="00F82BC6" w:rsidRDefault="00F72B2F" w:rsidP="00F72B2F">
      <w:pPr>
        <w:spacing w:line="360" w:lineRule="auto"/>
        <w:jc w:val="center"/>
        <w:rPr>
          <w:rFonts w:ascii="Times" w:hAnsi="Times"/>
          <w:b/>
          <w:bCs/>
          <w:sz w:val="20"/>
          <w:szCs w:val="20"/>
          <w:lang w:val="en-US"/>
        </w:rPr>
      </w:pPr>
      <w:r w:rsidRPr="00F82BC6">
        <w:rPr>
          <w:rFonts w:ascii="Times" w:hAnsi="Times"/>
          <w:b/>
          <w:bCs/>
          <w:noProof/>
          <w:sz w:val="20"/>
          <w:szCs w:val="20"/>
          <w:lang w:val="es-EC" w:eastAsia="es-EC"/>
        </w:rPr>
        <w:drawing>
          <wp:inline distT="0" distB="0" distL="0" distR="0" wp14:anchorId="4E930E16" wp14:editId="7A9053F4">
            <wp:extent cx="2004413" cy="1459230"/>
            <wp:effectExtent l="0" t="0" r="2540" b="1270"/>
            <wp:docPr id="3" name="Picture 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 rotWithShape="1">
                    <a:blip r:embed="rId5"/>
                    <a:srcRect r="65005"/>
                    <a:stretch/>
                  </pic:blipFill>
                  <pic:spPr bwMode="auto">
                    <a:xfrm>
                      <a:off x="0" y="0"/>
                      <a:ext cx="2004413" cy="1459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2BC6">
        <w:rPr>
          <w:rFonts w:ascii="Times" w:hAnsi="Times"/>
          <w:b/>
          <w:bCs/>
          <w:noProof/>
          <w:sz w:val="20"/>
          <w:szCs w:val="20"/>
          <w:lang w:val="es-EC" w:eastAsia="es-EC"/>
        </w:rPr>
        <w:drawing>
          <wp:inline distT="0" distB="0" distL="0" distR="0" wp14:anchorId="0DF1C269" wp14:editId="0EBBF8E9">
            <wp:extent cx="2537309" cy="1458973"/>
            <wp:effectExtent l="0" t="0" r="3175" b="1905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 rotWithShape="1">
                    <a:blip r:embed="rId5"/>
                    <a:srcRect l="55515" t="-18" r="179" b="18"/>
                    <a:stretch/>
                  </pic:blipFill>
                  <pic:spPr bwMode="auto">
                    <a:xfrm>
                      <a:off x="0" y="0"/>
                      <a:ext cx="2537756" cy="1459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BC7C65" w14:textId="77777777" w:rsidR="00F72B2F" w:rsidRDefault="00F72B2F" w:rsidP="00F72B2F">
      <w:pPr>
        <w:spacing w:line="360" w:lineRule="auto"/>
        <w:jc w:val="both"/>
        <w:rPr>
          <w:rFonts w:ascii="Times" w:hAnsi="Times"/>
          <w:sz w:val="20"/>
          <w:szCs w:val="20"/>
          <w:lang w:val="en-US"/>
        </w:rPr>
      </w:pPr>
      <w:r w:rsidRPr="00F82BC6">
        <w:rPr>
          <w:rFonts w:ascii="Times" w:hAnsi="Times"/>
          <w:b/>
          <w:bCs/>
          <w:sz w:val="20"/>
          <w:szCs w:val="20"/>
          <w:lang w:val="en-US"/>
        </w:rPr>
        <w:t xml:space="preserve">Fig. 2 </w:t>
      </w:r>
      <w:r w:rsidRPr="00554BE2">
        <w:rPr>
          <w:rFonts w:ascii="Times" w:hAnsi="Times"/>
          <w:sz w:val="20"/>
          <w:szCs w:val="20"/>
          <w:lang w:val="en-US"/>
        </w:rPr>
        <w:t>Duplicate</w:t>
      </w:r>
      <w:r>
        <w:rPr>
          <w:rFonts w:ascii="Times" w:hAnsi="Times"/>
          <w:b/>
          <w:bCs/>
          <w:sz w:val="20"/>
          <w:szCs w:val="20"/>
          <w:lang w:val="en-US"/>
        </w:rPr>
        <w:t xml:space="preserve"> </w:t>
      </w:r>
      <w:r w:rsidRPr="00F82BC6">
        <w:rPr>
          <w:rFonts w:ascii="Times" w:hAnsi="Times"/>
          <w:sz w:val="20"/>
          <w:szCs w:val="20"/>
          <w:lang w:val="en-US"/>
        </w:rPr>
        <w:t>RT-qPCR products of the envelope protein gene E (113 bp), the nucleocapsid protein gene N (128 bp), RNA-dependent RNA polymerase gene RdRp (100 bp) and human ribonuclease gene “RP” (50 bp). The ladder corresponds to 200 bp (upper line) and 100 bp (lower line).</w:t>
      </w:r>
    </w:p>
    <w:p w14:paraId="7A3E1E75" w14:textId="2F92FB39" w:rsidR="00F72B2F" w:rsidRDefault="00F72B2F" w:rsidP="00F72B2F">
      <w:pPr>
        <w:spacing w:line="360" w:lineRule="auto"/>
        <w:jc w:val="both"/>
        <w:rPr>
          <w:rFonts w:ascii="Times" w:eastAsia="Times New Roman" w:hAnsi="Times" w:cs="Calibri"/>
          <w:b/>
          <w:bCs/>
          <w:color w:val="000000"/>
          <w:sz w:val="20"/>
          <w:szCs w:val="20"/>
          <w:lang w:val="en-AU" w:eastAsia="en-GB"/>
        </w:rPr>
      </w:pPr>
      <w:r w:rsidRPr="00F82BC6">
        <w:rPr>
          <w:rFonts w:ascii="Times" w:hAnsi="Times"/>
          <w:b/>
          <w:bCs/>
          <w:sz w:val="20"/>
          <w:szCs w:val="20"/>
          <w:lang w:val="en-US"/>
        </w:rPr>
        <w:br/>
      </w:r>
    </w:p>
    <w:p w14:paraId="54981D7E" w14:textId="77777777" w:rsidR="00F963A2" w:rsidRDefault="00F72B2F"/>
    <w:sectPr w:rsidR="00F963A2" w:rsidSect="00F72B2F"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B2F"/>
    <w:rsid w:val="00170634"/>
    <w:rsid w:val="008574FD"/>
    <w:rsid w:val="00F25B18"/>
    <w:rsid w:val="00F7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B8330C"/>
  <w15:chartTrackingRefBased/>
  <w15:docId w15:val="{E59C8D70-DA57-493E-AB87-A50362D3B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B2F"/>
    <w:pPr>
      <w:spacing w:after="0" w:line="240" w:lineRule="auto"/>
    </w:pPr>
    <w:rPr>
      <w:sz w:val="24"/>
      <w:szCs w:val="24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F72B2F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val="es-EC" w:eastAsia="es-EC"/>
    </w:rPr>
  </w:style>
  <w:style w:type="table" w:styleId="Tablaconcuadrcula">
    <w:name w:val="Table Grid"/>
    <w:basedOn w:val="Tablanormal"/>
    <w:uiPriority w:val="39"/>
    <w:rsid w:val="00F72B2F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ronnypibaque\Dropbox\COVID%20IN%20HOUSE\statistics%20pape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ysClr val="windowText" lastClr="000000"/>
                </a:solidFill>
                <a:latin typeface="Times" pitchFamily="2" charset="0"/>
                <a:ea typeface="+mn-ea"/>
                <a:cs typeface="+mn-cs"/>
              </a:defRPr>
            </a:pPr>
            <a:r>
              <a:rPr lang="en-US" sz="1100"/>
              <a:t>Death percentage of confirmed COVID-19  cases</a:t>
            </a:r>
          </a:p>
          <a:p>
            <a:pPr>
              <a:defRPr sz="1100"/>
            </a:pPr>
            <a:r>
              <a:rPr lang="en-US" sz="1100"/>
              <a:t> in Latin America up to Semptember, 17th 2020.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ysClr val="windowText" lastClr="000000"/>
              </a:solidFill>
              <a:latin typeface="Times" pitchFamily="2" charset="0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Sheet1!$D$1</c:f>
              <c:strCache>
                <c:ptCount val="1"/>
                <c:pt idx="0">
                  <c:v>Death % of confirmed COVID-19 cases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Sheet1!$A$2:$A$14</c:f>
              <c:strCache>
                <c:ptCount val="13"/>
                <c:pt idx="0">
                  <c:v>Ecuador</c:v>
                </c:pt>
                <c:pt idx="1">
                  <c:v>Bolivia</c:v>
                </c:pt>
                <c:pt idx="2">
                  <c:v>Peru</c:v>
                </c:pt>
                <c:pt idx="3">
                  <c:v>Colombia</c:v>
                </c:pt>
                <c:pt idx="4">
                  <c:v>Brazil</c:v>
                </c:pt>
                <c:pt idx="5">
                  <c:v>Guyana</c:v>
                </c:pt>
                <c:pt idx="6">
                  <c:v>Chile</c:v>
                </c:pt>
                <c:pt idx="7">
                  <c:v>Uruguay</c:v>
                </c:pt>
                <c:pt idx="8">
                  <c:v>Argentina</c:v>
                </c:pt>
                <c:pt idx="9">
                  <c:v>Suriname</c:v>
                </c:pt>
                <c:pt idx="10">
                  <c:v>Paraguay</c:v>
                </c:pt>
                <c:pt idx="11">
                  <c:v>Trinidad and Tobago</c:v>
                </c:pt>
                <c:pt idx="12">
                  <c:v>French Guiana</c:v>
                </c:pt>
              </c:strCache>
            </c:strRef>
          </c:cat>
          <c:val>
            <c:numRef>
              <c:f>Sheet1!$D$2:$D$14</c:f>
              <c:numCache>
                <c:formatCode>General</c:formatCode>
                <c:ptCount val="13"/>
                <c:pt idx="0">
                  <c:v>9.0483439621477064</c:v>
                </c:pt>
                <c:pt idx="1">
                  <c:v>5.7942034623614083</c:v>
                </c:pt>
                <c:pt idx="2">
                  <c:v>4.1905368418200046</c:v>
                </c:pt>
                <c:pt idx="3">
                  <c:v>3.1963106822767262</c:v>
                </c:pt>
                <c:pt idx="4">
                  <c:v>3.0376771088362338</c:v>
                </c:pt>
                <c:pt idx="5">
                  <c:v>2.9622063329928499</c:v>
                </c:pt>
                <c:pt idx="6">
                  <c:v>2.7449025352446124</c:v>
                </c:pt>
                <c:pt idx="7">
                  <c:v>2.4630541871921183</c:v>
                </c:pt>
                <c:pt idx="8">
                  <c:v>2.0629163505606769</c:v>
                </c:pt>
                <c:pt idx="9">
                  <c:v>2.0540540540540539</c:v>
                </c:pt>
                <c:pt idx="10">
                  <c:v>1.8840876510342004</c:v>
                </c:pt>
                <c:pt idx="11">
                  <c:v>1.730944427573641</c:v>
                </c:pt>
                <c:pt idx="12">
                  <c:v>0.67743616466909851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4DF-4137-9952-4108EC0986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26831247"/>
        <c:axId val="1726250463"/>
      </c:barChart>
      <c:catAx>
        <c:axId val="17268312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" pitchFamily="2" charset="0"/>
                <a:ea typeface="+mn-ea"/>
                <a:cs typeface="+mn-cs"/>
              </a:defRPr>
            </a:pPr>
            <a:endParaRPr lang="pt-BR"/>
          </a:p>
        </c:txPr>
        <c:crossAx val="1726250463"/>
        <c:crosses val="autoZero"/>
        <c:auto val="1"/>
        <c:lblAlgn val="ctr"/>
        <c:lblOffset val="100"/>
        <c:noMultiLvlLbl val="0"/>
      </c:catAx>
      <c:valAx>
        <c:axId val="172625046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" pitchFamily="2" charset="0"/>
                    <a:ea typeface="+mn-ea"/>
                    <a:cs typeface="+mn-cs"/>
                  </a:defRPr>
                </a:pPr>
                <a:r>
                  <a:rPr lang="en-GB"/>
                  <a:t>%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" pitchFamily="2" charset="0"/>
                  <a:ea typeface="+mn-ea"/>
                  <a:cs typeface="+mn-cs"/>
                </a:defRPr>
              </a:pPr>
              <a:endParaRPr lang="pt-B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" pitchFamily="2" charset="0"/>
                <a:ea typeface="+mn-ea"/>
                <a:cs typeface="+mn-cs"/>
              </a:defRPr>
            </a:pPr>
            <a:endParaRPr lang="pt-BR"/>
          </a:p>
        </c:txPr>
        <c:crossAx val="172683124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" pitchFamily="2" charset="0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" pitchFamily="2" charset="0"/>
        </a:defRPr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605</Words>
  <Characters>3272</Characters>
  <Application>Microsoft Office Word</Application>
  <DocSecurity>0</DocSecurity>
  <Lines>27</Lines>
  <Paragraphs>7</Paragraphs>
  <ScaleCrop>false</ScaleCrop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De la Torre</dc:creator>
  <cp:keywords/>
  <dc:description/>
  <cp:lastModifiedBy>David De la Torre</cp:lastModifiedBy>
  <cp:revision>1</cp:revision>
  <dcterms:created xsi:type="dcterms:W3CDTF">2020-10-07T20:24:00Z</dcterms:created>
  <dcterms:modified xsi:type="dcterms:W3CDTF">2020-10-07T20:25:00Z</dcterms:modified>
</cp:coreProperties>
</file>