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41CBC" w:rsidRDefault="00B41CBC" w:rsidP="00B41CBC">
      <w:pPr>
        <w:jc w:val="both"/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>SUPPLEMENTS</w:t>
      </w:r>
    </w:p>
    <w:p w:rsidR="00B41CBC" w:rsidRDefault="00B41CBC" w:rsidP="00B41CBC">
      <w:pPr>
        <w:jc w:val="both"/>
        <w:rPr>
          <w:b/>
          <w:bCs/>
          <w:color w:val="000000" w:themeColor="text1"/>
          <w:lang w:val="en-US"/>
        </w:rPr>
      </w:pPr>
    </w:p>
    <w:p w:rsidR="00B41CBC" w:rsidRDefault="00B41CBC" w:rsidP="00B41CBC">
      <w:pPr>
        <w:jc w:val="both"/>
        <w:rPr>
          <w:color w:val="000000" w:themeColor="text1"/>
          <w:lang w:val="en-US"/>
        </w:rPr>
      </w:pPr>
      <w:r>
        <w:rPr>
          <w:bCs/>
          <w:noProof/>
          <w:color w:val="212121"/>
          <w:lang w:val="en-US"/>
        </w:rPr>
        <w:drawing>
          <wp:inline distT="0" distB="0" distL="0" distR="0" wp14:anchorId="7B3F3825" wp14:editId="4359DC9A">
            <wp:extent cx="5421211" cy="4843604"/>
            <wp:effectExtent l="0" t="0" r="1905" b="0"/>
            <wp:docPr id="1824775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75396" name="Picture 182477539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122" cy="486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BC" w:rsidRPr="003D50AA" w:rsidRDefault="00B41CBC" w:rsidP="00B41CBC">
      <w:pPr>
        <w:jc w:val="both"/>
        <w:rPr>
          <w:color w:val="000000" w:themeColor="text1"/>
          <w:lang w:val="en-US"/>
        </w:rPr>
      </w:pPr>
      <w:r>
        <w:rPr>
          <w:b/>
          <w:bCs/>
          <w:lang w:val="en-US"/>
        </w:rPr>
        <w:t>Figure S</w:t>
      </w:r>
      <w:r w:rsidRPr="0063743B">
        <w:rPr>
          <w:b/>
          <w:bCs/>
          <w:lang w:val="en-US"/>
        </w:rPr>
        <w:t>1</w:t>
      </w:r>
      <w:r w:rsidRPr="003D50AA">
        <w:rPr>
          <w:b/>
          <w:bCs/>
          <w:color w:val="000000" w:themeColor="text1"/>
          <w:lang w:val="en-US"/>
        </w:rPr>
        <w:t xml:space="preserve">. </w:t>
      </w:r>
      <w:proofErr w:type="spellStart"/>
      <w:r w:rsidRPr="003D50AA">
        <w:rPr>
          <w:b/>
          <w:bCs/>
          <w:color w:val="000000" w:themeColor="text1"/>
          <w:lang w:val="en-US"/>
        </w:rPr>
        <w:t>Reactome</w:t>
      </w:r>
      <w:proofErr w:type="spellEnd"/>
      <w:r w:rsidRPr="003D50AA">
        <w:rPr>
          <w:b/>
          <w:bCs/>
          <w:color w:val="000000" w:themeColor="text1"/>
          <w:lang w:val="en-US"/>
        </w:rPr>
        <w:t xml:space="preserve"> database pathways</w:t>
      </w:r>
      <w:r>
        <w:rPr>
          <w:color w:val="000000" w:themeColor="text1"/>
          <w:lang w:val="en-US"/>
        </w:rPr>
        <w:t>. (</w:t>
      </w:r>
      <w:r w:rsidRPr="004774B2">
        <w:rPr>
          <w:b/>
          <w:bCs/>
          <w:color w:val="000000" w:themeColor="text1"/>
          <w:lang w:val="en-US"/>
        </w:rPr>
        <w:t>A</w:t>
      </w:r>
      <w:r>
        <w:rPr>
          <w:color w:val="000000" w:themeColor="text1"/>
          <w:lang w:val="en-US"/>
        </w:rPr>
        <w:t>) Generic transcriptomic pathway. (</w:t>
      </w:r>
      <w:r w:rsidRPr="004774B2">
        <w:rPr>
          <w:b/>
          <w:bCs/>
          <w:color w:val="000000" w:themeColor="text1"/>
          <w:lang w:val="en-US"/>
        </w:rPr>
        <w:t>B</w:t>
      </w:r>
      <w:r>
        <w:rPr>
          <w:color w:val="000000" w:themeColor="text1"/>
          <w:lang w:val="en-US"/>
        </w:rPr>
        <w:t>)Transcriptional regulation by RUNX3. (</w:t>
      </w:r>
      <w:r w:rsidRPr="004774B2">
        <w:rPr>
          <w:b/>
          <w:bCs/>
          <w:color w:val="000000" w:themeColor="text1"/>
          <w:lang w:val="en-US"/>
        </w:rPr>
        <w:t>C</w:t>
      </w:r>
      <w:r>
        <w:rPr>
          <w:color w:val="000000" w:themeColor="text1"/>
          <w:lang w:val="en-US"/>
        </w:rPr>
        <w:t>) Cellular senescence. (</w:t>
      </w:r>
      <w:r w:rsidRPr="004774B2">
        <w:rPr>
          <w:b/>
          <w:bCs/>
          <w:color w:val="000000" w:themeColor="text1"/>
          <w:lang w:val="en-US"/>
        </w:rPr>
        <w:t>D</w:t>
      </w:r>
      <w:r>
        <w:rPr>
          <w:color w:val="000000" w:themeColor="text1"/>
          <w:lang w:val="en-US"/>
        </w:rPr>
        <w:t xml:space="preserve">) Signaling by VEGF. Adapted from </w:t>
      </w:r>
      <w:r w:rsidRPr="009E483E">
        <w:rPr>
          <w:noProof/>
          <w:lang w:val="en-US"/>
        </w:rPr>
        <w:t xml:space="preserve">Fabregat A, Sidiropoulos K, Viteri G, et al. Reactome diagram viewer: data structures and strategies to boost performance. </w:t>
      </w:r>
      <w:r w:rsidRPr="00462681">
        <w:rPr>
          <w:i/>
          <w:noProof/>
          <w:lang w:val="en-US"/>
        </w:rPr>
        <w:t>Bioinformatics</w:t>
      </w:r>
      <w:r w:rsidRPr="00462681">
        <w:rPr>
          <w:noProof/>
          <w:lang w:val="en-US"/>
        </w:rPr>
        <w:t>. Apr 1 2018;34(7):1208-1214. doi:10.1093/bioinformatics/btx752</w:t>
      </w:r>
    </w:p>
    <w:p w:rsidR="00B41CBC" w:rsidRDefault="00B41CBC" w:rsidP="00B41CBC">
      <w:pPr>
        <w:shd w:val="clear" w:color="auto" w:fill="FFFFFF"/>
        <w:spacing w:after="160"/>
        <w:jc w:val="both"/>
        <w:rPr>
          <w:bCs/>
          <w:color w:val="212121"/>
          <w:lang w:val="en-US"/>
        </w:rPr>
      </w:pPr>
    </w:p>
    <w:p w:rsidR="00B41CBC" w:rsidRDefault="00B41CBC" w:rsidP="00B41CBC">
      <w:pPr>
        <w:shd w:val="clear" w:color="auto" w:fill="FFFFFF"/>
        <w:spacing w:after="160"/>
        <w:jc w:val="both"/>
        <w:rPr>
          <w:bCs/>
          <w:color w:val="212121"/>
          <w:lang w:val="en-US"/>
        </w:rPr>
      </w:pPr>
      <w:r>
        <w:rPr>
          <w:bCs/>
          <w:noProof/>
          <w:color w:val="212121"/>
          <w:lang w:val="en-US"/>
        </w:rPr>
        <w:lastRenderedPageBreak/>
        <w:drawing>
          <wp:inline distT="0" distB="0" distL="0" distR="0" wp14:anchorId="6970CED8" wp14:editId="27BC1893">
            <wp:extent cx="5733415" cy="5080635"/>
            <wp:effectExtent l="0" t="0" r="0" b="0"/>
            <wp:docPr id="207198035" name="Picture 2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8035" name="Picture 2" descr="A diagram of a diagra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BC" w:rsidRPr="003D50AA" w:rsidRDefault="00B41CBC" w:rsidP="00B41CBC">
      <w:pPr>
        <w:jc w:val="both"/>
        <w:rPr>
          <w:color w:val="000000" w:themeColor="text1"/>
          <w:lang w:val="en-US"/>
        </w:rPr>
      </w:pPr>
      <w:r>
        <w:rPr>
          <w:b/>
          <w:bCs/>
          <w:lang w:val="en-US"/>
        </w:rPr>
        <w:t>Figure S2</w:t>
      </w:r>
      <w:r w:rsidRPr="003D50AA">
        <w:rPr>
          <w:b/>
          <w:bCs/>
          <w:color w:val="000000" w:themeColor="text1"/>
          <w:lang w:val="en-US"/>
        </w:rPr>
        <w:t xml:space="preserve">. </w:t>
      </w:r>
      <w:r>
        <w:rPr>
          <w:b/>
          <w:bCs/>
          <w:color w:val="000000" w:themeColor="text1"/>
          <w:lang w:val="en-US"/>
        </w:rPr>
        <w:t>KEGG</w:t>
      </w:r>
      <w:r w:rsidRPr="003D50AA">
        <w:rPr>
          <w:b/>
          <w:bCs/>
          <w:color w:val="000000" w:themeColor="text1"/>
          <w:lang w:val="en-US"/>
        </w:rPr>
        <w:t xml:space="preserve"> database pathways</w:t>
      </w:r>
      <w:r>
        <w:rPr>
          <w:color w:val="000000" w:themeColor="text1"/>
          <w:lang w:val="en-US"/>
        </w:rPr>
        <w:t>. (</w:t>
      </w:r>
      <w:r w:rsidRPr="004774B2">
        <w:rPr>
          <w:b/>
          <w:bCs/>
          <w:color w:val="000000" w:themeColor="text1"/>
          <w:lang w:val="en-US"/>
        </w:rPr>
        <w:t>A</w:t>
      </w:r>
      <w:r>
        <w:rPr>
          <w:color w:val="000000" w:themeColor="text1"/>
          <w:lang w:val="en-US"/>
        </w:rPr>
        <w:t>) MicroRNAs in cancer. (</w:t>
      </w:r>
      <w:r w:rsidRPr="004774B2">
        <w:rPr>
          <w:b/>
          <w:bCs/>
          <w:color w:val="000000" w:themeColor="text1"/>
          <w:lang w:val="en-US"/>
        </w:rPr>
        <w:t>B</w:t>
      </w:r>
      <w:r>
        <w:rPr>
          <w:color w:val="000000" w:themeColor="text1"/>
          <w:lang w:val="en-US"/>
        </w:rPr>
        <w:t xml:space="preserve">) </w:t>
      </w:r>
      <w:proofErr w:type="spellStart"/>
      <w:r>
        <w:rPr>
          <w:color w:val="000000" w:themeColor="text1"/>
          <w:lang w:val="en-US"/>
        </w:rPr>
        <w:t>Adherens</w:t>
      </w:r>
      <w:proofErr w:type="spellEnd"/>
      <w:r>
        <w:rPr>
          <w:color w:val="000000" w:themeColor="text1"/>
          <w:lang w:val="en-US"/>
        </w:rPr>
        <w:t xml:space="preserve"> junction. (</w:t>
      </w:r>
      <w:r w:rsidRPr="004774B2">
        <w:rPr>
          <w:b/>
          <w:bCs/>
          <w:color w:val="000000" w:themeColor="text1"/>
          <w:lang w:val="en-US"/>
        </w:rPr>
        <w:t>C</w:t>
      </w:r>
      <w:r>
        <w:rPr>
          <w:color w:val="000000" w:themeColor="text1"/>
          <w:lang w:val="en-US"/>
        </w:rPr>
        <w:t>) HIPPO signaling pathway. (</w:t>
      </w:r>
      <w:r w:rsidRPr="004774B2">
        <w:rPr>
          <w:b/>
          <w:bCs/>
          <w:color w:val="000000" w:themeColor="text1"/>
          <w:lang w:val="en-US"/>
        </w:rPr>
        <w:t>D</w:t>
      </w:r>
      <w:r>
        <w:rPr>
          <w:color w:val="000000" w:themeColor="text1"/>
          <w:lang w:val="en-US"/>
        </w:rPr>
        <w:t xml:space="preserve">) TGF-beta signaling pathway. Adapted from </w:t>
      </w:r>
      <w:r w:rsidRPr="009E483E">
        <w:rPr>
          <w:noProof/>
          <w:lang w:val="en-US"/>
        </w:rPr>
        <w:t xml:space="preserve">Kanehisa M, Goto S. KEGG: kyoto encyclopedia of genes and genomes. </w:t>
      </w:r>
      <w:r w:rsidRPr="00AF75AC">
        <w:rPr>
          <w:i/>
          <w:noProof/>
          <w:lang w:val="en-US"/>
        </w:rPr>
        <w:t>Nucleic Acids Res</w:t>
      </w:r>
      <w:r w:rsidRPr="00AF75AC">
        <w:rPr>
          <w:noProof/>
          <w:lang w:val="en-US"/>
        </w:rPr>
        <w:t>. Jan 1 2000;28(1):27-30. doi:10.1093/nar/28.1.27</w:t>
      </w:r>
    </w:p>
    <w:p w:rsidR="00B41CBC" w:rsidRDefault="00B41CBC" w:rsidP="00B41CBC">
      <w:pPr>
        <w:jc w:val="both"/>
        <w:rPr>
          <w:b/>
          <w:bCs/>
          <w:lang w:val="en-US"/>
        </w:rPr>
      </w:pPr>
    </w:p>
    <w:p w:rsidR="00B41CBC" w:rsidRDefault="00B41CBC" w:rsidP="00B41CBC">
      <w:pPr>
        <w:jc w:val="both"/>
        <w:rPr>
          <w:lang w:val="en-US"/>
        </w:rPr>
      </w:pPr>
      <w:r>
        <w:rPr>
          <w:b/>
          <w:bCs/>
          <w:lang w:val="en-US"/>
        </w:rPr>
        <w:t>Figure S3</w:t>
      </w:r>
      <w:r w:rsidRPr="00894DB7">
        <w:rPr>
          <w:b/>
          <w:bCs/>
          <w:lang w:val="en-US"/>
        </w:rPr>
        <w:t xml:space="preserve">. miRNAs </w:t>
      </w:r>
      <w:r>
        <w:rPr>
          <w:b/>
          <w:bCs/>
          <w:lang w:val="en-US"/>
        </w:rPr>
        <w:t xml:space="preserve">associated with different molecular pathways in the </w:t>
      </w:r>
      <w:proofErr w:type="spellStart"/>
      <w:r>
        <w:rPr>
          <w:b/>
          <w:bCs/>
          <w:lang w:val="en-US"/>
        </w:rPr>
        <w:t>Reactome</w:t>
      </w:r>
      <w:proofErr w:type="spellEnd"/>
      <w:r>
        <w:rPr>
          <w:b/>
          <w:bCs/>
          <w:lang w:val="en-US"/>
        </w:rPr>
        <w:t xml:space="preserve"> and KEGG databases, likely prognostic factors for overall survival in GBM (Excel</w:t>
      </w:r>
      <w:r w:rsidRPr="006D4385">
        <w:rPr>
          <w:b/>
          <w:bCs/>
          <w:lang w:val="en-US"/>
        </w:rPr>
        <w:t xml:space="preserve"> database)</w:t>
      </w:r>
      <w:r>
        <w:rPr>
          <w:b/>
          <w:bCs/>
          <w:lang w:val="en-US"/>
        </w:rPr>
        <w:t>.</w:t>
      </w:r>
      <w:r w:rsidRPr="004774B2">
        <w:rPr>
          <w:color w:val="000000" w:themeColor="text1"/>
          <w:lang w:val="en-US"/>
        </w:rPr>
        <w:t xml:space="preserve"> </w:t>
      </w:r>
    </w:p>
    <w:p w:rsidR="00B41CBC" w:rsidRPr="00263C32" w:rsidRDefault="00B41CBC" w:rsidP="00B41CBC">
      <w:pPr>
        <w:jc w:val="both"/>
        <w:rPr>
          <w:b/>
          <w:bCs/>
          <w:color w:val="000000" w:themeColor="text1"/>
          <w:lang w:val="en-US"/>
        </w:rPr>
      </w:pPr>
    </w:p>
    <w:p w:rsidR="00B41CBC" w:rsidRPr="00263C32" w:rsidRDefault="00B41CBC" w:rsidP="00B41CBC">
      <w:pPr>
        <w:jc w:val="both"/>
        <w:rPr>
          <w:i/>
          <w:iCs/>
          <w:color w:val="000000" w:themeColor="text1"/>
          <w:lang w:val="en-US"/>
        </w:rPr>
      </w:pPr>
    </w:p>
    <w:p w:rsidR="00B41CBC" w:rsidRPr="00263C32" w:rsidRDefault="00B41CBC" w:rsidP="00B41CBC">
      <w:pPr>
        <w:shd w:val="clear" w:color="auto" w:fill="FFFFFF"/>
        <w:spacing w:after="160"/>
        <w:jc w:val="both"/>
        <w:rPr>
          <w:bCs/>
          <w:color w:val="212121"/>
          <w:lang w:val="en-US"/>
        </w:rPr>
      </w:pPr>
    </w:p>
    <w:p w:rsidR="00B41CBC" w:rsidRDefault="00B41CBC"/>
    <w:sectPr w:rsidR="00B41CBC" w:rsidSect="00B41CBC">
      <w:footerReference w:type="even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149479273"/>
      <w:docPartObj>
        <w:docPartGallery w:val="Page Numbers (Bottom of Page)"/>
        <w:docPartUnique/>
      </w:docPartObj>
    </w:sdtPr>
    <w:sdtContent>
      <w:p w:rsidR="00B41CBC" w:rsidRDefault="00B41CBC" w:rsidP="0099276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B41CBC" w:rsidRDefault="00B41CBC" w:rsidP="0059405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942746223"/>
      <w:docPartObj>
        <w:docPartGallery w:val="Page Numbers (Bottom of Page)"/>
        <w:docPartUnique/>
      </w:docPartObj>
    </w:sdtPr>
    <w:sdtContent>
      <w:p w:rsidR="00B41CBC" w:rsidRDefault="00B41CBC" w:rsidP="0099276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B41CBC" w:rsidRDefault="00B41CBC" w:rsidP="00594055">
    <w:pPr>
      <w:pStyle w:val="Piedepgina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CBC"/>
    <w:rsid w:val="00426DB7"/>
    <w:rsid w:val="00B4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DFE8424-38F7-A94E-9DC1-5C76E8227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CBC"/>
    <w:pPr>
      <w:spacing w:after="0" w:line="240" w:lineRule="auto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B41CB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41CB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41CBC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41CBC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41CB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41CBC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41CBC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41CBC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41CBC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41C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41C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41C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41CB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41CB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41CB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41CB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41CB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41CB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41C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B41C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41CBC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B41C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41CBC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B41CB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41CBC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B41CB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41C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41CB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41CBC"/>
    <w:rPr>
      <w:b/>
      <w:bCs/>
      <w:smallCaps/>
      <w:color w:val="0F4761" w:themeColor="accent1" w:themeShade="BF"/>
      <w:spacing w:val="5"/>
    </w:rPr>
  </w:style>
  <w:style w:type="paragraph" w:styleId="Piedepgina">
    <w:name w:val="footer"/>
    <w:basedOn w:val="Normal"/>
    <w:link w:val="PiedepginaCar"/>
    <w:uiPriority w:val="99"/>
    <w:unhideWhenUsed/>
    <w:rsid w:val="00B41C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1CBC"/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character" w:styleId="Nmerodepgina">
    <w:name w:val="page number"/>
    <w:basedOn w:val="Fuentedeprrafopredeter"/>
    <w:uiPriority w:val="99"/>
    <w:semiHidden/>
    <w:unhideWhenUsed/>
    <w:rsid w:val="00B41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132</Words>
  <Characters>731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2026-03-16T22:43:00Z</dcterms:created>
  <dcterms:modified xsi:type="dcterms:W3CDTF">2026-03-16T22:44:00Z</dcterms:modified>
</cp:coreProperties>
</file>