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FEAB5" w14:textId="77777777" w:rsidR="00B648B6" w:rsidRPr="00101270" w:rsidRDefault="00B648B6" w:rsidP="00B648B6">
      <w:pPr>
        <w:pStyle w:val="Caption"/>
        <w:spacing w:after="0"/>
        <w:jc w:val="both"/>
        <w:rPr>
          <w:b/>
          <w:bCs/>
          <w:color w:val="0F4761" w:themeColor="accent1" w:themeShade="BF"/>
          <w:sz w:val="24"/>
          <w:szCs w:val="24"/>
        </w:rPr>
      </w:pPr>
      <w:r w:rsidRPr="00101270">
        <w:rPr>
          <w:b/>
          <w:bCs/>
          <w:color w:val="0F4761" w:themeColor="accent1" w:themeShade="BF"/>
          <w:sz w:val="24"/>
          <w:szCs w:val="24"/>
        </w:rPr>
        <w:t>Additional file 1 contains Supplementary Figures 1, 2, 3 and 4:</w:t>
      </w:r>
    </w:p>
    <w:p w14:paraId="42DBDA1A" w14:textId="77777777" w:rsidR="00B648B6" w:rsidRPr="00101270" w:rsidRDefault="00B648B6" w:rsidP="00B648B6">
      <w:pPr>
        <w:rPr>
          <w:color w:val="0F4761" w:themeColor="accent1" w:themeShade="BF"/>
        </w:rPr>
      </w:pPr>
    </w:p>
    <w:p w14:paraId="074AE1B4" w14:textId="77777777" w:rsidR="00B648B6" w:rsidRPr="00101270" w:rsidRDefault="00B648B6" w:rsidP="00B648B6">
      <w:pPr>
        <w:pStyle w:val="Caption"/>
        <w:spacing w:after="0"/>
        <w:jc w:val="both"/>
        <w:rPr>
          <w:b/>
          <w:bCs/>
          <w:color w:val="0F4761" w:themeColor="accent1" w:themeShade="BF"/>
          <w:sz w:val="24"/>
          <w:szCs w:val="24"/>
          <w:lang w:val="en-US"/>
        </w:rPr>
      </w:pPr>
      <w:r w:rsidRPr="00101270">
        <w:rPr>
          <w:b/>
          <w:bCs/>
          <w:color w:val="0F4761" w:themeColor="accent1" w:themeShade="BF"/>
          <w:sz w:val="24"/>
          <w:szCs w:val="24"/>
        </w:rPr>
        <w:t xml:space="preserve">Supplementary Figure 1 | </w:t>
      </w:r>
      <w:r w:rsidRPr="00101270">
        <w:rPr>
          <w:b/>
          <w:bCs/>
          <w:color w:val="0F4761" w:themeColor="accent1" w:themeShade="BF"/>
          <w:sz w:val="24"/>
          <w:szCs w:val="24"/>
          <w:lang w:val="en-US"/>
        </w:rPr>
        <w:t xml:space="preserve">PBMC quality and Treg/Tconv sorting strategy. </w:t>
      </w:r>
    </w:p>
    <w:p w14:paraId="5EC16A17" w14:textId="77777777" w:rsidR="00B648B6" w:rsidRPr="00101270" w:rsidRDefault="00B648B6" w:rsidP="00B648B6">
      <w:pPr>
        <w:pStyle w:val="Caption"/>
        <w:jc w:val="both"/>
        <w:rPr>
          <w:color w:val="0F4761" w:themeColor="accent1" w:themeShade="BF"/>
          <w:sz w:val="24"/>
          <w:szCs w:val="24"/>
        </w:rPr>
      </w:pPr>
      <w:r w:rsidRPr="00101270">
        <w:rPr>
          <w:color w:val="0F4761" w:themeColor="accent1" w:themeShade="BF"/>
          <w:sz w:val="24"/>
          <w:szCs w:val="24"/>
          <w:lang w:val="en-US"/>
        </w:rPr>
        <w:t>(A) Representative flow cytometry gating strategy used to purify CD4⁺ T-cell subsets from cryopreserved PBMCs. Singlets were selected on FSC-A vs FSC-H, followed by a lymphocyte gate (SSC-A vs FSC-A) and exclusion of dead cells. Live CD4⁺ cells were then gated and subdivided into regulatory T cells (Tregs; CD4⁺CD25</w:t>
      </w:r>
      <w:r w:rsidRPr="00101270">
        <w:rPr>
          <w:color w:val="0F4761" w:themeColor="accent1" w:themeShade="BF"/>
          <w:sz w:val="24"/>
          <w:szCs w:val="24"/>
          <w:vertAlign w:val="superscript"/>
          <w:lang w:val="en-US"/>
        </w:rPr>
        <w:t>high</w:t>
      </w:r>
      <w:r w:rsidRPr="00101270">
        <w:rPr>
          <w:color w:val="0F4761" w:themeColor="accent1" w:themeShade="BF"/>
          <w:sz w:val="24"/>
          <w:szCs w:val="24"/>
          <w:lang w:val="en-US"/>
        </w:rPr>
        <w:t>CD127</w:t>
      </w:r>
      <w:r w:rsidRPr="00101270">
        <w:rPr>
          <w:color w:val="0F4761" w:themeColor="accent1" w:themeShade="BF"/>
          <w:sz w:val="24"/>
          <w:szCs w:val="24"/>
          <w:vertAlign w:val="superscript"/>
          <w:lang w:val="en-US"/>
        </w:rPr>
        <w:t>low</w:t>
      </w:r>
      <w:r w:rsidRPr="00101270">
        <w:rPr>
          <w:color w:val="0F4761" w:themeColor="accent1" w:themeShade="BF"/>
          <w:sz w:val="24"/>
          <w:szCs w:val="24"/>
          <w:lang w:val="en-US"/>
        </w:rPr>
        <w:t>) and conventional T cells (Tconv; CD4⁺CD25</w:t>
      </w:r>
      <w:r w:rsidRPr="00101270">
        <w:rPr>
          <w:color w:val="0F4761" w:themeColor="accent1" w:themeShade="BF"/>
          <w:sz w:val="24"/>
          <w:szCs w:val="24"/>
          <w:vertAlign w:val="superscript"/>
          <w:lang w:val="en-US"/>
        </w:rPr>
        <w:t>low/–</w:t>
      </w:r>
      <w:r w:rsidRPr="00101270">
        <w:rPr>
          <w:color w:val="0F4761" w:themeColor="accent1" w:themeShade="BF"/>
          <w:sz w:val="24"/>
          <w:szCs w:val="24"/>
          <w:lang w:val="en-US"/>
        </w:rPr>
        <w:t>CD127⁺). (B) PBMC quality metrics from children with T1D (cases) and autoantibody-negative controls. Left: PBMC viability (%) after thawing. Right: number of recovered PBMCs per sample. Points show individual donors with mean ± SD. There were no significant differences between cases and controls for either viability or PBMC recovery (ns; Mann–Whitney U test).</w:t>
      </w:r>
    </w:p>
    <w:p w14:paraId="3D0FDAEF" w14:textId="77777777" w:rsidR="00B648B6" w:rsidRPr="00101270" w:rsidRDefault="00B648B6" w:rsidP="00B648B6">
      <w:pPr>
        <w:spacing w:after="0"/>
        <w:jc w:val="both"/>
        <w:rPr>
          <w:b/>
          <w:bCs/>
          <w:color w:val="0F4761" w:themeColor="accent1" w:themeShade="BF"/>
          <w:szCs w:val="24"/>
          <w:lang w:val="en-US"/>
        </w:rPr>
      </w:pPr>
      <w:r w:rsidRPr="00101270">
        <w:rPr>
          <w:b/>
          <w:bCs/>
          <w:color w:val="0F4761" w:themeColor="accent1" w:themeShade="BF"/>
          <w:szCs w:val="24"/>
          <w:lang w:val="en-US"/>
        </w:rPr>
        <w:t xml:space="preserve">Supplementary Fig. 2 | Hi-C–guided reassignment of a Tconv T1D-altered enhancer from </w:t>
      </w:r>
      <w:r w:rsidRPr="00101270">
        <w:rPr>
          <w:b/>
          <w:bCs/>
          <w:i/>
          <w:iCs/>
          <w:color w:val="0F4761" w:themeColor="accent1" w:themeShade="BF"/>
          <w:szCs w:val="24"/>
          <w:lang w:val="en-US"/>
        </w:rPr>
        <w:t>WWOX</w:t>
      </w:r>
      <w:r w:rsidRPr="00101270">
        <w:rPr>
          <w:b/>
          <w:bCs/>
          <w:color w:val="0F4761" w:themeColor="accent1" w:themeShade="BF"/>
          <w:szCs w:val="24"/>
          <w:lang w:val="en-US"/>
        </w:rPr>
        <w:t xml:space="preserve"> to </w:t>
      </w:r>
      <w:r w:rsidRPr="00101270">
        <w:rPr>
          <w:b/>
          <w:bCs/>
          <w:i/>
          <w:iCs/>
          <w:color w:val="0F4761" w:themeColor="accent1" w:themeShade="BF"/>
          <w:szCs w:val="24"/>
          <w:lang w:val="en-US"/>
        </w:rPr>
        <w:t>MAF</w:t>
      </w:r>
      <w:r w:rsidRPr="00101270">
        <w:rPr>
          <w:b/>
          <w:bCs/>
          <w:color w:val="0F4761" w:themeColor="accent1" w:themeShade="BF"/>
          <w:szCs w:val="24"/>
          <w:lang w:val="en-US"/>
        </w:rPr>
        <w:t xml:space="preserve">. </w:t>
      </w:r>
    </w:p>
    <w:p w14:paraId="244ECFDA" w14:textId="77777777" w:rsidR="00B648B6" w:rsidRPr="00101270" w:rsidRDefault="00B648B6" w:rsidP="00B648B6">
      <w:pPr>
        <w:jc w:val="both"/>
        <w:rPr>
          <w:b/>
          <w:bCs/>
          <w:color w:val="0F4761" w:themeColor="accent1" w:themeShade="BF"/>
          <w:szCs w:val="24"/>
          <w:lang w:val="en-US"/>
        </w:rPr>
      </w:pPr>
      <w:r w:rsidRPr="00101270">
        <w:rPr>
          <w:color w:val="0F4761" w:themeColor="accent1" w:themeShade="BF"/>
          <w:szCs w:val="24"/>
          <w:lang w:val="en-US"/>
        </w:rPr>
        <w:t xml:space="preserve">(A) Genome browser view of a region encompassing </w:t>
      </w:r>
      <w:r w:rsidRPr="00101270">
        <w:rPr>
          <w:i/>
          <w:iCs/>
          <w:color w:val="0F4761" w:themeColor="accent1" w:themeShade="BF"/>
          <w:szCs w:val="24"/>
          <w:lang w:val="en-US"/>
        </w:rPr>
        <w:t>WWOX</w:t>
      </w:r>
      <w:r w:rsidRPr="00101270">
        <w:rPr>
          <w:color w:val="0F4761" w:themeColor="accent1" w:themeShade="BF"/>
          <w:szCs w:val="24"/>
          <w:lang w:val="en-US"/>
        </w:rPr>
        <w:t xml:space="preserve"> and </w:t>
      </w:r>
      <w:r w:rsidRPr="00101270">
        <w:rPr>
          <w:i/>
          <w:iCs/>
          <w:color w:val="0F4761" w:themeColor="accent1" w:themeShade="BF"/>
          <w:szCs w:val="24"/>
          <w:lang w:val="en-US"/>
        </w:rPr>
        <w:t>MAF</w:t>
      </w:r>
      <w:r w:rsidRPr="00101270">
        <w:rPr>
          <w:color w:val="0F4761" w:themeColor="accent1" w:themeShade="BF"/>
          <w:szCs w:val="24"/>
          <w:lang w:val="en-US"/>
        </w:rPr>
        <w:t xml:space="preserve">. Top tracks show case–control Tconv ATAC-seq signal (T1D in red, control in blue), with a highlighted region where chromatin accessibility is reduced in T1D. Below are DA peak calls, differential TF footprints, and ChromHMM chromatin-state annotations and enhancer/super-enhancer tracks </w:t>
      </w:r>
      <w:r w:rsidRPr="00101270">
        <w:rPr>
          <w:color w:val="0F4761" w:themeColor="accent1" w:themeShade="BF"/>
          <w:szCs w:val="24"/>
          <w:lang w:val="fi-FI"/>
        </w:rPr>
        <w:t>(Vahedi, Kanno et al. 2015)</w:t>
      </w:r>
      <w:r w:rsidRPr="00101270">
        <w:rPr>
          <w:color w:val="0F4761" w:themeColor="accent1" w:themeShade="BF"/>
          <w:szCs w:val="24"/>
          <w:lang w:val="en-US"/>
        </w:rPr>
        <w:t xml:space="preserve"> for primary stimulated human T cells, indicating that the highlighted region functions as an active T-cell enhancer. The bottom panel displays promoter-capture Hi-C arcs from activated CD4⁺ T cells (Javierre </w:t>
      </w:r>
      <w:r w:rsidRPr="00101270">
        <w:rPr>
          <w:i/>
          <w:iCs/>
          <w:color w:val="0F4761" w:themeColor="accent1" w:themeShade="BF"/>
          <w:szCs w:val="24"/>
          <w:lang w:val="en-US"/>
        </w:rPr>
        <w:t>et al.</w:t>
      </w:r>
      <w:r w:rsidRPr="00101270">
        <w:rPr>
          <w:color w:val="0F4761" w:themeColor="accent1" w:themeShade="BF"/>
          <w:szCs w:val="24"/>
          <w:lang w:val="en-US"/>
        </w:rPr>
        <w:t xml:space="preserve"> 2016), revealing long-range contacts between the T1D-altered enhancer and the </w:t>
      </w:r>
      <w:r w:rsidRPr="00101270">
        <w:rPr>
          <w:i/>
          <w:iCs/>
          <w:color w:val="0F4761" w:themeColor="accent1" w:themeShade="BF"/>
          <w:szCs w:val="24"/>
          <w:lang w:val="en-US"/>
        </w:rPr>
        <w:t>MAF</w:t>
      </w:r>
      <w:r w:rsidRPr="00101270">
        <w:rPr>
          <w:color w:val="0F4761" w:themeColor="accent1" w:themeShade="BF"/>
          <w:szCs w:val="24"/>
          <w:lang w:val="en-US"/>
        </w:rPr>
        <w:t xml:space="preserve"> promoter. (B) In our paediatric RNA-seq data, </w:t>
      </w:r>
      <w:r w:rsidRPr="00101270">
        <w:rPr>
          <w:i/>
          <w:iCs/>
          <w:color w:val="0F4761" w:themeColor="accent1" w:themeShade="BF"/>
          <w:szCs w:val="24"/>
          <w:lang w:val="en-US"/>
        </w:rPr>
        <w:t>MAF</w:t>
      </w:r>
      <w:r w:rsidRPr="00101270">
        <w:rPr>
          <w:color w:val="0F4761" w:themeColor="accent1" w:themeShade="BF"/>
          <w:szCs w:val="24"/>
          <w:lang w:val="en-US"/>
        </w:rPr>
        <w:t xml:space="preserve"> expression is reduced in T1D, showing how 3D genome connectivity can reassign T1D-altered enhancers to their long-range targets.</w:t>
      </w:r>
    </w:p>
    <w:p w14:paraId="7E88AD8A" w14:textId="77777777" w:rsidR="00B648B6" w:rsidRPr="00101270" w:rsidRDefault="00B648B6" w:rsidP="00B648B6">
      <w:pPr>
        <w:spacing w:after="0"/>
        <w:jc w:val="both"/>
        <w:rPr>
          <w:b/>
          <w:bCs/>
          <w:color w:val="0F4761" w:themeColor="accent1" w:themeShade="BF"/>
        </w:rPr>
      </w:pPr>
      <w:r w:rsidRPr="00101270">
        <w:rPr>
          <w:b/>
          <w:bCs/>
          <w:color w:val="0F4761" w:themeColor="accent1" w:themeShade="BF"/>
          <w:szCs w:val="24"/>
        </w:rPr>
        <w:t>Supplementary Figure 3</w:t>
      </w:r>
      <w:r w:rsidRPr="00101270">
        <w:rPr>
          <w:b/>
          <w:bCs/>
          <w:color w:val="0F4761" w:themeColor="accent1" w:themeShade="BF"/>
        </w:rPr>
        <w:t xml:space="preserve"> | TNF and BNIPL expression in CD4⁺ T-cell subsets from bulk and single-cell RNA-seq.</w:t>
      </w:r>
    </w:p>
    <w:p w14:paraId="5C76950C" w14:textId="77777777" w:rsidR="00B648B6" w:rsidRPr="00101270" w:rsidRDefault="00B648B6" w:rsidP="00B648B6">
      <w:pPr>
        <w:jc w:val="both"/>
        <w:rPr>
          <w:color w:val="0F4761" w:themeColor="accent1" w:themeShade="BF"/>
        </w:rPr>
      </w:pPr>
      <w:r w:rsidRPr="00101270">
        <w:rPr>
          <w:color w:val="0F4761" w:themeColor="accent1" w:themeShade="BF"/>
        </w:rPr>
        <w:t>TNF and BNIPL log-normalize expression in CD4+ T cell subsets from bulk and scRNA-seq. Bulk RNA-seq analysis of (A) TNF and (C) BNIPL expression in Tconv cells of children reveals a significant downregulation. Each dot represents an individual donor sample. scRNA-seq data supports these findings, showing significant (B) TNF downregulation in memory CD4 T cells, naive CD4 T cells and proliferative T cells, and (D) BNIPL downregulation in memory CD4 T cells and naive CD4 T cells. Statistical significance is denoted as FDR &lt; 0.05 (*), FDR &lt; 0.001 (**) and ns/unannotated for FDR &gt; 0.05.</w:t>
      </w:r>
    </w:p>
    <w:p w14:paraId="4C40C866" w14:textId="77777777" w:rsidR="00B648B6" w:rsidRDefault="00B648B6" w:rsidP="00B648B6">
      <w:pPr>
        <w:spacing w:after="0"/>
        <w:jc w:val="both"/>
        <w:rPr>
          <w:color w:val="0F4761" w:themeColor="accent1" w:themeShade="BF"/>
        </w:rPr>
      </w:pPr>
      <w:r w:rsidRPr="00101270">
        <w:rPr>
          <w:b/>
          <w:bCs/>
          <w:color w:val="0F4761" w:themeColor="accent1" w:themeShade="BF"/>
          <w:lang w:val="en-US"/>
        </w:rPr>
        <w:t xml:space="preserve">Supplementary Fig. 4 | </w:t>
      </w:r>
      <w:r w:rsidRPr="00101270">
        <w:rPr>
          <w:b/>
          <w:bCs/>
          <w:color w:val="0F4761" w:themeColor="accent1" w:themeShade="BF"/>
        </w:rPr>
        <w:t xml:space="preserve">Pseudotime distribution of CD4⁺ T-cell subsets in T1D and healthy controls. </w:t>
      </w:r>
      <w:r w:rsidRPr="00101270">
        <w:rPr>
          <w:color w:val="0F4761" w:themeColor="accent1" w:themeShade="BF"/>
        </w:rPr>
        <w:t xml:space="preserve">Monocle3 pseudotime analysis was performed on integrated single-cell RNA-seq data. Boxplots show pseudotime distributions for naïve CD4⁺, Treg, proliferating T cells, memory CD4⁺ and transitional CD4⁺ subsets in T1D (red) and healthy controls (teal). Significant shifts in pseudotime were observed in naïve CD4⁺, Treg and proliferating T-cell compartments (****, adjusted </w:t>
      </w:r>
      <w:r w:rsidRPr="00101270">
        <w:rPr>
          <w:i/>
          <w:iCs/>
          <w:color w:val="0F4761" w:themeColor="accent1" w:themeShade="BF"/>
        </w:rPr>
        <w:t>P</w:t>
      </w:r>
      <w:r w:rsidRPr="00101270">
        <w:rPr>
          <w:color w:val="0F4761" w:themeColor="accent1" w:themeShade="BF"/>
        </w:rPr>
        <w:t xml:space="preserve"> &lt; 0.0001), whereas memory and transitional CD4⁺ populations did not differ significantly (ns).</w:t>
      </w:r>
    </w:p>
    <w:p w14:paraId="0F24664A" w14:textId="77777777" w:rsidR="00B648B6" w:rsidRDefault="00B648B6" w:rsidP="00B648B6"/>
    <w:p w14:paraId="0274D691" w14:textId="77777777" w:rsidR="00B648B6" w:rsidRDefault="00B648B6" w:rsidP="00B648B6"/>
    <w:p w14:paraId="57582D33" w14:textId="77777777" w:rsidR="00B648B6" w:rsidRDefault="00B648B6" w:rsidP="00B648B6">
      <w:r>
        <w:rPr>
          <w:noProof/>
        </w:rPr>
        <w:lastRenderedPageBreak/>
        <w:drawing>
          <wp:inline distT="0" distB="0" distL="0" distR="0" wp14:anchorId="44B68EE1" wp14:editId="2A9423D5">
            <wp:extent cx="3793022" cy="2381035"/>
            <wp:effectExtent l="0" t="0" r="0" b="635"/>
            <wp:docPr id="76358189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485" cy="238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CAE407" w14:textId="77777777" w:rsidR="00B648B6" w:rsidRDefault="00B648B6" w:rsidP="00B648B6">
      <w:r>
        <w:rPr>
          <w:noProof/>
        </w:rPr>
        <w:drawing>
          <wp:inline distT="0" distB="0" distL="0" distR="0" wp14:anchorId="102F70E8" wp14:editId="070B358C">
            <wp:extent cx="3801687" cy="2675909"/>
            <wp:effectExtent l="0" t="0" r="8890" b="0"/>
            <wp:docPr id="52546937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035" cy="26853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9AE3F8" w14:textId="77777777" w:rsidR="00B648B6" w:rsidRDefault="00B648B6" w:rsidP="00B648B6">
      <w:r>
        <w:rPr>
          <w:noProof/>
        </w:rPr>
        <w:lastRenderedPageBreak/>
        <w:drawing>
          <wp:inline distT="0" distB="0" distL="0" distR="0" wp14:anchorId="5411F75A" wp14:editId="504B1A13">
            <wp:extent cx="3775710" cy="3775710"/>
            <wp:effectExtent l="0" t="0" r="0" b="0"/>
            <wp:docPr id="46233594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771" cy="37857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286BA5" w14:textId="77777777" w:rsidR="00B648B6" w:rsidRDefault="00B648B6" w:rsidP="00B648B6">
      <w:r>
        <w:rPr>
          <w:noProof/>
        </w:rPr>
        <w:drawing>
          <wp:inline distT="0" distB="0" distL="0" distR="0" wp14:anchorId="6C3437B2" wp14:editId="2A499DFA">
            <wp:extent cx="3167784" cy="2761848"/>
            <wp:effectExtent l="0" t="0" r="0" b="635"/>
            <wp:docPr id="41345226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138" cy="2763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4BF2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8B6"/>
    <w:rsid w:val="002C7D54"/>
    <w:rsid w:val="0033371E"/>
    <w:rsid w:val="005C0D39"/>
    <w:rsid w:val="0070406C"/>
    <w:rsid w:val="00724754"/>
    <w:rsid w:val="00B648B6"/>
    <w:rsid w:val="00C321FA"/>
    <w:rsid w:val="00C97210"/>
    <w:rsid w:val="00EB4A2D"/>
    <w:rsid w:val="00EE513F"/>
    <w:rsid w:val="00FC5004"/>
    <w:rsid w:val="00FC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52FDA"/>
  <w15:chartTrackingRefBased/>
  <w15:docId w15:val="{78B4A419-9FCD-4DF9-A6F6-E39D1C4E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8B6"/>
    <w:pPr>
      <w:spacing w:line="259" w:lineRule="auto"/>
    </w:pPr>
    <w:rPr>
      <w:rFonts w:ascii="Times New Roman" w:eastAsiaTheme="minorEastAsia" w:hAnsi="Times New Roman" w:cs="Times New Roman"/>
      <w:kern w:val="0"/>
      <w:szCs w:val="22"/>
      <w:lang w:val="en-AU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48B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48B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48B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48B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48B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48B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48B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48B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48B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8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48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48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48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48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48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48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48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48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48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48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48B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48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48B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48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48B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48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48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48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48B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B648B6"/>
    <w:pPr>
      <w:spacing w:after="200" w:line="240" w:lineRule="auto"/>
    </w:pPr>
    <w:rPr>
      <w:iCs/>
      <w:color w:val="000000" w:themeColor="text1"/>
      <w:sz w:val="22"/>
      <w:szCs w:val="18"/>
    </w:rPr>
  </w:style>
  <w:style w:type="character" w:customStyle="1" w:styleId="CaptionChar">
    <w:name w:val="Caption Char"/>
    <w:basedOn w:val="DefaultParagraphFont"/>
    <w:link w:val="Caption"/>
    <w:uiPriority w:val="35"/>
    <w:rsid w:val="00B648B6"/>
    <w:rPr>
      <w:rFonts w:ascii="Times New Roman" w:eastAsiaTheme="minorEastAsia" w:hAnsi="Times New Roman" w:cs="Times New Roman"/>
      <w:iCs/>
      <w:color w:val="000000" w:themeColor="text1"/>
      <w:kern w:val="0"/>
      <w:sz w:val="22"/>
      <w:szCs w:val="18"/>
      <w:lang w:val="en-AU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463</Words>
  <Characters>2631</Characters>
  <Application>Microsoft Office Word</Application>
  <DocSecurity>0</DocSecurity>
  <Lines>46</Lines>
  <Paragraphs>8</Paragraphs>
  <ScaleCrop>false</ScaleCrop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2026-04-06T11:42:00Z</dcterms:created>
  <dcterms:modified xsi:type="dcterms:W3CDTF">2026-04-06T11:42:00Z</dcterms:modified>
</cp:coreProperties>
</file>