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BBD80" w14:textId="4EE74D00" w:rsidR="00526DBF" w:rsidRPr="00526DBF" w:rsidRDefault="00526DBF" w:rsidP="00526DBF">
      <w:pPr>
        <w:rPr>
          <w:rFonts w:ascii="Calibri" w:hAnsi="Calibri" w:cs="Calibri"/>
          <w:b/>
          <w:bCs/>
          <w:color w:val="000000" w:themeColor="text1"/>
        </w:rPr>
      </w:pPr>
      <w:r w:rsidRPr="00526DBF">
        <w:rPr>
          <w:rFonts w:ascii="Calibri" w:hAnsi="Calibri" w:cs="Calibri"/>
          <w:b/>
          <w:bCs/>
          <w:color w:val="000000" w:themeColor="text1"/>
        </w:rPr>
        <w:t xml:space="preserve">Table </w:t>
      </w:r>
      <w:r w:rsidR="0003217D">
        <w:rPr>
          <w:rFonts w:ascii="Calibri" w:hAnsi="Calibri" w:cs="Calibri"/>
          <w:b/>
          <w:bCs/>
          <w:color w:val="000000" w:themeColor="text1"/>
        </w:rPr>
        <w:t>S</w:t>
      </w:r>
      <w:r w:rsidRPr="00526DBF">
        <w:rPr>
          <w:rFonts w:ascii="Calibri" w:hAnsi="Calibri" w:cs="Calibri"/>
          <w:b/>
          <w:bCs/>
          <w:color w:val="000000" w:themeColor="text1"/>
        </w:rPr>
        <w:t>1. Clinical characteristics of subtype 1 and subtype 2 in non-converted RBD patients.</w:t>
      </w:r>
    </w:p>
    <w:p w14:paraId="75F1C352" w14:textId="556D8ACF" w:rsidR="00526DBF" w:rsidRPr="00526DBF" w:rsidRDefault="00526DBF" w:rsidP="00526DBF">
      <w:pPr>
        <w:rPr>
          <w:rFonts w:ascii="Calibri" w:hAnsi="Calibri" w:cs="Calibri"/>
          <w:color w:val="000000" w:themeColor="text1"/>
        </w:rPr>
      </w:pPr>
      <w:r w:rsidRPr="00526DBF">
        <w:rPr>
          <w:rFonts w:ascii="Calibri" w:hAnsi="Calibri" w:cs="Calibri"/>
          <w:color w:val="000000" w:themeColor="text1"/>
        </w:rPr>
        <w:t>Group differences were assessed using two-sample t-tests, with positive t-values indicating higher values in subtype 2 compared with subtype 1. Among the examined variables, age at RBD onset showed a trend toward a difference between subtypes, whereas no other clinical characteristics differed significantly between the two subtypes.</w:t>
      </w:r>
    </w:p>
    <w:tbl>
      <w:tblPr>
        <w:tblW w:w="9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60"/>
        <w:gridCol w:w="1710"/>
        <w:gridCol w:w="1710"/>
        <w:gridCol w:w="1710"/>
        <w:gridCol w:w="1710"/>
      </w:tblGrid>
      <w:tr w:rsidR="00D60982" w:rsidRPr="006A4E17" w14:paraId="2242F1E3" w14:textId="77777777" w:rsidTr="004F4A9A">
        <w:trPr>
          <w:trHeight w:val="478"/>
        </w:trPr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E6A81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8B438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Subtype 1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6D4FD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Subtype 2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59F24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i/>
                <w:iCs/>
                <w:color w:val="000000" w:themeColor="text1"/>
              </w:rPr>
              <w:t>T-value (2&gt;1)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6E884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i/>
                <w:iCs/>
                <w:color w:val="000000" w:themeColor="text1"/>
              </w:rPr>
              <w:t>P-value</w:t>
            </w:r>
          </w:p>
        </w:tc>
      </w:tr>
      <w:tr w:rsidR="00D60982" w:rsidRPr="006A4E17" w14:paraId="0CD52E08" w14:textId="77777777" w:rsidTr="004F4A9A">
        <w:trPr>
          <w:trHeight w:val="478"/>
        </w:trPr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65473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Age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2A875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68.00 ± 6.51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53A89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69.47 ± 6.19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39626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-1.27509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1DBA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0.261</w:t>
            </w:r>
          </w:p>
        </w:tc>
      </w:tr>
      <w:tr w:rsidR="00D60982" w:rsidRPr="006A4E17" w14:paraId="54969475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285D6" w14:textId="671D29A6" w:rsidR="00ED5724" w:rsidRPr="006A4E17" w:rsidRDefault="004F4A9A" w:rsidP="00ED5724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MDS-UPDRS-III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559C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1.02 ± 2.10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2069A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1.00 ± 1.99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44658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0.103107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B764F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0.961</w:t>
            </w:r>
          </w:p>
        </w:tc>
      </w:tr>
      <w:tr w:rsidR="00D60982" w:rsidRPr="006A4E17" w14:paraId="31B6C9D1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A2B97" w14:textId="17F537D4" w:rsidR="00ED5724" w:rsidRPr="006A4E17" w:rsidRDefault="004F4A9A" w:rsidP="00ED5724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KVSS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70696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1.56 ± 3.35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49451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1.68 ± 3.94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AA996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-0.13987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8C83F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0.889</w:t>
            </w:r>
          </w:p>
        </w:tc>
      </w:tr>
      <w:tr w:rsidR="00D60982" w:rsidRPr="006A4E17" w14:paraId="37623344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21DB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MMSE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4A61C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28.30 ± 1.61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576B4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28.09 ± 1.31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7E53A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0.888213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1DC6D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0.522</w:t>
            </w:r>
          </w:p>
        </w:tc>
      </w:tr>
      <w:tr w:rsidR="00D60982" w:rsidRPr="006A4E17" w14:paraId="780FAA34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804F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MoCA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830E9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26.65 ± 2.64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94F28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25.70 ± 2.48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E9CAE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1.738063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D8F4F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0.087</w:t>
            </w:r>
          </w:p>
        </w:tc>
      </w:tr>
      <w:tr w:rsidR="00D60982" w:rsidRPr="006A4E17" w14:paraId="59C3C5D6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18B4C" w14:textId="635BDDD4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RBDQ</w:t>
            </w:r>
            <w:r w:rsidR="004F4A9A">
              <w:rPr>
                <w:rFonts w:ascii="Calibri" w:hAnsi="Calibri" w:cs="Calibri"/>
                <w:color w:val="000000" w:themeColor="text1"/>
              </w:rPr>
              <w:t>-KR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9A692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43.86 ± 19.24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7FF36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38.86 ± 18.72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6A218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1.15127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546A3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0.211</w:t>
            </w:r>
          </w:p>
        </w:tc>
      </w:tr>
      <w:tr w:rsidR="00D60982" w:rsidRPr="006A4E17" w14:paraId="5D793936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98ECA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ESS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7B260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4.61 ± 3.32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2E24B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6.14 ± 4.65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033C8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-1.88979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F6603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0.078</w:t>
            </w:r>
          </w:p>
        </w:tc>
      </w:tr>
      <w:tr w:rsidR="00D60982" w:rsidRPr="006A4E17" w14:paraId="71BA83FB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4A855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GDS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A84F1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8.48 ± 6.64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AF701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9.05 ± 5.51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2B8F4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-0.5595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E4F70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0.654</w:t>
            </w:r>
          </w:p>
        </w:tc>
      </w:tr>
      <w:tr w:rsidR="00D60982" w:rsidRPr="006A4E17" w14:paraId="14EE8C79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61D9C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PSQI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AB307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7.45 ± 4.39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2E6B6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7.72 ± 4.47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9C5C9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-0.35308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5788D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0.770</w:t>
            </w:r>
          </w:p>
        </w:tc>
      </w:tr>
      <w:tr w:rsidR="00D60982" w:rsidRPr="006A4E17" w14:paraId="66CD3716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FA9DE" w14:textId="0218987C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SCOPA</w:t>
            </w:r>
            <w:r w:rsidR="004F4A9A">
              <w:rPr>
                <w:rFonts w:ascii="Calibri" w:hAnsi="Calibri" w:cs="Calibri"/>
                <w:color w:val="000000" w:themeColor="text1"/>
              </w:rPr>
              <w:t>-AUT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46E10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13.36 ± 8.65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0911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14.49 ± 7.40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BC64A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-0.62184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2DB21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0.500</w:t>
            </w:r>
          </w:p>
        </w:tc>
      </w:tr>
      <w:tr w:rsidR="00D60982" w:rsidRPr="006A4E17" w14:paraId="5A271D59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72660" w14:textId="00BFB070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RBD duration</w:t>
            </w:r>
            <w:r w:rsidR="004F4A9A">
              <w:rPr>
                <w:rFonts w:ascii="Calibri" w:hAnsi="Calibri" w:cs="Calibri"/>
                <w:color w:val="000000" w:themeColor="text1"/>
              </w:rPr>
              <w:t>, yr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8137C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6.92 ± 8.25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03105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5.51 ± 4.19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576C3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1.06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A10E7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0.291</w:t>
            </w:r>
          </w:p>
        </w:tc>
      </w:tr>
      <w:tr w:rsidR="006A4E17" w:rsidRPr="006A4E17" w14:paraId="16C2190D" w14:textId="77777777" w:rsidTr="004F4A9A">
        <w:trPr>
          <w:trHeight w:val="478"/>
        </w:trPr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DB85A" w14:textId="65694340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Age at RBD onset</w:t>
            </w:r>
            <w:r w:rsidR="004F4A9A">
              <w:rPr>
                <w:rFonts w:ascii="Calibri" w:hAnsi="Calibri" w:cs="Calibri"/>
                <w:color w:val="000000" w:themeColor="text1"/>
              </w:rPr>
              <w:t>, yr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61715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61.14 ± 8.04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057EC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63.96 ± 6.33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9C3AA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-1.91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41CD0" w14:textId="77777777" w:rsidR="00ED5724" w:rsidRPr="006A4E17" w:rsidRDefault="00ED5724" w:rsidP="00ED5724">
            <w:pPr>
              <w:rPr>
                <w:rFonts w:ascii="Calibri" w:hAnsi="Calibri" w:cs="Calibri"/>
                <w:color w:val="000000" w:themeColor="text1"/>
              </w:rPr>
            </w:pPr>
            <w:r w:rsidRPr="006A4E17">
              <w:rPr>
                <w:rFonts w:ascii="Calibri" w:hAnsi="Calibri" w:cs="Calibri"/>
                <w:color w:val="000000" w:themeColor="text1"/>
              </w:rPr>
              <w:t>0.060</w:t>
            </w:r>
          </w:p>
        </w:tc>
      </w:tr>
    </w:tbl>
    <w:p w14:paraId="4F1C146C" w14:textId="70762DE8" w:rsidR="00ED5724" w:rsidRPr="006A4E17" w:rsidRDefault="00ED5724">
      <w:pPr>
        <w:rPr>
          <w:rFonts w:ascii="Calibri" w:hAnsi="Calibri" w:cs="Calibri"/>
          <w:color w:val="000000" w:themeColor="text1"/>
        </w:rPr>
      </w:pPr>
    </w:p>
    <w:p w14:paraId="00CC08BC" w14:textId="77777777" w:rsidR="00ED5724" w:rsidRPr="006A4E17" w:rsidRDefault="00ED5724">
      <w:pPr>
        <w:rPr>
          <w:rFonts w:ascii="Calibri" w:hAnsi="Calibri" w:cs="Calibri"/>
          <w:color w:val="000000" w:themeColor="text1"/>
        </w:rPr>
      </w:pPr>
      <w:r w:rsidRPr="006A4E17">
        <w:rPr>
          <w:rFonts w:ascii="Calibri" w:hAnsi="Calibri" w:cs="Calibri"/>
          <w:color w:val="000000" w:themeColor="text1"/>
        </w:rPr>
        <w:br w:type="page"/>
      </w:r>
    </w:p>
    <w:p w14:paraId="0CBC7A9A" w14:textId="2B2C62C2" w:rsidR="003173CC" w:rsidRPr="006A4E17" w:rsidRDefault="00085D63">
      <w:pPr>
        <w:rPr>
          <w:rFonts w:ascii="Calibri" w:hAnsi="Calibri" w:cs="Calibri"/>
          <w:color w:val="000000" w:themeColor="text1"/>
        </w:rPr>
      </w:pPr>
      <w:r w:rsidRPr="00085D63">
        <w:rPr>
          <w:rFonts w:ascii="Calibri" w:hAnsi="Calibri" w:cs="Calibri"/>
          <w:color w:val="000000" w:themeColor="text1"/>
        </w:rPr>
        <w:lastRenderedPageBreak/>
        <w:drawing>
          <wp:inline distT="0" distB="0" distL="0" distR="0" wp14:anchorId="60D5815E" wp14:editId="7758C518">
            <wp:extent cx="5943600" cy="2053590"/>
            <wp:effectExtent l="0" t="0" r="0" b="0"/>
            <wp:docPr id="20591873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8738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6B41" w14:textId="269B9510" w:rsidR="00D60982" w:rsidRPr="006A4E17" w:rsidRDefault="00F21270">
      <w:pPr>
        <w:rPr>
          <w:rFonts w:ascii="Calibri" w:hAnsi="Calibri" w:cs="Calibri"/>
          <w:color w:val="000000" w:themeColor="text1"/>
        </w:rPr>
      </w:pPr>
      <w:r w:rsidRPr="006A4E17">
        <w:rPr>
          <w:rFonts w:ascii="Calibri" w:hAnsi="Calibri" w:cs="Calibri"/>
          <w:b/>
          <w:bCs/>
          <w:color w:val="000000" w:themeColor="text1"/>
        </w:rPr>
        <w:t xml:space="preserve">Figure S1. </w:t>
      </w:r>
      <w:proofErr w:type="spellStart"/>
      <w:r w:rsidRPr="006A4E17">
        <w:rPr>
          <w:rFonts w:ascii="Calibri" w:hAnsi="Calibri" w:cs="Calibri"/>
          <w:b/>
          <w:bCs/>
          <w:color w:val="000000" w:themeColor="text1"/>
        </w:rPr>
        <w:t>SuStaIn</w:t>
      </w:r>
      <w:proofErr w:type="spellEnd"/>
      <w:r w:rsidRPr="006A4E17">
        <w:rPr>
          <w:rFonts w:ascii="Calibri" w:hAnsi="Calibri" w:cs="Calibri"/>
          <w:b/>
          <w:bCs/>
          <w:color w:val="000000" w:themeColor="text1"/>
        </w:rPr>
        <w:t xml:space="preserve"> model selection criteria.</w:t>
      </w:r>
      <w:r w:rsidRPr="006A4E17">
        <w:rPr>
          <w:rFonts w:ascii="Calibri" w:hAnsi="Calibri" w:cs="Calibri"/>
          <w:color w:val="000000" w:themeColor="text1"/>
        </w:rPr>
        <w:br/>
      </w:r>
      <w:r w:rsidR="00D60982" w:rsidRPr="006A4E17">
        <w:rPr>
          <w:rFonts w:ascii="Calibri" w:hAnsi="Calibri" w:cs="Calibri"/>
          <w:b/>
          <w:bCs/>
          <w:color w:val="000000" w:themeColor="text1"/>
        </w:rPr>
        <w:t>a</w:t>
      </w:r>
      <w:r w:rsidRPr="006A4E17">
        <w:rPr>
          <w:rFonts w:ascii="Calibri" w:hAnsi="Calibri" w:cs="Calibri"/>
          <w:b/>
          <w:bCs/>
          <w:color w:val="000000" w:themeColor="text1"/>
        </w:rPr>
        <w:t>.</w:t>
      </w:r>
      <w:r w:rsidRPr="006A4E17">
        <w:rPr>
          <w:rFonts w:ascii="Calibri" w:hAnsi="Calibri" w:cs="Calibri"/>
          <w:color w:val="000000" w:themeColor="text1"/>
        </w:rPr>
        <w:t xml:space="preserve"> The Cross-Validation Information Criterion (CVIC) showed a sharp decrease from one to two subtypes, indicating a substantial improvement in model fit when introducing a second subtype. In contrast, increasing the number of subtypes beyond two resulted in only minor fluctuations in CVIC, with a slight increase at three subtypes and nearly flat values thereafter, suggesting minimal additional benefit from more complex models.</w:t>
      </w:r>
      <w:r w:rsidRPr="006A4E17">
        <w:rPr>
          <w:rFonts w:ascii="Calibri" w:hAnsi="Calibri" w:cs="Calibri"/>
          <w:color w:val="000000" w:themeColor="text1"/>
        </w:rPr>
        <w:br/>
      </w:r>
      <w:r w:rsidR="00D60982" w:rsidRPr="006A4E17">
        <w:rPr>
          <w:rFonts w:ascii="Calibri" w:hAnsi="Calibri" w:cs="Calibri"/>
          <w:b/>
          <w:bCs/>
          <w:color w:val="000000" w:themeColor="text1"/>
        </w:rPr>
        <w:t>b</w:t>
      </w:r>
      <w:r w:rsidRPr="006A4E17">
        <w:rPr>
          <w:rFonts w:ascii="Calibri" w:hAnsi="Calibri" w:cs="Calibri"/>
          <w:b/>
          <w:bCs/>
          <w:color w:val="000000" w:themeColor="text1"/>
        </w:rPr>
        <w:t>.</w:t>
      </w:r>
      <w:r w:rsidRPr="006A4E17">
        <w:rPr>
          <w:rFonts w:ascii="Calibri" w:hAnsi="Calibri" w:cs="Calibri"/>
          <w:color w:val="000000" w:themeColor="text1"/>
        </w:rPr>
        <w:t xml:space="preserve"> Consistent with the CVIC results, test set log-likelihood increased markedly from one to two subtypes but exhibited only marginal changes from two to five subtypes, indicating that additional subtypes provided little improvement in model fit.</w:t>
      </w:r>
    </w:p>
    <w:p w14:paraId="39B24035" w14:textId="77777777" w:rsidR="00D60982" w:rsidRPr="006A4E17" w:rsidRDefault="00D60982">
      <w:pPr>
        <w:rPr>
          <w:rFonts w:ascii="Calibri" w:hAnsi="Calibri" w:cs="Calibri"/>
          <w:color w:val="000000" w:themeColor="text1"/>
        </w:rPr>
      </w:pPr>
      <w:r w:rsidRPr="006A4E17">
        <w:rPr>
          <w:rFonts w:ascii="Calibri" w:hAnsi="Calibri" w:cs="Calibri"/>
          <w:color w:val="000000" w:themeColor="text1"/>
        </w:rPr>
        <w:br w:type="page"/>
      </w:r>
    </w:p>
    <w:p w14:paraId="4E3D7418" w14:textId="6C3B3E2D" w:rsidR="00F21270" w:rsidRPr="006A4E17" w:rsidRDefault="00965440">
      <w:pPr>
        <w:rPr>
          <w:rFonts w:ascii="Calibri" w:hAnsi="Calibri" w:cs="Calibri"/>
          <w:color w:val="000000" w:themeColor="text1"/>
        </w:rPr>
      </w:pPr>
      <w:r w:rsidRPr="00965440">
        <w:rPr>
          <w:rFonts w:ascii="Calibri" w:hAnsi="Calibri" w:cs="Calibri"/>
          <w:color w:val="000000" w:themeColor="text1"/>
        </w:rPr>
        <w:lastRenderedPageBreak/>
        <w:drawing>
          <wp:inline distT="0" distB="0" distL="0" distR="0" wp14:anchorId="37CD4886" wp14:editId="1D84635C">
            <wp:extent cx="5347504" cy="6315311"/>
            <wp:effectExtent l="0" t="0" r="0" b="0"/>
            <wp:docPr id="14470211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2113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348" cy="633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0C07" w14:textId="281C09B4" w:rsidR="006A4E17" w:rsidRPr="006A4E17" w:rsidRDefault="006A4E17">
      <w:pPr>
        <w:rPr>
          <w:rFonts w:ascii="Calibri" w:hAnsi="Calibri" w:cs="Calibri"/>
          <w:color w:val="000000" w:themeColor="text1"/>
        </w:rPr>
      </w:pPr>
      <w:r w:rsidRPr="006A4E17">
        <w:rPr>
          <w:rFonts w:ascii="Calibri" w:hAnsi="Calibri" w:cs="Calibri"/>
          <w:b/>
          <w:bCs/>
          <w:color w:val="000000" w:themeColor="text1"/>
        </w:rPr>
        <w:t xml:space="preserve">Figure S2. Associations between </w:t>
      </w:r>
      <w:proofErr w:type="spellStart"/>
      <w:r w:rsidRPr="006A4E17">
        <w:rPr>
          <w:rFonts w:ascii="Calibri" w:hAnsi="Calibri" w:cs="Calibri"/>
          <w:b/>
          <w:bCs/>
          <w:color w:val="000000" w:themeColor="text1"/>
        </w:rPr>
        <w:t>SuStaIn</w:t>
      </w:r>
      <w:proofErr w:type="spellEnd"/>
      <w:r w:rsidRPr="006A4E17">
        <w:rPr>
          <w:rFonts w:ascii="Calibri" w:hAnsi="Calibri" w:cs="Calibri"/>
          <w:b/>
          <w:bCs/>
          <w:color w:val="000000" w:themeColor="text1"/>
        </w:rPr>
        <w:t xml:space="preserve"> stage and neurophysiological scores and clinical characteristics in subtype 2.</w:t>
      </w:r>
      <w:r w:rsidRPr="006A4E17">
        <w:rPr>
          <w:rFonts w:ascii="Calibri" w:hAnsi="Calibri" w:cs="Calibri"/>
          <w:color w:val="000000" w:themeColor="text1"/>
        </w:rPr>
        <w:br/>
        <w:t xml:space="preserve">Scatter plots illustrate the relationships between </w:t>
      </w:r>
      <w:proofErr w:type="spellStart"/>
      <w:r w:rsidRPr="006A4E17">
        <w:rPr>
          <w:rFonts w:ascii="Calibri" w:hAnsi="Calibri" w:cs="Calibri"/>
          <w:color w:val="000000" w:themeColor="text1"/>
        </w:rPr>
        <w:t>SuStaIn</w:t>
      </w:r>
      <w:proofErr w:type="spellEnd"/>
      <w:r w:rsidRPr="006A4E17">
        <w:rPr>
          <w:rFonts w:ascii="Calibri" w:hAnsi="Calibri" w:cs="Calibri"/>
          <w:color w:val="000000" w:themeColor="text1"/>
        </w:rPr>
        <w:t xml:space="preserve"> stage and multiple neurophysiological scores and clinical characteristics within subtype 2. Each point represents an individual subject, color-coded by diagnostic group (NC, CV-PD, CV-MSA, and CV-DLB). Solid lines indicate linear regression fits with shaded areas representing 95% confidence intervals, and regression p-values are shown in each panel. With the exception of MoCA, </w:t>
      </w:r>
      <w:proofErr w:type="spellStart"/>
      <w:proofErr w:type="gramStart"/>
      <w:r w:rsidRPr="006A4E17">
        <w:rPr>
          <w:rFonts w:ascii="Calibri" w:hAnsi="Calibri" w:cs="Calibri"/>
          <w:color w:val="000000" w:themeColor="text1"/>
        </w:rPr>
        <w:t>SuStaIn</w:t>
      </w:r>
      <w:proofErr w:type="spellEnd"/>
      <w:proofErr w:type="gramEnd"/>
      <w:r w:rsidRPr="006A4E17">
        <w:rPr>
          <w:rFonts w:ascii="Calibri" w:hAnsi="Calibri" w:cs="Calibri"/>
          <w:color w:val="000000" w:themeColor="text1"/>
        </w:rPr>
        <w:t xml:space="preserve"> stage did not show significant associations with any neurophysiological scores or clinical characteristics</w:t>
      </w:r>
    </w:p>
    <w:sectPr w:rsidR="006A4E17" w:rsidRPr="006A4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63142" w14:textId="77777777" w:rsidR="007D1E0E" w:rsidRDefault="007D1E0E" w:rsidP="005E0E6B">
      <w:pPr>
        <w:spacing w:after="0" w:line="240" w:lineRule="auto"/>
      </w:pPr>
      <w:r>
        <w:separator/>
      </w:r>
    </w:p>
  </w:endnote>
  <w:endnote w:type="continuationSeparator" w:id="0">
    <w:p w14:paraId="0DB8A918" w14:textId="77777777" w:rsidR="007D1E0E" w:rsidRDefault="007D1E0E" w:rsidP="005E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8A26D" w14:textId="77777777" w:rsidR="007D1E0E" w:rsidRDefault="007D1E0E" w:rsidP="005E0E6B">
      <w:pPr>
        <w:spacing w:after="0" w:line="240" w:lineRule="auto"/>
      </w:pPr>
      <w:r>
        <w:separator/>
      </w:r>
    </w:p>
  </w:footnote>
  <w:footnote w:type="continuationSeparator" w:id="0">
    <w:p w14:paraId="643BC570" w14:textId="77777777" w:rsidR="007D1E0E" w:rsidRDefault="007D1E0E" w:rsidP="005E0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24"/>
    <w:rsid w:val="0003217D"/>
    <w:rsid w:val="00085D63"/>
    <w:rsid w:val="00142167"/>
    <w:rsid w:val="001A1F1C"/>
    <w:rsid w:val="002261CF"/>
    <w:rsid w:val="0023779C"/>
    <w:rsid w:val="00254F87"/>
    <w:rsid w:val="002F36BB"/>
    <w:rsid w:val="003173CC"/>
    <w:rsid w:val="00424642"/>
    <w:rsid w:val="004E094A"/>
    <w:rsid w:val="004F4A9A"/>
    <w:rsid w:val="00526DBF"/>
    <w:rsid w:val="005E0E6B"/>
    <w:rsid w:val="006A4E17"/>
    <w:rsid w:val="006B26FB"/>
    <w:rsid w:val="006B7B91"/>
    <w:rsid w:val="0077649F"/>
    <w:rsid w:val="007D1E0E"/>
    <w:rsid w:val="00965440"/>
    <w:rsid w:val="009C66E9"/>
    <w:rsid w:val="00A1627E"/>
    <w:rsid w:val="00B05125"/>
    <w:rsid w:val="00BD5044"/>
    <w:rsid w:val="00D314C7"/>
    <w:rsid w:val="00D60982"/>
    <w:rsid w:val="00E60B48"/>
    <w:rsid w:val="00E86B32"/>
    <w:rsid w:val="00ED5724"/>
    <w:rsid w:val="00EE33FC"/>
    <w:rsid w:val="00F21270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46289"/>
  <w15:chartTrackingRefBased/>
  <w15:docId w15:val="{C601E337-EF64-BC4B-AD0C-DFC8461A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7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7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7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7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7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7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7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7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7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7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7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7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7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7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7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7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7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7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7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7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7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7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7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7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7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7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7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7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0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E6B"/>
  </w:style>
  <w:style w:type="paragraph" w:styleId="Footer">
    <w:name w:val="footer"/>
    <w:basedOn w:val="Normal"/>
    <w:link w:val="FooterChar"/>
    <w:uiPriority w:val="99"/>
    <w:unhideWhenUsed/>
    <w:rsid w:val="005E0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Soonhyun Yook</dc:creator>
  <cp:keywords/>
  <dc:description/>
  <cp:lastModifiedBy>Soonhyun Yook</cp:lastModifiedBy>
  <cp:revision>4</cp:revision>
  <dcterms:created xsi:type="dcterms:W3CDTF">2026-02-27T05:43:00Z</dcterms:created>
  <dcterms:modified xsi:type="dcterms:W3CDTF">2026-02-27T17:59:00Z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4dd72a8d-f27a-4c84-99cc-55cb1f7eb6ad</vt:lpwstr>
  </property>
</Properties>
</file>