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C208A" w14:textId="5F6303B1" w:rsidR="00B609B5" w:rsidRDefault="005A27BB" w:rsidP="005A27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Supplemental methods and materials</w:t>
      </w:r>
    </w:p>
    <w:p w14:paraId="07DF66CE" w14:textId="77777777" w:rsidR="007E768C" w:rsidRPr="00FF2DE8" w:rsidRDefault="007E768C" w:rsidP="007E768C">
      <w:pPr>
        <w:spacing w:line="360" w:lineRule="auto"/>
        <w:rPr>
          <w:rFonts w:ascii="Times New Roman" w:hAnsi="Times New Roman" w:cs="Times New Roman"/>
          <w:b/>
          <w:bCs/>
        </w:rPr>
      </w:pPr>
      <w:r w:rsidRPr="00FF2DE8">
        <w:rPr>
          <w:rFonts w:ascii="Times New Roman" w:hAnsi="Times New Roman" w:cs="Times New Roman"/>
          <w:b/>
          <w:bCs/>
        </w:rPr>
        <w:t>Western Blot</w:t>
      </w:r>
    </w:p>
    <w:p w14:paraId="2077A808" w14:textId="77777777" w:rsidR="007E768C" w:rsidRPr="00FF2DE8" w:rsidRDefault="007E768C" w:rsidP="007E768C">
      <w:pPr>
        <w:spacing w:line="360" w:lineRule="auto"/>
        <w:rPr>
          <w:rFonts w:ascii="Times New Roman" w:hAnsi="Times New Roman" w:cs="Times New Roman"/>
        </w:rPr>
      </w:pPr>
      <w:r w:rsidRPr="00FF2DE8">
        <w:rPr>
          <w:rFonts w:ascii="Times New Roman" w:hAnsi="Times New Roman" w:cs="Times New Roman"/>
        </w:rPr>
        <w:t xml:space="preserve">Total protein was extracted from cells using </w:t>
      </w:r>
      <w:proofErr w:type="spellStart"/>
      <w:r w:rsidRPr="00FF2DE8">
        <w:rPr>
          <w:rFonts w:ascii="Times New Roman" w:hAnsi="Times New Roman" w:cs="Times New Roman"/>
        </w:rPr>
        <w:t>Beyotime</w:t>
      </w:r>
      <w:proofErr w:type="spellEnd"/>
      <w:r w:rsidRPr="00FF2DE8">
        <w:rPr>
          <w:rFonts w:ascii="Times New Roman" w:hAnsi="Times New Roman" w:cs="Times New Roman"/>
        </w:rPr>
        <w:t xml:space="preserve"> lysis buffer, supplemented with protease (</w:t>
      </w:r>
      <w:proofErr w:type="spellStart"/>
      <w:r w:rsidRPr="00FF2DE8">
        <w:rPr>
          <w:rFonts w:ascii="Times New Roman" w:hAnsi="Times New Roman" w:cs="Times New Roman"/>
        </w:rPr>
        <w:t>MedChemExpress</w:t>
      </w:r>
      <w:proofErr w:type="spellEnd"/>
      <w:r w:rsidRPr="00FF2DE8">
        <w:rPr>
          <w:rFonts w:ascii="Times New Roman" w:hAnsi="Times New Roman" w:cs="Times New Roman"/>
        </w:rPr>
        <w:t>, HY-K0011) and phosphatase (</w:t>
      </w:r>
      <w:proofErr w:type="spellStart"/>
      <w:r w:rsidRPr="00FF2DE8">
        <w:rPr>
          <w:rFonts w:ascii="Times New Roman" w:hAnsi="Times New Roman" w:cs="Times New Roman"/>
        </w:rPr>
        <w:t>Beyotime</w:t>
      </w:r>
      <w:proofErr w:type="spellEnd"/>
      <w:r w:rsidRPr="00FF2DE8">
        <w:rPr>
          <w:rFonts w:ascii="Times New Roman" w:hAnsi="Times New Roman" w:cs="Times New Roman"/>
        </w:rPr>
        <w:t xml:space="preserve">) inhibitors. Protein lysates were resolved via 8–12% SDS-PAGE (Bio-Rad, 456–1086) and subsequently </w:t>
      </w:r>
      <w:proofErr w:type="spellStart"/>
      <w:r w:rsidRPr="00FF2DE8">
        <w:rPr>
          <w:rFonts w:ascii="Times New Roman" w:hAnsi="Times New Roman" w:cs="Times New Roman"/>
        </w:rPr>
        <w:t>electrotransferred</w:t>
      </w:r>
      <w:proofErr w:type="spellEnd"/>
      <w:r w:rsidRPr="00FF2DE8">
        <w:rPr>
          <w:rFonts w:ascii="Times New Roman" w:hAnsi="Times New Roman" w:cs="Times New Roman"/>
        </w:rPr>
        <w:t xml:space="preserve"> onto PVDF membranes (Bio-Rad, 1620177). Following a 30-minute blocking step at 37 °C with Quick Block solution (</w:t>
      </w:r>
      <w:proofErr w:type="spellStart"/>
      <w:r w:rsidRPr="00FF2DE8">
        <w:rPr>
          <w:rFonts w:ascii="Times New Roman" w:hAnsi="Times New Roman" w:cs="Times New Roman"/>
        </w:rPr>
        <w:t>Beyotime</w:t>
      </w:r>
      <w:proofErr w:type="spellEnd"/>
      <w:r w:rsidRPr="00FF2DE8">
        <w:rPr>
          <w:rFonts w:ascii="Times New Roman" w:hAnsi="Times New Roman" w:cs="Times New Roman"/>
        </w:rPr>
        <w:t>, P0252), membranes were probed with primary antibodies against CPT1A (</w:t>
      </w:r>
      <w:proofErr w:type="spellStart"/>
      <w:r w:rsidRPr="00FF2DE8">
        <w:rPr>
          <w:rFonts w:ascii="Times New Roman" w:hAnsi="Times New Roman" w:cs="Times New Roman"/>
        </w:rPr>
        <w:t>Proteintech</w:t>
      </w:r>
      <w:proofErr w:type="spellEnd"/>
      <w:r w:rsidRPr="00FF2DE8">
        <w:rPr>
          <w:rFonts w:ascii="Times New Roman" w:hAnsi="Times New Roman" w:cs="Times New Roman"/>
        </w:rPr>
        <w:t>, 15184-1-AP), ACOX1 (</w:t>
      </w:r>
      <w:proofErr w:type="spellStart"/>
      <w:r w:rsidRPr="00FF2DE8">
        <w:rPr>
          <w:rFonts w:ascii="Times New Roman" w:hAnsi="Times New Roman" w:cs="Times New Roman"/>
        </w:rPr>
        <w:t>Proteintech</w:t>
      </w:r>
      <w:proofErr w:type="spellEnd"/>
      <w:r w:rsidRPr="00FF2DE8">
        <w:rPr>
          <w:rFonts w:ascii="Times New Roman" w:hAnsi="Times New Roman" w:cs="Times New Roman"/>
        </w:rPr>
        <w:t>, 10957-1-AP), CPT2 (</w:t>
      </w:r>
      <w:proofErr w:type="spellStart"/>
      <w:r w:rsidRPr="00FF2DE8">
        <w:rPr>
          <w:rFonts w:ascii="Times New Roman" w:hAnsi="Times New Roman" w:cs="Times New Roman"/>
        </w:rPr>
        <w:t>Proteintech</w:t>
      </w:r>
      <w:proofErr w:type="spellEnd"/>
      <w:r w:rsidRPr="00FF2DE8">
        <w:rPr>
          <w:rFonts w:ascii="Times New Roman" w:hAnsi="Times New Roman" w:cs="Times New Roman"/>
        </w:rPr>
        <w:t>, 26555-1-AP), PPARA (</w:t>
      </w:r>
      <w:proofErr w:type="spellStart"/>
      <w:r w:rsidRPr="00FF2DE8">
        <w:rPr>
          <w:rFonts w:ascii="Times New Roman" w:hAnsi="Times New Roman" w:cs="Times New Roman"/>
        </w:rPr>
        <w:t>Proteintech</w:t>
      </w:r>
      <w:proofErr w:type="spellEnd"/>
      <w:r w:rsidRPr="00FF2DE8">
        <w:rPr>
          <w:rFonts w:ascii="Times New Roman" w:hAnsi="Times New Roman" w:cs="Times New Roman"/>
        </w:rPr>
        <w:t>, 66826-1-Ig), Bcl2 (</w:t>
      </w:r>
      <w:proofErr w:type="spellStart"/>
      <w:r w:rsidRPr="00FF2DE8">
        <w:rPr>
          <w:rFonts w:ascii="Times New Roman" w:hAnsi="Times New Roman" w:cs="Times New Roman"/>
        </w:rPr>
        <w:t>Proteintech</w:t>
      </w:r>
      <w:proofErr w:type="spellEnd"/>
      <w:r w:rsidRPr="00FF2DE8">
        <w:rPr>
          <w:rFonts w:ascii="Times New Roman" w:hAnsi="Times New Roman" w:cs="Times New Roman"/>
        </w:rPr>
        <w:t>, 26593-1-AP), BAX (CST, #2772), and $\beta$-actin (</w:t>
      </w:r>
      <w:proofErr w:type="spellStart"/>
      <w:r w:rsidRPr="00FF2DE8">
        <w:rPr>
          <w:rFonts w:ascii="Times New Roman" w:hAnsi="Times New Roman" w:cs="Times New Roman"/>
        </w:rPr>
        <w:t>ABclonal</w:t>
      </w:r>
      <w:proofErr w:type="spellEnd"/>
      <w:r w:rsidRPr="00FF2DE8">
        <w:rPr>
          <w:rFonts w:ascii="Times New Roman" w:hAnsi="Times New Roman" w:cs="Times New Roman"/>
        </w:rPr>
        <w:t>, AC004). After incubation with appropriate secondary antibodies, protein bands were visualized using an enhanced chemiluminescence (ECL) system (</w:t>
      </w:r>
      <w:proofErr w:type="spellStart"/>
      <w:r w:rsidRPr="00FF2DE8">
        <w:rPr>
          <w:rFonts w:ascii="Times New Roman" w:hAnsi="Times New Roman" w:cs="Times New Roman"/>
        </w:rPr>
        <w:t>ProteinSimple</w:t>
      </w:r>
      <w:proofErr w:type="spellEnd"/>
      <w:r w:rsidRPr="00FF2DE8">
        <w:rPr>
          <w:rFonts w:ascii="Times New Roman" w:hAnsi="Times New Roman" w:cs="Times New Roman"/>
        </w:rPr>
        <w:t>, CA, USA).</w:t>
      </w:r>
    </w:p>
    <w:p w14:paraId="2976016A" w14:textId="77777777" w:rsidR="007E768C" w:rsidRPr="00FF2DE8" w:rsidRDefault="007E768C" w:rsidP="007E768C">
      <w:pPr>
        <w:spacing w:line="360" w:lineRule="auto"/>
        <w:rPr>
          <w:rFonts w:ascii="Times New Roman" w:hAnsi="Times New Roman" w:cs="Times New Roman"/>
          <w:b/>
          <w:bCs/>
        </w:rPr>
      </w:pPr>
      <w:r w:rsidRPr="00FF2DE8">
        <w:rPr>
          <w:rFonts w:ascii="Times New Roman" w:hAnsi="Times New Roman" w:cs="Times New Roman"/>
          <w:b/>
          <w:bCs/>
        </w:rPr>
        <w:t>RNA Extraction and RT-qPCR</w:t>
      </w:r>
    </w:p>
    <w:p w14:paraId="2F21166D" w14:textId="01BA8BEB" w:rsidR="007E768C" w:rsidRPr="00FF2DE8" w:rsidRDefault="007E768C" w:rsidP="007E768C">
      <w:pPr>
        <w:spacing w:line="360" w:lineRule="auto"/>
        <w:rPr>
          <w:rFonts w:ascii="Times New Roman" w:hAnsi="Times New Roman" w:cs="Times New Roman"/>
        </w:rPr>
      </w:pPr>
      <w:r w:rsidRPr="00FF2DE8">
        <w:rPr>
          <w:rFonts w:ascii="Times New Roman" w:hAnsi="Times New Roman" w:cs="Times New Roman"/>
        </w:rPr>
        <w:t xml:space="preserve">Total cellular RNA was isolated using a </w:t>
      </w:r>
      <w:proofErr w:type="spellStart"/>
      <w:r w:rsidRPr="00FF2DE8">
        <w:rPr>
          <w:rFonts w:ascii="Times New Roman" w:hAnsi="Times New Roman" w:cs="Times New Roman"/>
        </w:rPr>
        <w:t>Beyotime</w:t>
      </w:r>
      <w:proofErr w:type="spellEnd"/>
      <w:r w:rsidRPr="00FF2DE8">
        <w:rPr>
          <w:rFonts w:ascii="Times New Roman" w:hAnsi="Times New Roman" w:cs="Times New Roman"/>
        </w:rPr>
        <w:t xml:space="preserve"> extraction kit and quantified via a </w:t>
      </w:r>
      <w:proofErr w:type="spellStart"/>
      <w:r w:rsidRPr="00FF2DE8">
        <w:rPr>
          <w:rFonts w:ascii="Times New Roman" w:hAnsi="Times New Roman" w:cs="Times New Roman"/>
        </w:rPr>
        <w:t>NanoDrop</w:t>
      </w:r>
      <w:proofErr w:type="spellEnd"/>
      <w:r w:rsidRPr="00FF2DE8">
        <w:rPr>
          <w:rFonts w:ascii="Times New Roman" w:hAnsi="Times New Roman" w:cs="Times New Roman"/>
        </w:rPr>
        <w:t xml:space="preserve"> ND-2000 spectrophotometer (</w:t>
      </w:r>
      <w:proofErr w:type="spellStart"/>
      <w:r w:rsidRPr="00FF2DE8">
        <w:rPr>
          <w:rFonts w:ascii="Times New Roman" w:hAnsi="Times New Roman" w:cs="Times New Roman"/>
        </w:rPr>
        <w:t>Thermo</w:t>
      </w:r>
      <w:proofErr w:type="spellEnd"/>
      <w:r w:rsidRPr="00FF2DE8">
        <w:rPr>
          <w:rFonts w:ascii="Times New Roman" w:hAnsi="Times New Roman" w:cs="Times New Roman"/>
        </w:rPr>
        <w:t xml:space="preserve"> Fisher Scientific). Reverse transcription was performed using a </w:t>
      </w:r>
      <w:proofErr w:type="spellStart"/>
      <w:r w:rsidRPr="00FF2DE8">
        <w:rPr>
          <w:rFonts w:ascii="Times New Roman" w:hAnsi="Times New Roman" w:cs="Times New Roman"/>
        </w:rPr>
        <w:t>MedChemExpress</w:t>
      </w:r>
      <w:proofErr w:type="spellEnd"/>
      <w:r w:rsidRPr="00FF2DE8">
        <w:rPr>
          <w:rFonts w:ascii="Times New Roman" w:hAnsi="Times New Roman" w:cs="Times New Roman"/>
        </w:rPr>
        <w:t xml:space="preserve"> kit to synthesize cDNA. Quantitative PCR was executed with SYBR Green reagent (</w:t>
      </w:r>
      <w:proofErr w:type="spellStart"/>
      <w:r w:rsidRPr="00FF2DE8">
        <w:rPr>
          <w:rFonts w:ascii="Times New Roman" w:hAnsi="Times New Roman" w:cs="Times New Roman"/>
        </w:rPr>
        <w:t>MedChemExpress</w:t>
      </w:r>
      <w:proofErr w:type="spellEnd"/>
      <w:r w:rsidRPr="00FF2DE8">
        <w:rPr>
          <w:rFonts w:ascii="Times New Roman" w:hAnsi="Times New Roman" w:cs="Times New Roman"/>
        </w:rPr>
        <w:t>), and relative expression levels were determined using the</w:t>
      </w:r>
      <w:r>
        <w:rPr>
          <w:rFonts w:ascii="Times New Roman" w:hAnsi="Times New Roman" w:cs="Times New Roman" w:hint="eastAsia"/>
        </w:rPr>
        <w:t xml:space="preserve"> 2</w:t>
      </w:r>
      <w:r w:rsidRPr="00FF2DE8">
        <w:rPr>
          <w:rFonts w:ascii="Times New Roman" w:hAnsi="Times New Roman" w:cs="Times New Roman" w:hint="eastAsia"/>
          <w:vertAlign w:val="superscript"/>
        </w:rPr>
        <w:t>-</w:t>
      </w:r>
      <w:r w:rsidRPr="00FF2DE8">
        <w:rPr>
          <w:rFonts w:ascii="Times New Roman" w:hAnsi="Times New Roman" w:cs="Times New Roman" w:hint="eastAsia"/>
          <w:vertAlign w:val="superscript"/>
        </w:rPr>
        <w:t>ΔΔ</w:t>
      </w:r>
      <w:r w:rsidRPr="00FF2DE8">
        <w:rPr>
          <w:rFonts w:ascii="Times New Roman" w:hAnsi="Times New Roman" w:cs="Times New Roman" w:hint="eastAsia"/>
          <w:vertAlign w:val="superscript"/>
        </w:rPr>
        <w:t>CT</w:t>
      </w:r>
      <w:r>
        <w:rPr>
          <w:rFonts w:ascii="Times New Roman" w:hAnsi="Times New Roman" w:cs="Times New Roman" w:hint="eastAsia"/>
          <w:vertAlign w:val="superscript"/>
        </w:rPr>
        <w:t xml:space="preserve"> </w:t>
      </w:r>
      <w:r w:rsidRPr="00FF2DE8">
        <w:rPr>
          <w:rFonts w:ascii="Times New Roman" w:hAnsi="Times New Roman" w:cs="Times New Roman"/>
        </w:rPr>
        <w:t xml:space="preserve">method, with β-actin serving as the internal control. Each assay was performed in at least triplicate. Primer sequences are detailed in Supplemental Table </w:t>
      </w:r>
      <w:r>
        <w:rPr>
          <w:rFonts w:ascii="Times New Roman" w:hAnsi="Times New Roman" w:cs="Times New Roman" w:hint="eastAsia"/>
        </w:rPr>
        <w:t>3</w:t>
      </w:r>
      <w:r w:rsidRPr="00FF2DE8">
        <w:rPr>
          <w:rFonts w:ascii="Times New Roman" w:hAnsi="Times New Roman" w:cs="Times New Roman"/>
        </w:rPr>
        <w:t>.</w:t>
      </w:r>
    </w:p>
    <w:p w14:paraId="29F956C9" w14:textId="77777777" w:rsidR="00B609B5" w:rsidRPr="005A27BB" w:rsidRDefault="00B609B5" w:rsidP="00B609B5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27BB">
        <w:rPr>
          <w:rFonts w:ascii="Times New Roman" w:hAnsi="Times New Roman" w:cs="Times New Roman"/>
          <w:b/>
          <w:bCs/>
          <w:sz w:val="24"/>
          <w:szCs w:val="24"/>
        </w:rPr>
        <w:t>Cell culture and transfection</w:t>
      </w:r>
    </w:p>
    <w:p w14:paraId="5D83246D" w14:textId="77777777" w:rsidR="00B609B5" w:rsidRDefault="00B609B5" w:rsidP="00B609B5">
      <w:pPr>
        <w:spacing w:line="360" w:lineRule="auto"/>
        <w:rPr>
          <w:rFonts w:ascii="Times New Roman" w:hAnsi="Times New Roman" w:cs="Times New Roman"/>
        </w:rPr>
      </w:pPr>
      <w:r w:rsidRPr="005A27BB">
        <w:rPr>
          <w:rFonts w:ascii="Times New Roman" w:hAnsi="Times New Roman" w:cs="Times New Roman"/>
          <w:sz w:val="24"/>
          <w:szCs w:val="24"/>
        </w:rPr>
        <w:t>The human oral cancer cell lines HN30, HN4 and C</w:t>
      </w:r>
      <w:r>
        <w:rPr>
          <w:rFonts w:ascii="Times New Roman" w:hAnsi="Times New Roman" w:cs="Times New Roman" w:hint="eastAsia"/>
          <w:sz w:val="24"/>
          <w:szCs w:val="24"/>
        </w:rPr>
        <w:t>AL</w:t>
      </w:r>
      <w:r w:rsidRPr="005A27BB">
        <w:rPr>
          <w:rFonts w:ascii="Times New Roman" w:hAnsi="Times New Roman" w:cs="Times New Roman"/>
          <w:sz w:val="24"/>
          <w:szCs w:val="24"/>
        </w:rPr>
        <w:t>27 were obtained from the American Type Culture Collection. The cells were cultured in Dulbecco’s modified eagle’s medium (DMEM; Gibco, NY, USA) supplemented with 10% fetal bovine serum (FBS, Gibco). Human oral epithelial cells, H203, were purchased from Procell Life Science &amp; Technology Co., Ltd. (Procell, Wuhan, #CP-H203) and maintained in a complete culture medium for human oral epithelial cells (Procell, Wuhan, #CM-H203).</w:t>
      </w:r>
    </w:p>
    <w:p w14:paraId="1FBD6ED5" w14:textId="0FA64A46" w:rsidR="005A27BB" w:rsidRPr="005A27BB" w:rsidRDefault="005A27BB" w:rsidP="005A27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27BB">
        <w:rPr>
          <w:rFonts w:ascii="Times New Roman" w:hAnsi="Times New Roman" w:cs="Times New Roman"/>
          <w:b/>
          <w:bCs/>
          <w:sz w:val="24"/>
          <w:szCs w:val="24"/>
        </w:rPr>
        <w:t>Lipid ROS detection</w:t>
      </w:r>
    </w:p>
    <w:p w14:paraId="4151A783" w14:textId="77777777" w:rsidR="005A27BB" w:rsidRDefault="005A27BB" w:rsidP="005A27B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5A27BB">
        <w:rPr>
          <w:rFonts w:ascii="Times New Roman" w:hAnsi="Times New Roman" w:cs="Times New Roman"/>
          <w:bCs/>
          <w:sz w:val="24"/>
          <w:szCs w:val="24"/>
        </w:rPr>
        <w:t xml:space="preserve">After being presented to Etomoxir (5 </w:t>
      </w:r>
      <w:proofErr w:type="spellStart"/>
      <w:r w:rsidRPr="005A27BB">
        <w:rPr>
          <w:rFonts w:ascii="Times New Roman" w:hAnsi="Times New Roman" w:cs="Times New Roman"/>
          <w:bCs/>
          <w:sz w:val="24"/>
          <w:szCs w:val="24"/>
        </w:rPr>
        <w:t>μM</w:t>
      </w:r>
      <w:proofErr w:type="spellEnd"/>
      <w:r w:rsidRPr="005A27BB">
        <w:rPr>
          <w:rFonts w:ascii="Times New Roman" w:hAnsi="Times New Roman" w:cs="Times New Roman"/>
          <w:bCs/>
          <w:sz w:val="24"/>
          <w:szCs w:val="24"/>
        </w:rPr>
        <w:t xml:space="preserve">) for 24 h, cells were rinsed with serum-free DMEM and treated with BODIPY-C11 dye (Invitrogen, D3861) for 20 min at 37 °C. Lipid ROS levels were measured using </w:t>
      </w:r>
      <w:proofErr w:type="spellStart"/>
      <w:r w:rsidRPr="005A27BB">
        <w:rPr>
          <w:rFonts w:ascii="Times New Roman" w:hAnsi="Times New Roman" w:cs="Times New Roman"/>
          <w:bCs/>
          <w:sz w:val="24"/>
          <w:szCs w:val="24"/>
        </w:rPr>
        <w:t>Accuri</w:t>
      </w:r>
      <w:proofErr w:type="spellEnd"/>
      <w:r w:rsidRPr="005A27BB">
        <w:rPr>
          <w:rFonts w:ascii="Times New Roman" w:hAnsi="Times New Roman" w:cs="Times New Roman"/>
          <w:bCs/>
          <w:sz w:val="24"/>
          <w:szCs w:val="24"/>
        </w:rPr>
        <w:t xml:space="preserve"> C6 flow cytometry (BD Biosciences, </w:t>
      </w:r>
      <w:r w:rsidRPr="005A27BB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Franklin Lakes, NJ, USA), and the findings were tested using </w:t>
      </w:r>
      <w:proofErr w:type="spellStart"/>
      <w:r w:rsidRPr="005A27BB">
        <w:rPr>
          <w:rFonts w:ascii="Times New Roman" w:hAnsi="Times New Roman" w:cs="Times New Roman"/>
          <w:bCs/>
          <w:sz w:val="24"/>
          <w:szCs w:val="24"/>
        </w:rPr>
        <w:t>FlowJo</w:t>
      </w:r>
      <w:proofErr w:type="spellEnd"/>
      <w:r w:rsidRPr="005A27BB">
        <w:rPr>
          <w:rFonts w:ascii="Times New Roman" w:hAnsi="Times New Roman" w:cs="Times New Roman"/>
          <w:bCs/>
          <w:sz w:val="24"/>
          <w:szCs w:val="24"/>
        </w:rPr>
        <w:t xml:space="preserve"> software.</w:t>
      </w:r>
    </w:p>
    <w:p w14:paraId="461C5E01" w14:textId="77777777" w:rsidR="00FE46AF" w:rsidRPr="00FE46AF" w:rsidRDefault="00FE46AF" w:rsidP="00FE46AF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E46AF">
        <w:rPr>
          <w:rFonts w:ascii="Times New Roman" w:hAnsi="Times New Roman" w:cs="Times New Roman"/>
          <w:b/>
          <w:bCs/>
          <w:sz w:val="24"/>
          <w:szCs w:val="24"/>
        </w:rPr>
        <w:t xml:space="preserve">Detection of the oxygen consumption rates (OCR) and extracellular </w:t>
      </w:r>
      <w:proofErr w:type="spellStart"/>
      <w:r w:rsidRPr="00FE46AF">
        <w:rPr>
          <w:rFonts w:ascii="Times New Roman" w:hAnsi="Times New Roman" w:cs="Times New Roman"/>
          <w:b/>
          <w:bCs/>
          <w:sz w:val="24"/>
          <w:szCs w:val="24"/>
        </w:rPr>
        <w:t>acidifcation</w:t>
      </w:r>
      <w:proofErr w:type="spellEnd"/>
      <w:r w:rsidRPr="00FE46AF">
        <w:rPr>
          <w:rFonts w:ascii="Times New Roman" w:hAnsi="Times New Roman" w:cs="Times New Roman"/>
          <w:b/>
          <w:bCs/>
          <w:sz w:val="24"/>
          <w:szCs w:val="24"/>
        </w:rPr>
        <w:t xml:space="preserve"> rate (ECAR)</w:t>
      </w:r>
    </w:p>
    <w:p w14:paraId="0AE2B4C2" w14:textId="54397F60" w:rsidR="00FC7BE3" w:rsidRPr="00FC7BE3" w:rsidRDefault="00FE46AF" w:rsidP="005A27BB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FE46AF">
        <w:rPr>
          <w:rFonts w:ascii="Times New Roman" w:hAnsi="Times New Roman" w:cs="Times New Roman"/>
          <w:bCs/>
          <w:sz w:val="24"/>
          <w:szCs w:val="24"/>
        </w:rPr>
        <w:t xml:space="preserve">The analysis system of cell energy metabolism, Agilent Seahorse </w:t>
      </w:r>
      <w:proofErr w:type="spellStart"/>
      <w:r w:rsidRPr="00FE46AF">
        <w:rPr>
          <w:rFonts w:ascii="Times New Roman" w:hAnsi="Times New Roman" w:cs="Times New Roman"/>
          <w:bCs/>
          <w:sz w:val="24"/>
          <w:szCs w:val="24"/>
        </w:rPr>
        <w:t>XFp</w:t>
      </w:r>
      <w:proofErr w:type="spellEnd"/>
      <w:r w:rsidRPr="00FE46AF">
        <w:rPr>
          <w:rFonts w:ascii="Times New Roman" w:hAnsi="Times New Roman" w:cs="Times New Roman"/>
          <w:bCs/>
          <w:sz w:val="24"/>
          <w:szCs w:val="24"/>
        </w:rPr>
        <w:t xml:space="preserve"> (Seahorse XF HS Mini, Agilent, America) was applied to measure OCR and ECAR. Firstly, </w:t>
      </w:r>
      <w:r>
        <w:rPr>
          <w:rFonts w:ascii="Times New Roman" w:hAnsi="Times New Roman" w:cs="Times New Roman" w:hint="eastAsia"/>
          <w:bCs/>
          <w:sz w:val="24"/>
          <w:szCs w:val="24"/>
        </w:rPr>
        <w:t>OSCC cell lines</w:t>
      </w:r>
      <w:r w:rsidRPr="00FE46AF">
        <w:rPr>
          <w:rFonts w:ascii="Times New Roman" w:hAnsi="Times New Roman" w:cs="Times New Roman"/>
          <w:bCs/>
          <w:sz w:val="24"/>
          <w:szCs w:val="24"/>
        </w:rPr>
        <w:t xml:space="preserve"> were cultured and about 10,000 cells were seeded in the </w:t>
      </w:r>
      <w:proofErr w:type="spellStart"/>
      <w:r w:rsidRPr="00FE46AF">
        <w:rPr>
          <w:rFonts w:ascii="Times New Roman" w:hAnsi="Times New Roman" w:cs="Times New Roman"/>
          <w:bCs/>
          <w:sz w:val="24"/>
          <w:szCs w:val="24"/>
        </w:rPr>
        <w:t>XFp</w:t>
      </w:r>
      <w:proofErr w:type="spellEnd"/>
      <w:r w:rsidRPr="00FE46AF">
        <w:rPr>
          <w:rFonts w:ascii="Times New Roman" w:hAnsi="Times New Roman" w:cs="Times New Roman"/>
          <w:bCs/>
          <w:sz w:val="24"/>
          <w:szCs w:val="24"/>
        </w:rPr>
        <w:t xml:space="preserve"> cell culture plate overnight. Afterward, these cells were washed by the XF detection solution and placed in a CO</w:t>
      </w:r>
      <w:r w:rsidRPr="00FE46AF">
        <w:rPr>
          <w:rFonts w:ascii="Times New Roman" w:hAnsi="Times New Roman" w:cs="Times New Roman"/>
          <w:bCs/>
          <w:sz w:val="24"/>
          <w:szCs w:val="24"/>
          <w:vertAlign w:val="subscript"/>
        </w:rPr>
        <w:t>2</w:t>
      </w:r>
      <w:r w:rsidRPr="00FE46AF">
        <w:rPr>
          <w:rFonts w:ascii="Times New Roman" w:hAnsi="Times New Roman" w:cs="Times New Roman"/>
          <w:bCs/>
          <w:sz w:val="24"/>
          <w:szCs w:val="24"/>
        </w:rPr>
        <w:t>-free cell incubator at 37℃ for 60 min. As directed by the manufacturer, the mitochondria stress test kit was used to assess the OCR in real-time (reagent concentrations: Oligomycin: 1.5 µM; FCCP:1.0 µM; Rot/AA 0.5 µM) and the glycolysis stress test kit was used to assess the ECAR in real-time (reagent concentrations: Glucose: 10 mM; Oligomycin:1.5 µM; 2-DG (2-deoxy-glucose): 50 mM). Basal respiration, maximal respiration and glycolysis capacity were measured.</w:t>
      </w:r>
    </w:p>
    <w:p w14:paraId="0430BCA1" w14:textId="77777777" w:rsidR="005A27BB" w:rsidRPr="005A27BB" w:rsidRDefault="005A27BB" w:rsidP="005A27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A27BB">
        <w:rPr>
          <w:rFonts w:ascii="Times New Roman" w:hAnsi="Times New Roman" w:cs="Times New Roman"/>
          <w:b/>
          <w:bCs/>
          <w:sz w:val="24"/>
          <w:szCs w:val="24"/>
        </w:rPr>
        <w:t>Immunohistochemistry (IHC) analysis</w:t>
      </w:r>
    </w:p>
    <w:p w14:paraId="5CC110FA" w14:textId="77777777" w:rsidR="005A27BB" w:rsidRPr="005A27BB" w:rsidRDefault="005A27BB" w:rsidP="005A27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5A27BB">
        <w:rPr>
          <w:rFonts w:ascii="Times New Roman" w:hAnsi="Times New Roman" w:cs="Times New Roman"/>
          <w:sz w:val="24"/>
          <w:szCs w:val="24"/>
        </w:rPr>
        <w:t>Sections of formalin-fixed and paraffin-embedded tissues were deparaffinized and subjected to antigen retrieval using 10 mM citrate buffer (92 °C for 30 min). Gene expression was evaluated according to stain intensity and the percentage of positive cells. The intensity of staining was graded as 1 = weak staining, 2 = moderate staining and 3 = strong staining. The percentage of stained cells was graded as 0 = 0-5%, 1 = 6-25%, 2 = 26-50%, 3 = 51-75% and 4 = 75-100%. The final score was obtained by multiplying the two scores. All scorings were conducted by two pathologists without knowledge of the patients' clinical characteristics or outcome.</w:t>
      </w:r>
    </w:p>
    <w:p w14:paraId="632BEB10" w14:textId="35EC33C5" w:rsidR="00FC7BE3" w:rsidRPr="00C240A6" w:rsidRDefault="00C240A6" w:rsidP="005A27BB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40A6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Figure legends </w:t>
      </w:r>
    </w:p>
    <w:p w14:paraId="37EE473E" w14:textId="57BF2F98" w:rsidR="00FC7BE3" w:rsidRPr="006A7623" w:rsidRDefault="006A7623" w:rsidP="005A27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64F6F3A6" wp14:editId="25A786B6">
            <wp:extent cx="5274310" cy="6136640"/>
            <wp:effectExtent l="0" t="0" r="2540" b="0"/>
            <wp:docPr id="49803207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032070" name="图片 4980320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3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7BE3" w:rsidRPr="00FC7BE3">
        <w:rPr>
          <w:rFonts w:ascii="Times New Roman" w:hAnsi="Times New Roman" w:cs="Times New Roman" w:hint="eastAsia"/>
          <w:b/>
          <w:bCs/>
          <w:sz w:val="24"/>
          <w:szCs w:val="24"/>
        </w:rPr>
        <w:t>Supplementary figure</w:t>
      </w:r>
      <w:r w:rsidR="00FC7BE3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C7BE3" w:rsidRPr="00FC7BE3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  <w:r w:rsidR="00601D14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FC7BE3" w:rsidRPr="00FC7BE3">
        <w:rPr>
          <w:rFonts w:ascii="Times New Roman" w:hAnsi="Times New Roman" w:cs="Times New Roman" w:hint="eastAsia"/>
          <w:sz w:val="24"/>
          <w:szCs w:val="24"/>
        </w:rPr>
        <w:t xml:space="preserve">Heatmap summarizing the performance (C-index values) of 101 machine learning algorithms across </w:t>
      </w:r>
      <w:r w:rsidR="00601D14">
        <w:rPr>
          <w:rFonts w:ascii="Times New Roman" w:hAnsi="Times New Roman" w:cs="Times New Roman" w:hint="eastAsia"/>
          <w:sz w:val="24"/>
          <w:szCs w:val="24"/>
        </w:rPr>
        <w:t>4</w:t>
      </w:r>
      <w:r w:rsidR="00FC7BE3" w:rsidRPr="00FC7BE3">
        <w:rPr>
          <w:rFonts w:ascii="Times New Roman" w:hAnsi="Times New Roman" w:cs="Times New Roman" w:hint="eastAsia"/>
          <w:sz w:val="24"/>
          <w:szCs w:val="24"/>
        </w:rPr>
        <w:t xml:space="preserve"> OSCC cohorts (</w:t>
      </w:r>
      <w:r w:rsidRPr="006A7623">
        <w:rPr>
          <w:rFonts w:ascii="Times New Roman" w:hAnsi="Times New Roman" w:cs="Times New Roman"/>
          <w:sz w:val="24"/>
          <w:szCs w:val="24"/>
        </w:rPr>
        <w:t>GSE31056, GSE41613, GSE42743, and GSE85446</w:t>
      </w:r>
      <w:r w:rsidR="00FC7BE3" w:rsidRPr="00FC7BE3">
        <w:rPr>
          <w:rFonts w:ascii="Times New Roman" w:hAnsi="Times New Roman" w:cs="Times New Roman" w:hint="eastAsia"/>
          <w:sz w:val="24"/>
          <w:szCs w:val="24"/>
        </w:rPr>
        <w:t>). Mean C-index scores for all cohorts and validation cohorts are shown separately.</w:t>
      </w:r>
    </w:p>
    <w:sectPr w:rsidR="00FC7BE3" w:rsidRPr="006A7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F2A9C" w14:textId="77777777" w:rsidR="00E62207" w:rsidRDefault="00E62207" w:rsidP="00FC7BE3">
      <w:pPr>
        <w:rPr>
          <w:rFonts w:hint="eastAsia"/>
        </w:rPr>
      </w:pPr>
      <w:r>
        <w:separator/>
      </w:r>
    </w:p>
  </w:endnote>
  <w:endnote w:type="continuationSeparator" w:id="0">
    <w:p w14:paraId="08ACF043" w14:textId="77777777" w:rsidR="00E62207" w:rsidRDefault="00E62207" w:rsidP="00FC7BE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D8B65F" w14:textId="77777777" w:rsidR="00E62207" w:rsidRDefault="00E62207" w:rsidP="00FC7BE3">
      <w:pPr>
        <w:rPr>
          <w:rFonts w:hint="eastAsia"/>
        </w:rPr>
      </w:pPr>
      <w:r>
        <w:separator/>
      </w:r>
    </w:p>
  </w:footnote>
  <w:footnote w:type="continuationSeparator" w:id="0">
    <w:p w14:paraId="50289E06" w14:textId="77777777" w:rsidR="00E62207" w:rsidRDefault="00E62207" w:rsidP="00FC7BE3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C57"/>
    <w:rsid w:val="000352B6"/>
    <w:rsid w:val="00100DA5"/>
    <w:rsid w:val="001305B9"/>
    <w:rsid w:val="002576B3"/>
    <w:rsid w:val="0033373B"/>
    <w:rsid w:val="004A0021"/>
    <w:rsid w:val="0052004C"/>
    <w:rsid w:val="00537A75"/>
    <w:rsid w:val="005A27BB"/>
    <w:rsid w:val="00601D14"/>
    <w:rsid w:val="00647FB6"/>
    <w:rsid w:val="006A7623"/>
    <w:rsid w:val="0073682D"/>
    <w:rsid w:val="007E768C"/>
    <w:rsid w:val="00922388"/>
    <w:rsid w:val="009331DD"/>
    <w:rsid w:val="00951C57"/>
    <w:rsid w:val="00996727"/>
    <w:rsid w:val="00B609B5"/>
    <w:rsid w:val="00B9716F"/>
    <w:rsid w:val="00C134AD"/>
    <w:rsid w:val="00C240A6"/>
    <w:rsid w:val="00CC0C93"/>
    <w:rsid w:val="00CF6DB2"/>
    <w:rsid w:val="00D372B6"/>
    <w:rsid w:val="00DF3000"/>
    <w:rsid w:val="00E62207"/>
    <w:rsid w:val="00EC0CD1"/>
    <w:rsid w:val="00F02672"/>
    <w:rsid w:val="00FC7BE3"/>
    <w:rsid w:val="00FE4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F891920"/>
  <w15:chartTrackingRefBased/>
  <w15:docId w15:val="{6835839E-B233-4BF0-8969-A235AA20A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C5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1C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1C5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1C5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1C5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1C57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1C57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1C57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1C57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C5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51C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51C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51C5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51C57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951C5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51C5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51C5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51C5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51C57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51C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1C57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51C5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51C5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51C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51C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51C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51C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51C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51C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C7BE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FC7BE3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FC7B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FC7B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3</Pages>
  <Words>604</Words>
  <Characters>3536</Characters>
  <Application>Microsoft Office Word</Application>
  <DocSecurity>0</DocSecurity>
  <Lines>58</Lines>
  <Paragraphs>17</Paragraphs>
  <ScaleCrop>false</ScaleCrop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20</cp:revision>
  <dcterms:created xsi:type="dcterms:W3CDTF">2026-01-10T09:13:00Z</dcterms:created>
  <dcterms:modified xsi:type="dcterms:W3CDTF">2026-03-24T15:34:00Z</dcterms:modified>
</cp:coreProperties>
</file>