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6A0E9" w14:textId="7DD7CF93" w:rsidR="00F1260E" w:rsidRDefault="00F1260E">
      <w:r>
        <w:rPr>
          <w:noProof/>
        </w:rPr>
        <w:drawing>
          <wp:inline distT="0" distB="0" distL="0" distR="0" wp14:anchorId="5B433ECD" wp14:editId="057990E3">
            <wp:extent cx="5274310" cy="2966720"/>
            <wp:effectExtent l="0" t="0" r="2540" b="5080"/>
            <wp:docPr id="16072180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3159D" w14:textId="78FA022C" w:rsidR="00F1260E" w:rsidRPr="00F1260E" w:rsidRDefault="00F1260E">
      <w:pPr>
        <w:rPr>
          <w:rFonts w:ascii="Palatino Linotype" w:hAnsi="Palatino Linotype"/>
          <w:sz w:val="20"/>
          <w:szCs w:val="20"/>
        </w:rPr>
      </w:pPr>
      <w:r w:rsidRPr="00F1260E">
        <w:rPr>
          <w:rFonts w:ascii="Palatino Linotype" w:hAnsi="Palatino Linotype"/>
          <w:sz w:val="20"/>
          <w:szCs w:val="20"/>
        </w:rPr>
        <w:t>Figure 2. Skeletal muscle area on transverse computed tomography images at (a) pectoralis, (b) first lumbar level.</w:t>
      </w:r>
      <w:r w:rsidRPr="00F1260E">
        <w:rPr>
          <w:rFonts w:ascii="Palatino Linotype" w:hAnsi="Palatino Linotype"/>
          <w:sz w:val="20"/>
          <w:szCs w:val="20"/>
        </w:rPr>
        <w:t>(</w:t>
      </w:r>
      <w:r w:rsidRPr="00F1260E">
        <w:rPr>
          <w:rFonts w:ascii="Palatino Linotype" w:hAnsi="Palatino Linotype"/>
        </w:rPr>
        <w:t xml:space="preserve"> </w:t>
      </w:r>
      <w:r w:rsidRPr="00F1260E">
        <w:rPr>
          <w:rFonts w:ascii="Palatino Linotype" w:hAnsi="Palatino Linotype"/>
          <w:sz w:val="20"/>
          <w:szCs w:val="20"/>
        </w:rPr>
        <w:t>Axial CT images in DICOM format were exported from the hospital electronic medical record system, and Slice-O-Matic software v5.0 (</w:t>
      </w:r>
      <w:proofErr w:type="spellStart"/>
      <w:r w:rsidRPr="00F1260E">
        <w:rPr>
          <w:rFonts w:ascii="Palatino Linotype" w:hAnsi="Palatino Linotype"/>
          <w:sz w:val="20"/>
          <w:szCs w:val="20"/>
        </w:rPr>
        <w:t>Tomovision</w:t>
      </w:r>
      <w:proofErr w:type="spellEnd"/>
      <w:r w:rsidRPr="00F1260E">
        <w:rPr>
          <w:rFonts w:ascii="Palatino Linotype" w:hAnsi="Palatino Linotype"/>
          <w:sz w:val="20"/>
          <w:szCs w:val="20"/>
        </w:rPr>
        <w:t>, Montreal, Quebec, Canada) was used for cross-sectional muscle area measurement and analysis.</w:t>
      </w:r>
      <w:r w:rsidRPr="00F1260E">
        <w:rPr>
          <w:rFonts w:ascii="Palatino Linotype" w:hAnsi="Palatino Linotype"/>
          <w:sz w:val="20"/>
          <w:szCs w:val="20"/>
        </w:rPr>
        <w:t>)</w:t>
      </w:r>
      <w:r w:rsidRPr="00F1260E">
        <w:rPr>
          <w:rFonts w:ascii="Palatino Linotype" w:hAnsi="Palatino Linotype"/>
          <w:sz w:val="20"/>
          <w:szCs w:val="20"/>
        </w:rPr>
        <w:cr/>
      </w:r>
    </w:p>
    <w:p w14:paraId="3CA901A6" w14:textId="77777777" w:rsidR="00F1260E" w:rsidRDefault="00F1260E">
      <w:r>
        <w:rPr>
          <w:noProof/>
        </w:rPr>
        <w:drawing>
          <wp:inline distT="0" distB="0" distL="0" distR="0" wp14:anchorId="0BD36CE8" wp14:editId="7BAA16BC">
            <wp:extent cx="5274310" cy="3659505"/>
            <wp:effectExtent l="0" t="0" r="2540" b="0"/>
            <wp:docPr id="16569312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05C285" wp14:editId="568CC17B">
            <wp:extent cx="5274310" cy="3659505"/>
            <wp:effectExtent l="0" t="0" r="2540" b="0"/>
            <wp:docPr id="15751343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82108" w14:textId="6388FB03" w:rsidR="00F1260E" w:rsidRPr="00F1260E" w:rsidRDefault="00F1260E">
      <w:pPr>
        <w:rPr>
          <w:rFonts w:ascii="Palatino Linotype" w:hAnsi="Palatino Linotype"/>
          <w:sz w:val="20"/>
          <w:szCs w:val="20"/>
        </w:rPr>
      </w:pPr>
      <w:r w:rsidRPr="00F1260E">
        <w:rPr>
          <w:rFonts w:ascii="Palatino Linotype" w:hAnsi="Palatino Linotype"/>
          <w:sz w:val="20"/>
          <w:szCs w:val="20"/>
        </w:rPr>
        <w:t>Figure 3. (a) Pearson correlation analysis of baseline levels of T4-PMI and L1-SMI showed a moderate positive correlation (r=0.657, P&lt;0.001); (b) Bland–Altman plots show differences between T4-PMI and L1-SMI. The upper and lower dashed horizontal lines represent the upper and lower limits of the 95% confidence interval, and the solid middle line represents the average of the differences.</w:t>
      </w:r>
      <w:r w:rsidRPr="00F1260E">
        <w:rPr>
          <w:rFonts w:ascii="Palatino Linotype" w:hAnsi="Palatino Linotype"/>
          <w:sz w:val="20"/>
          <w:szCs w:val="20"/>
        </w:rPr>
        <w:t xml:space="preserve">( </w:t>
      </w:r>
      <w:r w:rsidRPr="00F1260E">
        <w:rPr>
          <w:rFonts w:ascii="Palatino Linotype" w:hAnsi="Palatino Linotype"/>
          <w:sz w:val="20"/>
          <w:szCs w:val="20"/>
        </w:rPr>
        <w:t>The figures/plots were generated using R (version 4.4.3) in the RStudio environment.</w:t>
      </w:r>
      <w:r w:rsidRPr="00F1260E">
        <w:rPr>
          <w:rFonts w:ascii="Palatino Linotype" w:hAnsi="Palatino Linotype"/>
          <w:sz w:val="20"/>
          <w:szCs w:val="20"/>
        </w:rPr>
        <w:t>)</w:t>
      </w:r>
      <w:r w:rsidRPr="00F1260E">
        <w:rPr>
          <w:rFonts w:ascii="Palatino Linotype" w:hAnsi="Palatino Linotype"/>
          <w:sz w:val="20"/>
          <w:szCs w:val="20"/>
        </w:rPr>
        <w:cr/>
      </w:r>
    </w:p>
    <w:p w14:paraId="56BFD07D" w14:textId="77777777" w:rsidR="00F1260E" w:rsidRDefault="00F1260E">
      <w:r>
        <w:rPr>
          <w:noProof/>
        </w:rPr>
        <w:drawing>
          <wp:inline distT="0" distB="0" distL="0" distR="0" wp14:anchorId="7D0431AB" wp14:editId="0CBE2C60">
            <wp:extent cx="5274310" cy="3659505"/>
            <wp:effectExtent l="0" t="0" r="2540" b="0"/>
            <wp:docPr id="16447739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F266A8" wp14:editId="3246350D">
            <wp:extent cx="5274310" cy="3659505"/>
            <wp:effectExtent l="0" t="0" r="2540" b="0"/>
            <wp:docPr id="13947593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10678" w14:textId="368483E0" w:rsidR="00F1260E" w:rsidRPr="00F1260E" w:rsidRDefault="00F1260E">
      <w:pPr>
        <w:rPr>
          <w:rFonts w:ascii="Palatino Linotype" w:hAnsi="Palatino Linotype"/>
          <w:sz w:val="20"/>
          <w:szCs w:val="20"/>
        </w:rPr>
      </w:pPr>
      <w:r w:rsidRPr="00F1260E">
        <w:rPr>
          <w:rFonts w:ascii="Palatino Linotype" w:hAnsi="Palatino Linotype"/>
          <w:sz w:val="20"/>
          <w:szCs w:val="20"/>
        </w:rPr>
        <w:t>Figure 4. Kaplan-Meier survival curves and Log-Rank test: (a) The median survival time of the L1-sarcopenia group was significantly shorter than that of the non-sarcopenia group (χ²=4.753, P=0.029); (b) no statistically significant difference in survival was observed between the T4-sarcopenia and non-sarcopenia groups (χ²=3.567, P=0.059).</w:t>
      </w:r>
      <w:r w:rsidRPr="00F1260E">
        <w:rPr>
          <w:rFonts w:ascii="Palatino Linotype" w:hAnsi="Palatino Linotype"/>
          <w:sz w:val="20"/>
          <w:szCs w:val="20"/>
        </w:rPr>
        <w:t xml:space="preserve"> </w:t>
      </w:r>
      <w:r w:rsidRPr="00F1260E">
        <w:rPr>
          <w:rFonts w:ascii="Palatino Linotype" w:hAnsi="Palatino Linotype"/>
          <w:sz w:val="20"/>
          <w:szCs w:val="20"/>
        </w:rPr>
        <w:t>( The figures/plots were generated using R (version 4.4.3) in the RStudio environment.)</w:t>
      </w:r>
    </w:p>
    <w:p w14:paraId="1D7F9910" w14:textId="17AE1DFC" w:rsidR="000C50E5" w:rsidRDefault="00F1260E">
      <w:r>
        <w:rPr>
          <w:noProof/>
        </w:rPr>
        <w:drawing>
          <wp:inline distT="0" distB="0" distL="0" distR="0" wp14:anchorId="2C5A9984" wp14:editId="6D698E00">
            <wp:extent cx="5274310" cy="2722880"/>
            <wp:effectExtent l="0" t="0" r="2540" b="1270"/>
            <wp:docPr id="5539704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DF5E3" w14:textId="71B82061" w:rsidR="00F1260E" w:rsidRPr="00F1260E" w:rsidRDefault="00F1260E">
      <w:pPr>
        <w:rPr>
          <w:rFonts w:ascii="Palatino Linotype" w:hAnsi="Palatino Linotype"/>
          <w:sz w:val="20"/>
          <w:szCs w:val="20"/>
        </w:rPr>
      </w:pPr>
      <w:r w:rsidRPr="00F1260E">
        <w:rPr>
          <w:rFonts w:ascii="Palatino Linotype" w:hAnsi="Palatino Linotype"/>
          <w:sz w:val="20"/>
          <w:szCs w:val="20"/>
        </w:rPr>
        <w:t>Figure 5. Forest plot of multivariate Cox proportional hazards regression analysis: L1-sarcopenia was an independent risk factor for survival (HR=2.297, 95%CI: 1.085–4.863, P=0.030); measured/predicted PEFR (%) was a protective factor (HR=0.984, 95%CI: 0.970–0.997, P=0.018).( The figures/plots were generated using R (version 4.4.3) in the RStudio environment.)</w:t>
      </w:r>
      <w:r w:rsidRPr="00F1260E">
        <w:rPr>
          <w:rFonts w:ascii="Palatino Linotype" w:hAnsi="Palatino Linotype"/>
          <w:sz w:val="20"/>
          <w:szCs w:val="20"/>
        </w:rPr>
        <w:cr/>
      </w:r>
    </w:p>
    <w:sectPr w:rsidR="00F1260E" w:rsidRPr="00F12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DA20C" w14:textId="77777777" w:rsidR="00EC26D7" w:rsidRDefault="00EC26D7" w:rsidP="00F1260E">
      <w:pPr>
        <w:rPr>
          <w:rFonts w:hint="eastAsia"/>
        </w:rPr>
      </w:pPr>
      <w:r>
        <w:separator/>
      </w:r>
    </w:p>
  </w:endnote>
  <w:endnote w:type="continuationSeparator" w:id="0">
    <w:p w14:paraId="33791128" w14:textId="77777777" w:rsidR="00EC26D7" w:rsidRDefault="00EC26D7" w:rsidP="00F126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4908E" w14:textId="77777777" w:rsidR="00EC26D7" w:rsidRDefault="00EC26D7" w:rsidP="00F1260E">
      <w:pPr>
        <w:rPr>
          <w:rFonts w:hint="eastAsia"/>
        </w:rPr>
      </w:pPr>
      <w:r>
        <w:separator/>
      </w:r>
    </w:p>
  </w:footnote>
  <w:footnote w:type="continuationSeparator" w:id="0">
    <w:p w14:paraId="4918C566" w14:textId="77777777" w:rsidR="00EC26D7" w:rsidRDefault="00EC26D7" w:rsidP="00F1260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90"/>
    <w:rsid w:val="000C50E5"/>
    <w:rsid w:val="00147092"/>
    <w:rsid w:val="001F3190"/>
    <w:rsid w:val="00393F28"/>
    <w:rsid w:val="004B1C1D"/>
    <w:rsid w:val="008708CD"/>
    <w:rsid w:val="008D6EA2"/>
    <w:rsid w:val="00AB08CD"/>
    <w:rsid w:val="00B406E6"/>
    <w:rsid w:val="00B51EAD"/>
    <w:rsid w:val="00DA46B0"/>
    <w:rsid w:val="00EC26D7"/>
    <w:rsid w:val="00F1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53EFB"/>
  <w15:chartTrackingRefBased/>
  <w15:docId w15:val="{A08A5C18-C406-4FEA-8FC7-7616D602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19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1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19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19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19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19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19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19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19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F31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F31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F319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F319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F319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F319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F319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F319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F31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F3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1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F31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31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F31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31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319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31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F319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F319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26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1260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126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126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佩双 王</dc:creator>
  <cp:keywords/>
  <dc:description/>
  <cp:lastModifiedBy>佩双 王</cp:lastModifiedBy>
  <cp:revision>2</cp:revision>
  <dcterms:created xsi:type="dcterms:W3CDTF">2026-01-27T14:52:00Z</dcterms:created>
  <dcterms:modified xsi:type="dcterms:W3CDTF">2026-01-27T15:00:00Z</dcterms:modified>
</cp:coreProperties>
</file>