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3D222" w14:textId="77777777" w:rsidR="00706FCE" w:rsidRPr="00281054" w:rsidRDefault="724A2AEA" w:rsidP="002D0FB2">
      <w:pPr>
        <w:jc w:val="both"/>
        <w:rPr>
          <w:rFonts w:ascii="Times New Roman" w:hAnsi="Times New Roman" w:cs="Times New Roman"/>
          <w:b/>
          <w:lang w:val="en-US"/>
        </w:rPr>
      </w:pPr>
      <w:r w:rsidRPr="00281054">
        <w:rPr>
          <w:rFonts w:ascii="Times New Roman" w:hAnsi="Times New Roman" w:cs="Times New Roman"/>
          <w:b/>
          <w:lang w:val="en-US"/>
        </w:rPr>
        <w:t>Supplementary parts A</w:t>
      </w:r>
    </w:p>
    <w:p w14:paraId="2393D223" w14:textId="77777777" w:rsidR="724A2AEA" w:rsidRPr="00281054" w:rsidRDefault="724A2AEA" w:rsidP="002D0FB2">
      <w:pPr>
        <w:jc w:val="both"/>
        <w:rPr>
          <w:rFonts w:ascii="Times New Roman" w:hAnsi="Times New Roman" w:cs="Times New Roman"/>
          <w:lang w:val="en-US"/>
        </w:rPr>
      </w:pPr>
    </w:p>
    <w:p w14:paraId="2393D224" w14:textId="0B73F0DD" w:rsidR="00785C54" w:rsidRPr="00014528" w:rsidRDefault="724A2AEA" w:rsidP="002D0FB2">
      <w:pPr>
        <w:pStyle w:val="Paragraphedeliste"/>
        <w:numPr>
          <w:ilvl w:val="0"/>
          <w:numId w:val="5"/>
        </w:numPr>
        <w:spacing w:line="259" w:lineRule="auto"/>
        <w:jc w:val="both"/>
        <w:rPr>
          <w:rFonts w:ascii="Times New Roman" w:hAnsi="Times New Roman" w:cs="Times New Roman"/>
          <w:b/>
          <w:bCs/>
          <w:lang w:val="en-US"/>
        </w:rPr>
      </w:pPr>
      <w:r w:rsidRPr="00014528">
        <w:rPr>
          <w:rFonts w:ascii="Times New Roman" w:hAnsi="Times New Roman" w:cs="Times New Roman"/>
          <w:b/>
          <w:bCs/>
          <w:lang w:val="en-US"/>
        </w:rPr>
        <w:t>Development of animal model</w:t>
      </w:r>
      <w:r w:rsidR="00764CB5">
        <w:rPr>
          <w:rFonts w:ascii="Times New Roman" w:hAnsi="Times New Roman" w:cs="Times New Roman"/>
          <w:b/>
          <w:bCs/>
          <w:lang w:val="en-US"/>
        </w:rPr>
        <w:t>s</w:t>
      </w:r>
      <w:r w:rsidRPr="00014528">
        <w:rPr>
          <w:rFonts w:ascii="Times New Roman" w:hAnsi="Times New Roman" w:cs="Times New Roman"/>
          <w:b/>
          <w:bCs/>
          <w:lang w:val="en-US"/>
        </w:rPr>
        <w:t xml:space="preserve"> of </w:t>
      </w:r>
      <w:proofErr w:type="spellStart"/>
      <w:r w:rsidRPr="00014528">
        <w:rPr>
          <w:rFonts w:ascii="Times New Roman" w:hAnsi="Times New Roman" w:cs="Times New Roman"/>
          <w:b/>
          <w:bCs/>
          <w:lang w:val="en-US"/>
        </w:rPr>
        <w:t>gastrocutaneousfisulae</w:t>
      </w:r>
      <w:proofErr w:type="spellEnd"/>
    </w:p>
    <w:p w14:paraId="2393D225" w14:textId="77777777" w:rsidR="724A2AEA" w:rsidRDefault="724A2AEA" w:rsidP="002D0FB2">
      <w:pPr>
        <w:jc w:val="both"/>
        <w:rPr>
          <w:lang w:val="en-US"/>
        </w:rPr>
      </w:pPr>
    </w:p>
    <w:p w14:paraId="2393D226" w14:textId="77777777" w:rsidR="00785C54" w:rsidRDefault="005D5C29" w:rsidP="002D0FB2">
      <w:pPr>
        <w:jc w:val="both"/>
        <w:rPr>
          <w:rFonts w:ascii="Times New Roman" w:hAnsi="Times New Roman" w:cs="Times New Roman"/>
          <w:b/>
          <w:lang w:val="en-GB"/>
        </w:rPr>
      </w:pPr>
      <w:r>
        <w:rPr>
          <w:rFonts w:ascii="Times New Roman" w:hAnsi="Times New Roman" w:cs="Times New Roman"/>
          <w:b/>
          <w:lang w:val="en-GB"/>
        </w:rPr>
        <w:t>G</w:t>
      </w:r>
      <w:r w:rsidRPr="009C6A85">
        <w:rPr>
          <w:rFonts w:ascii="Times New Roman" w:hAnsi="Times New Roman" w:cs="Times New Roman"/>
          <w:b/>
          <w:lang w:val="en-GB"/>
        </w:rPr>
        <w:t>eneral housing conditions</w:t>
      </w:r>
    </w:p>
    <w:p w14:paraId="2393D227" w14:textId="77777777" w:rsidR="005D5C29" w:rsidRPr="000B27F0" w:rsidRDefault="005D5C29" w:rsidP="002D0FB2">
      <w:pPr>
        <w:jc w:val="both"/>
        <w:rPr>
          <w:lang w:val="en-US"/>
        </w:rPr>
      </w:pPr>
    </w:p>
    <w:p w14:paraId="2393D228" w14:textId="77777777" w:rsidR="00D70F03" w:rsidRDefault="000B27F0" w:rsidP="002D0FB2">
      <w:pPr>
        <w:spacing w:line="276" w:lineRule="auto"/>
        <w:jc w:val="both"/>
        <w:rPr>
          <w:rFonts w:ascii="Times New Roman" w:hAnsi="Times New Roman" w:cs="Times New Roman"/>
          <w:lang w:val="en-GB"/>
        </w:rPr>
      </w:pPr>
      <w:r w:rsidRPr="009C6A85">
        <w:rPr>
          <w:rFonts w:ascii="Times New Roman" w:hAnsi="Times New Roman" w:cs="Times New Roman"/>
          <w:lang w:val="en-GB"/>
        </w:rPr>
        <w:t xml:space="preserve">This study was conducted at the </w:t>
      </w:r>
      <w:proofErr w:type="spellStart"/>
      <w:r w:rsidRPr="009C6A85">
        <w:rPr>
          <w:rFonts w:ascii="Times New Roman" w:hAnsi="Times New Roman" w:cs="Times New Roman"/>
          <w:lang w:val="en-GB"/>
        </w:rPr>
        <w:t>Biosurgical</w:t>
      </w:r>
      <w:proofErr w:type="spellEnd"/>
      <w:r w:rsidRPr="009C6A85">
        <w:rPr>
          <w:rFonts w:ascii="Times New Roman" w:hAnsi="Times New Roman" w:cs="Times New Roman"/>
          <w:lang w:val="en-GB"/>
        </w:rPr>
        <w:t xml:space="preserve"> Research Laboratory of the Alain Carpentier Foundation in Paris</w:t>
      </w:r>
      <w:r>
        <w:rPr>
          <w:rFonts w:ascii="Times New Roman" w:hAnsi="Times New Roman" w:cs="Times New Roman"/>
          <w:lang w:val="en-GB"/>
        </w:rPr>
        <w:t xml:space="preserve">. </w:t>
      </w:r>
      <w:r w:rsidR="00D70F03" w:rsidRPr="009C6A85">
        <w:rPr>
          <w:rFonts w:ascii="Times New Roman" w:hAnsi="Times New Roman" w:cs="Times New Roman"/>
          <w:lang w:val="en-GB"/>
        </w:rPr>
        <w:t xml:space="preserve">Animals were housed in a dedicated facility, under regulated temperature and ventilation conditions, respecting natural light-dark cycles. Fifty-six 12-week-old female Wistar rats and forty-one 3-month-old female Large White pigs were used in total for this study. </w:t>
      </w:r>
    </w:p>
    <w:p w14:paraId="2393D229" w14:textId="77777777" w:rsidR="00D70F03" w:rsidRPr="00D70F03" w:rsidRDefault="00D70F03" w:rsidP="002D0FB2">
      <w:pPr>
        <w:jc w:val="both"/>
        <w:rPr>
          <w:lang w:val="en-GB"/>
        </w:rPr>
      </w:pPr>
    </w:p>
    <w:p w14:paraId="2393D22A" w14:textId="77777777" w:rsidR="00832A7D" w:rsidRPr="00BE26F4" w:rsidRDefault="00832A7D" w:rsidP="002D0FB2">
      <w:pPr>
        <w:spacing w:after="200" w:line="276" w:lineRule="auto"/>
        <w:jc w:val="both"/>
        <w:rPr>
          <w:rFonts w:ascii="Times New Roman" w:hAnsi="Times New Roman" w:cs="Times New Roman"/>
          <w:b/>
          <w:lang w:val="en-GB"/>
        </w:rPr>
      </w:pPr>
      <w:r w:rsidRPr="00BE26F4">
        <w:rPr>
          <w:rFonts w:ascii="Times New Roman" w:hAnsi="Times New Roman" w:cs="Times New Roman"/>
          <w:b/>
          <w:lang w:val="en-GB"/>
        </w:rPr>
        <w:t xml:space="preserve">Development of a rat model of </w:t>
      </w:r>
      <w:proofErr w:type="spellStart"/>
      <w:r w:rsidRPr="00BE26F4">
        <w:rPr>
          <w:rFonts w:ascii="Times New Roman" w:hAnsi="Times New Roman" w:cs="Times New Roman"/>
          <w:b/>
          <w:lang w:val="en-GB"/>
        </w:rPr>
        <w:t>gastrocutaneous</w:t>
      </w:r>
      <w:proofErr w:type="spellEnd"/>
      <w:r w:rsidRPr="00BE26F4">
        <w:rPr>
          <w:rFonts w:ascii="Times New Roman" w:hAnsi="Times New Roman" w:cs="Times New Roman"/>
          <w:b/>
          <w:lang w:val="en-GB"/>
        </w:rPr>
        <w:t xml:space="preserve"> fistulae </w:t>
      </w:r>
    </w:p>
    <w:p w14:paraId="2393D22B" w14:textId="77777777" w:rsidR="00832A7D" w:rsidRPr="00885FBC" w:rsidRDefault="00832A7D" w:rsidP="002D0FB2">
      <w:pPr>
        <w:spacing w:line="276" w:lineRule="auto"/>
        <w:jc w:val="both"/>
        <w:rPr>
          <w:rFonts w:ascii="Times New Roman" w:hAnsi="Times New Roman" w:cs="Times New Roman"/>
          <w:lang w:val="en-GB"/>
        </w:rPr>
      </w:pPr>
      <w:r w:rsidRPr="00885FBC">
        <w:rPr>
          <w:rFonts w:ascii="Times New Roman" w:hAnsi="Times New Roman" w:cs="Times New Roman"/>
          <w:lang w:val="en-GB"/>
        </w:rPr>
        <w:t xml:space="preserve">Sixteen female Wistar rats (n = 8 rats for the technical development of the model and n = 8 rats for its subsequent validation) with a mean weight of 484.4 g (range: 274.0 – 810.0 g) were used for this part of the study. </w:t>
      </w:r>
    </w:p>
    <w:p w14:paraId="2393D22C" w14:textId="77777777" w:rsidR="007603C4" w:rsidRPr="007603C4" w:rsidRDefault="007603C4" w:rsidP="002D0FB2">
      <w:pPr>
        <w:spacing w:line="276" w:lineRule="auto"/>
        <w:jc w:val="both"/>
        <w:rPr>
          <w:rFonts w:ascii="Times New Roman" w:hAnsi="Times New Roman" w:cs="Times New Roman"/>
          <w:lang w:val="en-GB"/>
        </w:rPr>
      </w:pPr>
    </w:p>
    <w:p w14:paraId="2393D22D" w14:textId="77777777" w:rsidR="007603C4" w:rsidRDefault="007603C4"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 xml:space="preserve">Sleeve gastrectomy and </w:t>
      </w:r>
      <w:proofErr w:type="spellStart"/>
      <w:r w:rsidRPr="009C6A85">
        <w:rPr>
          <w:rFonts w:ascii="Times New Roman" w:hAnsi="Times New Roman" w:cs="Times New Roman"/>
          <w:i/>
          <w:lang w:val="en-GB"/>
        </w:rPr>
        <w:t>gastrocutaneous</w:t>
      </w:r>
      <w:proofErr w:type="spellEnd"/>
      <w:r w:rsidRPr="009C6A85">
        <w:rPr>
          <w:rFonts w:ascii="Times New Roman" w:hAnsi="Times New Roman" w:cs="Times New Roman"/>
          <w:i/>
          <w:lang w:val="en-GB"/>
        </w:rPr>
        <w:t xml:space="preserve"> fistula creation</w:t>
      </w:r>
    </w:p>
    <w:p w14:paraId="2393D22E" w14:textId="77777777" w:rsidR="007603C4" w:rsidRPr="009C6A85" w:rsidRDefault="007603C4" w:rsidP="002D0FB2">
      <w:pPr>
        <w:spacing w:line="276" w:lineRule="auto"/>
        <w:jc w:val="both"/>
        <w:rPr>
          <w:rFonts w:ascii="Times New Roman" w:hAnsi="Times New Roman" w:cs="Times New Roman"/>
          <w:color w:val="FF0000"/>
          <w:lang w:val="en-GB"/>
        </w:rPr>
      </w:pPr>
      <w:r w:rsidRPr="009C6A85">
        <w:rPr>
          <w:rFonts w:ascii="Times New Roman" w:hAnsi="Times New Roman" w:cs="Times New Roman"/>
          <w:lang w:val="en-GB"/>
        </w:rPr>
        <w:t xml:space="preserve">Anaesthesia was induced with 4% isoflurane (Baxter, Maurepas, France), and maintained with 1-1.5% isoflurane. Buprenorphine (0.05 mg/kg) was injected subcutaneously for </w:t>
      </w:r>
      <w:proofErr w:type="spellStart"/>
      <w:r w:rsidRPr="009C6A85">
        <w:rPr>
          <w:rFonts w:ascii="Times New Roman" w:hAnsi="Times New Roman" w:cs="Times New Roman"/>
          <w:lang w:val="en-GB"/>
        </w:rPr>
        <w:t>analgaesia</w:t>
      </w:r>
      <w:proofErr w:type="spellEnd"/>
      <w:r w:rsidRPr="009C6A85">
        <w:rPr>
          <w:rFonts w:ascii="Times New Roman" w:hAnsi="Times New Roman" w:cs="Times New Roman"/>
          <w:lang w:val="en-GB"/>
        </w:rPr>
        <w:t xml:space="preserve"> 20 minutes prior to surgery, and the animals were placed in supine position with their lower limbs spread apart. The abdomen was shaved and the skin was disinfected with povidone-iodine. A 20 mm median supra-umbilical laparotomy exposing the liver was performed. After identification of the cardia, the pylorus and </w:t>
      </w:r>
      <w:proofErr w:type="spellStart"/>
      <w:r w:rsidRPr="009C6A85">
        <w:rPr>
          <w:rFonts w:ascii="Times New Roman" w:hAnsi="Times New Roman" w:cs="Times New Roman"/>
          <w:lang w:val="en-GB"/>
        </w:rPr>
        <w:t>oesogastric</w:t>
      </w:r>
      <w:proofErr w:type="spellEnd"/>
      <w:r w:rsidRPr="009C6A85">
        <w:rPr>
          <w:rFonts w:ascii="Times New Roman" w:hAnsi="Times New Roman" w:cs="Times New Roman"/>
          <w:lang w:val="en-GB"/>
        </w:rPr>
        <w:t xml:space="preserve"> junction were individualized and separated from the left crus of the diaphragm (</w:t>
      </w:r>
      <w:r w:rsidR="00B23527" w:rsidRPr="00B23527">
        <w:rPr>
          <w:rFonts w:ascii="Times New Roman" w:hAnsi="Times New Roman" w:cs="Times New Roman"/>
          <w:b/>
          <w:bCs/>
          <w:lang w:val="en-GB"/>
        </w:rPr>
        <w:t>Supplementary f</w:t>
      </w:r>
      <w:r w:rsidRPr="00B23527">
        <w:rPr>
          <w:rFonts w:ascii="Times New Roman" w:hAnsi="Times New Roman" w:cs="Times New Roman"/>
          <w:b/>
          <w:bCs/>
          <w:lang w:val="en-GB"/>
        </w:rPr>
        <w:t>igure 1A</w:t>
      </w:r>
      <w:r w:rsidRPr="009C6A85">
        <w:rPr>
          <w:rFonts w:ascii="Times New Roman" w:hAnsi="Times New Roman" w:cs="Times New Roman"/>
          <w:lang w:val="en-GB"/>
        </w:rPr>
        <w:t xml:space="preserve">). The gastrocolic and gastrosplenic ligaments were dissected and sectioned, with elective ligation of the short gastric arteries. A sleeve gastrectomy was performed using a vertical stapler (Endo GIA™, 45 mm, purple cartridge, Covidien) between the greater curvature at a 5-millimeter distance from the pylorus and the upper part of the rumen (equivalent of the fundus for rats) and the excluded part of the stomach was removed, as shown in </w:t>
      </w:r>
      <w:r w:rsidRPr="00764CB5">
        <w:rPr>
          <w:rFonts w:ascii="Times New Roman" w:hAnsi="Times New Roman" w:cs="Times New Roman"/>
          <w:b/>
          <w:bCs/>
          <w:lang w:val="en-GB"/>
        </w:rPr>
        <w:t>Figures 1B and 1C</w:t>
      </w:r>
      <w:r w:rsidRPr="009C6A85">
        <w:rPr>
          <w:rFonts w:ascii="Times New Roman" w:hAnsi="Times New Roman" w:cs="Times New Roman"/>
          <w:lang w:val="en-GB"/>
        </w:rPr>
        <w:t xml:space="preserve">. </w:t>
      </w:r>
    </w:p>
    <w:p w14:paraId="2393D22F" w14:textId="77777777" w:rsidR="007603C4" w:rsidRDefault="007603C4" w:rsidP="002D0FB2">
      <w:pPr>
        <w:spacing w:line="276" w:lineRule="auto"/>
        <w:jc w:val="both"/>
        <w:rPr>
          <w:rFonts w:ascii="Times New Roman" w:hAnsi="Times New Roman" w:cs="Times New Roman"/>
          <w:lang w:val="en-GB"/>
        </w:rPr>
      </w:pPr>
      <w:r w:rsidRPr="009C6A85">
        <w:rPr>
          <w:rFonts w:ascii="Times New Roman" w:hAnsi="Times New Roman" w:cs="Times New Roman"/>
          <w:lang w:val="en-GB"/>
        </w:rPr>
        <w:t>The distal part of the residual rumen was then pulled through the posterior and anterior fasciae of the rectus abdominis and the subcutaneous space to a 3×3 mm biconcave incision on the left flank o</w:t>
      </w:r>
      <w:r w:rsidRPr="00BE26F4">
        <w:rPr>
          <w:rFonts w:ascii="Times New Roman" w:hAnsi="Times New Roman" w:cs="Times New Roman"/>
          <w:color w:val="000000" w:themeColor="text1"/>
          <w:lang w:val="en-GB"/>
        </w:rPr>
        <w:t>f the rat via a staggered passage (</w:t>
      </w:r>
      <w:r w:rsidR="00B23527" w:rsidRPr="00BE26F4">
        <w:rPr>
          <w:rFonts w:ascii="Times New Roman" w:hAnsi="Times New Roman" w:cs="Times New Roman"/>
          <w:b/>
          <w:bCs/>
          <w:color w:val="000000" w:themeColor="text1"/>
          <w:lang w:val="en-GB"/>
        </w:rPr>
        <w:t xml:space="preserve">Supplementary </w:t>
      </w:r>
      <w:r w:rsidRPr="00BE26F4">
        <w:rPr>
          <w:rFonts w:ascii="Times New Roman" w:hAnsi="Times New Roman" w:cs="Times New Roman"/>
          <w:b/>
          <w:bCs/>
          <w:color w:val="000000" w:themeColor="text1"/>
          <w:lang w:val="en-GB"/>
        </w:rPr>
        <w:t>Figures 1D-1E</w:t>
      </w:r>
      <w:r w:rsidRPr="00BE26F4">
        <w:rPr>
          <w:rFonts w:ascii="Times New Roman" w:hAnsi="Times New Roman" w:cs="Times New Roman"/>
          <w:color w:val="000000" w:themeColor="text1"/>
          <w:lang w:val="en-GB"/>
        </w:rPr>
        <w:t>), thus creating a 5-millimeter long tract, which was secured to the skin through four stitches (</w:t>
      </w:r>
      <w:proofErr w:type="spellStart"/>
      <w:r w:rsidRPr="00BE26F4">
        <w:rPr>
          <w:rFonts w:ascii="Times New Roman" w:hAnsi="Times New Roman" w:cs="Times New Roman"/>
          <w:color w:val="000000" w:themeColor="text1"/>
          <w:lang w:val="en-GB"/>
        </w:rPr>
        <w:t>Vicryl</w:t>
      </w:r>
      <w:proofErr w:type="spellEnd"/>
      <w:r w:rsidRPr="00BE26F4">
        <w:rPr>
          <w:rFonts w:ascii="Times New Roman" w:hAnsi="Times New Roman" w:cs="Times New Roman"/>
          <w:color w:val="000000" w:themeColor="text1"/>
          <w:lang w:val="en-GB"/>
        </w:rPr>
        <w:t xml:space="preserve"> 6/0). </w:t>
      </w:r>
    </w:p>
    <w:p w14:paraId="2393D230" w14:textId="77777777" w:rsidR="007603C4" w:rsidRPr="009C6A85" w:rsidRDefault="007603C4" w:rsidP="002D0FB2">
      <w:pPr>
        <w:spacing w:line="276" w:lineRule="auto"/>
        <w:jc w:val="both"/>
        <w:rPr>
          <w:rFonts w:ascii="Times New Roman" w:hAnsi="Times New Roman" w:cs="Times New Roman"/>
          <w:lang w:val="en-GB"/>
        </w:rPr>
      </w:pPr>
    </w:p>
    <w:p w14:paraId="2393D231" w14:textId="77777777" w:rsidR="007603C4" w:rsidRPr="009C6A85" w:rsidRDefault="007603C4"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Post-operative care</w:t>
      </w:r>
    </w:p>
    <w:p w14:paraId="2393D232" w14:textId="77777777" w:rsidR="007603C4" w:rsidRDefault="007603C4" w:rsidP="002D0FB2">
      <w:pPr>
        <w:spacing w:line="276" w:lineRule="auto"/>
        <w:jc w:val="both"/>
        <w:rPr>
          <w:rFonts w:ascii="Times New Roman" w:hAnsi="Times New Roman" w:cs="Times New Roman"/>
          <w:lang w:val="en-GB"/>
        </w:rPr>
      </w:pPr>
      <w:r w:rsidRPr="009C6A85">
        <w:rPr>
          <w:rFonts w:ascii="Times New Roman" w:hAnsi="Times New Roman" w:cs="Times New Roman"/>
          <w:lang w:val="en-GB"/>
        </w:rPr>
        <w:t xml:space="preserve">Access to 50 mL of liquid diet per day was provided on post-operative days (POD) 1 and 2. Water was reintroduced on POD 2, and the animals received a standard solid diet from POD 3 onwards (C 1314, </w:t>
      </w:r>
      <w:proofErr w:type="spellStart"/>
      <w:r w:rsidRPr="009C6A85">
        <w:rPr>
          <w:rFonts w:ascii="Times New Roman" w:hAnsi="Times New Roman" w:cs="Times New Roman"/>
          <w:lang w:val="en-GB"/>
        </w:rPr>
        <w:t>Altromin</w:t>
      </w:r>
      <w:proofErr w:type="spellEnd"/>
      <w:r w:rsidRPr="009C6A85">
        <w:rPr>
          <w:rFonts w:ascii="Times New Roman" w:hAnsi="Times New Roman" w:cs="Times New Roman"/>
          <w:lang w:val="en-GB"/>
        </w:rPr>
        <w:t xml:space="preserve">, </w:t>
      </w:r>
      <w:proofErr w:type="spellStart"/>
      <w:r w:rsidRPr="009C6A85">
        <w:rPr>
          <w:rFonts w:ascii="Times New Roman" w:hAnsi="Times New Roman" w:cs="Times New Roman"/>
          <w:lang w:val="en-GB"/>
        </w:rPr>
        <w:t>Genestil</w:t>
      </w:r>
      <w:proofErr w:type="spellEnd"/>
      <w:r w:rsidRPr="009C6A85">
        <w:rPr>
          <w:rFonts w:ascii="Times New Roman" w:hAnsi="Times New Roman" w:cs="Times New Roman"/>
          <w:lang w:val="en-GB"/>
        </w:rPr>
        <w:t>). Isotonic glucose (5 mL) and penicillin G (0.5 µL/g; 20,000 IU/mL) were injected intramuscularly on POD 1. Buprenorphine (0.05 mg/kg/day) was administered subcutaneously from POD 1 to POD 3 as needed. Rats were kept in individual cages until POD 7, then returned to two animals per cage.</w:t>
      </w:r>
    </w:p>
    <w:p w14:paraId="2393D233" w14:textId="77777777" w:rsidR="0057229B" w:rsidRDefault="0057229B" w:rsidP="002D0FB2">
      <w:pPr>
        <w:spacing w:line="276" w:lineRule="auto"/>
        <w:jc w:val="both"/>
        <w:rPr>
          <w:rFonts w:ascii="Times New Roman" w:hAnsi="Times New Roman" w:cs="Times New Roman"/>
          <w:lang w:val="en-GB"/>
        </w:rPr>
      </w:pPr>
    </w:p>
    <w:p w14:paraId="2393D234" w14:textId="77777777" w:rsidR="0057229B" w:rsidRPr="009C6A85" w:rsidRDefault="0057229B"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Follow-up</w:t>
      </w:r>
    </w:p>
    <w:p w14:paraId="2393D235" w14:textId="77777777" w:rsidR="0057229B" w:rsidRDefault="4E006487" w:rsidP="002D0FB2">
      <w:pPr>
        <w:spacing w:line="276" w:lineRule="auto"/>
        <w:jc w:val="both"/>
        <w:rPr>
          <w:rFonts w:ascii="Times New Roman" w:hAnsi="Times New Roman" w:cs="Times New Roman"/>
          <w:lang w:val="en-GB"/>
        </w:rPr>
      </w:pPr>
      <w:r w:rsidRPr="4E006487">
        <w:rPr>
          <w:rFonts w:ascii="Times New Roman" w:hAnsi="Times New Roman" w:cs="Times New Roman"/>
          <w:lang w:val="en-GB"/>
        </w:rPr>
        <w:lastRenderedPageBreak/>
        <w:t xml:space="preserve">Animals were monitored daily for signs of dehydration and weighed once weekly over a period of 6 weeks. The primary outcome was fistula patency at POD45. Rats were euthanized on POD 45 by intracardiac injection of thiopental. The </w:t>
      </w:r>
      <w:proofErr w:type="spellStart"/>
      <w:r w:rsidRPr="4E006487">
        <w:rPr>
          <w:rFonts w:ascii="Times New Roman" w:hAnsi="Times New Roman" w:cs="Times New Roman"/>
          <w:lang w:val="en-GB"/>
        </w:rPr>
        <w:t>gastrocutaneous</w:t>
      </w:r>
      <w:proofErr w:type="spellEnd"/>
      <w:r w:rsidRPr="4E006487">
        <w:rPr>
          <w:rFonts w:ascii="Times New Roman" w:hAnsi="Times New Roman" w:cs="Times New Roman"/>
          <w:lang w:val="en-GB"/>
        </w:rPr>
        <w:t xml:space="preserve"> fistula tract and its periphery were collected for histological evaluation.</w:t>
      </w:r>
    </w:p>
    <w:p w14:paraId="2393D236" w14:textId="77777777" w:rsidR="0057229B" w:rsidRDefault="0057229B" w:rsidP="002D0FB2">
      <w:pPr>
        <w:spacing w:line="276" w:lineRule="auto"/>
        <w:jc w:val="both"/>
        <w:rPr>
          <w:rFonts w:ascii="Times New Roman" w:hAnsi="Times New Roman" w:cs="Times New Roman"/>
          <w:lang w:val="en-GB"/>
        </w:rPr>
      </w:pPr>
    </w:p>
    <w:p w14:paraId="2393D237" w14:textId="77777777" w:rsidR="0057229B" w:rsidRDefault="0057229B" w:rsidP="002D0FB2">
      <w:pPr>
        <w:spacing w:line="276" w:lineRule="auto"/>
        <w:jc w:val="both"/>
        <w:rPr>
          <w:rFonts w:ascii="Times New Roman" w:hAnsi="Times New Roman" w:cs="Times New Roman"/>
          <w:lang w:val="en-GB"/>
        </w:rPr>
      </w:pPr>
    </w:p>
    <w:p w14:paraId="2393D238" w14:textId="22095D5D" w:rsidR="0057229B" w:rsidRDefault="724A2AEA" w:rsidP="002D0FB2">
      <w:pPr>
        <w:spacing w:line="276" w:lineRule="auto"/>
        <w:jc w:val="both"/>
        <w:rPr>
          <w:rFonts w:ascii="Times New Roman" w:hAnsi="Times New Roman" w:cs="Times New Roman"/>
          <w:b/>
          <w:bCs/>
          <w:lang w:val="en-GB"/>
        </w:rPr>
      </w:pPr>
      <w:r w:rsidRPr="724A2AEA">
        <w:rPr>
          <w:rFonts w:ascii="Times New Roman" w:hAnsi="Times New Roman" w:cs="Times New Roman"/>
          <w:b/>
          <w:bCs/>
          <w:lang w:val="en-GB"/>
        </w:rPr>
        <w:t xml:space="preserve">Results of </w:t>
      </w:r>
      <w:r w:rsidR="00764CB5">
        <w:rPr>
          <w:rFonts w:ascii="Times New Roman" w:hAnsi="Times New Roman" w:cs="Times New Roman"/>
          <w:b/>
          <w:bCs/>
          <w:lang w:val="en-GB"/>
        </w:rPr>
        <w:t xml:space="preserve">the </w:t>
      </w:r>
      <w:r w:rsidRPr="724A2AEA">
        <w:rPr>
          <w:rFonts w:ascii="Times New Roman" w:hAnsi="Times New Roman" w:cs="Times New Roman"/>
          <w:b/>
          <w:bCs/>
          <w:lang w:val="en-GB"/>
        </w:rPr>
        <w:t xml:space="preserve">development rat model of </w:t>
      </w:r>
      <w:proofErr w:type="spellStart"/>
      <w:r w:rsidRPr="724A2AEA">
        <w:rPr>
          <w:rFonts w:ascii="Times New Roman" w:hAnsi="Times New Roman" w:cs="Times New Roman"/>
          <w:b/>
          <w:bCs/>
          <w:lang w:val="en-GB"/>
        </w:rPr>
        <w:t>gastrocutaneous</w:t>
      </w:r>
      <w:proofErr w:type="spellEnd"/>
      <w:r w:rsidRPr="724A2AEA">
        <w:rPr>
          <w:rFonts w:ascii="Times New Roman" w:hAnsi="Times New Roman" w:cs="Times New Roman"/>
          <w:b/>
          <w:bCs/>
          <w:lang w:val="en-GB"/>
        </w:rPr>
        <w:t xml:space="preserve"> fistulae</w:t>
      </w:r>
    </w:p>
    <w:p w14:paraId="2393D239" w14:textId="77777777" w:rsidR="0057229B" w:rsidRPr="009C6A85" w:rsidRDefault="0057229B" w:rsidP="002D0FB2">
      <w:pPr>
        <w:spacing w:line="276" w:lineRule="auto"/>
        <w:jc w:val="both"/>
        <w:rPr>
          <w:rFonts w:ascii="Times New Roman" w:hAnsi="Times New Roman" w:cs="Times New Roman"/>
          <w:b/>
          <w:lang w:val="en-GB"/>
        </w:rPr>
      </w:pPr>
    </w:p>
    <w:p w14:paraId="2393D23A" w14:textId="77777777" w:rsidR="003112D0" w:rsidRPr="003112D0" w:rsidRDefault="724A2AEA" w:rsidP="002D0FB2">
      <w:pPr>
        <w:spacing w:line="276" w:lineRule="auto"/>
        <w:jc w:val="both"/>
        <w:rPr>
          <w:rFonts w:ascii="Times New Roman" w:hAnsi="Times New Roman" w:cs="Times New Roman"/>
          <w:lang w:val="en-GB"/>
        </w:rPr>
      </w:pPr>
      <w:proofErr w:type="spellStart"/>
      <w:r w:rsidRPr="724A2AEA">
        <w:rPr>
          <w:rFonts w:ascii="Times New Roman" w:hAnsi="Times New Roman" w:cs="Times New Roman"/>
          <w:lang w:val="en-GB"/>
        </w:rPr>
        <w:t>Gastrocutaneous</w:t>
      </w:r>
      <w:proofErr w:type="spellEnd"/>
      <w:r w:rsidRPr="724A2AEA">
        <w:rPr>
          <w:rFonts w:ascii="Times New Roman" w:hAnsi="Times New Roman" w:cs="Times New Roman"/>
          <w:lang w:val="en-GB"/>
        </w:rPr>
        <w:t xml:space="preserve"> fistulae following sleeve gastrectomy were surgically induced in a total of 16 rats, including 8 rats for the technical development of the model, and 8 for its subsequent validation. Mean operative time was 27.5 minutes (range 20 – 41 minutes). Two animals were euthanized at POD 38 as per the predetermined humane intervention points due to uncontrolled extracellular dehydration leading to a total body weight loss of over 30% of the initial weight. They were not excluded from subsequent analyses. No other severe adverse events were observed. Mean total body weight loss at the end of follow-up reached 16.42% (range 0.65 – 45.15%). Clinical examination at the end of follow-up evidenced patent fistulae with active output in all cases (</w:t>
      </w:r>
      <w:r w:rsidRPr="724A2AEA">
        <w:rPr>
          <w:rFonts w:ascii="Times New Roman" w:hAnsi="Times New Roman" w:cs="Times New Roman"/>
          <w:b/>
          <w:bCs/>
          <w:lang w:val="en-GB"/>
        </w:rPr>
        <w:t>Supplementary Figure 1F</w:t>
      </w:r>
      <w:r w:rsidRPr="724A2AEA">
        <w:rPr>
          <w:rFonts w:ascii="Times New Roman" w:hAnsi="Times New Roman" w:cs="Times New Roman"/>
          <w:lang w:val="en-GB"/>
        </w:rPr>
        <w:t>).</w:t>
      </w:r>
    </w:p>
    <w:p w14:paraId="2393D23B" w14:textId="77777777" w:rsidR="00832A7D" w:rsidRPr="00832A7D" w:rsidRDefault="00832A7D" w:rsidP="002D0FB2">
      <w:pPr>
        <w:spacing w:after="200" w:line="276" w:lineRule="auto"/>
        <w:jc w:val="both"/>
        <w:rPr>
          <w:rFonts w:ascii="Times New Roman" w:hAnsi="Times New Roman" w:cs="Times New Roman"/>
          <w:b/>
          <w:lang w:val="en-GB"/>
        </w:rPr>
      </w:pPr>
    </w:p>
    <w:p w14:paraId="2393D23C" w14:textId="77777777" w:rsidR="00832A7D" w:rsidRPr="009C6A85" w:rsidRDefault="724A2AEA" w:rsidP="002D0FB2">
      <w:pPr>
        <w:spacing w:after="200" w:line="276" w:lineRule="auto"/>
        <w:jc w:val="both"/>
        <w:rPr>
          <w:rFonts w:ascii="Times New Roman" w:hAnsi="Times New Roman" w:cs="Times New Roman"/>
          <w:lang w:val="en-GB"/>
        </w:rPr>
      </w:pPr>
      <w:r w:rsidRPr="724A2AEA">
        <w:rPr>
          <w:rFonts w:ascii="Times New Roman" w:hAnsi="Times New Roman" w:cs="Times New Roman"/>
          <w:b/>
          <w:bCs/>
          <w:lang w:val="en-GB"/>
        </w:rPr>
        <w:t xml:space="preserve">Development of a pig model of </w:t>
      </w:r>
      <w:proofErr w:type="spellStart"/>
      <w:r w:rsidRPr="724A2AEA">
        <w:rPr>
          <w:rFonts w:ascii="Times New Roman" w:hAnsi="Times New Roman" w:cs="Times New Roman"/>
          <w:b/>
          <w:bCs/>
          <w:lang w:val="en-GB"/>
        </w:rPr>
        <w:t>gastrocutaneous</w:t>
      </w:r>
      <w:proofErr w:type="spellEnd"/>
      <w:r w:rsidRPr="724A2AEA">
        <w:rPr>
          <w:rFonts w:ascii="Times New Roman" w:hAnsi="Times New Roman" w:cs="Times New Roman"/>
          <w:b/>
          <w:bCs/>
          <w:lang w:val="en-GB"/>
        </w:rPr>
        <w:t xml:space="preserve"> fistula</w:t>
      </w:r>
    </w:p>
    <w:p w14:paraId="2393D23D" w14:textId="77777777" w:rsidR="00832A7D" w:rsidRDefault="4E006487" w:rsidP="002D0FB2">
      <w:pPr>
        <w:jc w:val="both"/>
        <w:rPr>
          <w:rFonts w:ascii="Times New Roman" w:hAnsi="Times New Roman" w:cs="Times New Roman"/>
          <w:color w:val="FF0000"/>
          <w:lang w:val="en-GB"/>
        </w:rPr>
      </w:pPr>
      <w:r w:rsidRPr="4E006487">
        <w:rPr>
          <w:rFonts w:ascii="Times New Roman" w:hAnsi="Times New Roman" w:cs="Times New Roman"/>
          <w:lang w:val="en-GB"/>
        </w:rPr>
        <w:t>14 female Large White pigs (n = 8 pigs for the technical development of the model and n = 6 pigs for its subsequent validation) with a mean weight of 46.1 kg (range: 42.0 – 54.0 kg) were used for this part of the study. All animals received a liquid diet on the day prior to surgery and were fasted overnight before the operation.</w:t>
      </w:r>
    </w:p>
    <w:p w14:paraId="2393D23E" w14:textId="77777777" w:rsidR="00832A7D" w:rsidRDefault="00832A7D" w:rsidP="002D0FB2">
      <w:pPr>
        <w:jc w:val="both"/>
        <w:rPr>
          <w:rFonts w:ascii="Times New Roman" w:hAnsi="Times New Roman" w:cs="Times New Roman"/>
          <w:color w:val="FF0000"/>
          <w:lang w:val="en-GB"/>
        </w:rPr>
      </w:pPr>
    </w:p>
    <w:p w14:paraId="2393D23F" w14:textId="77777777" w:rsidR="00832A7D" w:rsidRPr="009C6A85" w:rsidRDefault="00832A7D" w:rsidP="002D0FB2">
      <w:pPr>
        <w:spacing w:line="276" w:lineRule="auto"/>
        <w:jc w:val="both"/>
        <w:rPr>
          <w:rFonts w:ascii="Times New Roman" w:hAnsi="Times New Roman" w:cs="Times New Roman"/>
          <w:lang w:val="en-GB"/>
        </w:rPr>
      </w:pPr>
      <w:r w:rsidRPr="009C6A85">
        <w:rPr>
          <w:rFonts w:ascii="Times New Roman" w:hAnsi="Times New Roman" w:cs="Times New Roman"/>
          <w:lang w:val="en-GB"/>
        </w:rPr>
        <w:t>Three different protocols were tested for the sleeve gastrectomy:</w:t>
      </w:r>
    </w:p>
    <w:p w14:paraId="2393D240" w14:textId="77777777" w:rsidR="00832A7D" w:rsidRPr="009C6A85" w:rsidRDefault="724A2AEA" w:rsidP="002D0FB2">
      <w:pPr>
        <w:pStyle w:val="Paragraphedeliste"/>
        <w:numPr>
          <w:ilvl w:val="0"/>
          <w:numId w:val="7"/>
        </w:numPr>
        <w:spacing w:after="200" w:line="276" w:lineRule="auto"/>
        <w:jc w:val="both"/>
        <w:rPr>
          <w:rFonts w:ascii="Times New Roman" w:hAnsi="Times New Roman" w:cs="Times New Roman"/>
          <w:lang w:val="en-GB"/>
        </w:rPr>
      </w:pPr>
      <w:r w:rsidRPr="724A2AEA">
        <w:rPr>
          <w:rFonts w:ascii="Times New Roman" w:hAnsi="Times New Roman" w:cs="Times New Roman"/>
          <w:lang w:val="en-GB"/>
        </w:rPr>
        <w:t xml:space="preserve">Preservation of the fundic pouch (n = 3 pigs, </w:t>
      </w:r>
      <w:r w:rsidRPr="724A2AEA">
        <w:rPr>
          <w:rFonts w:ascii="Times New Roman" w:hAnsi="Times New Roman" w:cs="Times New Roman"/>
          <w:b/>
          <w:bCs/>
          <w:lang w:val="en-GB"/>
        </w:rPr>
        <w:t>Figure 2A</w:t>
      </w:r>
      <w:r w:rsidRPr="724A2AEA">
        <w:rPr>
          <w:rFonts w:ascii="Times New Roman" w:hAnsi="Times New Roman" w:cs="Times New Roman"/>
          <w:lang w:val="en-GB"/>
        </w:rPr>
        <w:t xml:space="preserve">): the stapling was terminated at the level of the greater curvature, beneath the fundic pouch, thus preserving the fundic pouch as a reserve for alimentation and facilitating the subsequent creation of </w:t>
      </w:r>
      <w:proofErr w:type="spellStart"/>
      <w:r w:rsidRPr="724A2AEA">
        <w:rPr>
          <w:rFonts w:ascii="Times New Roman" w:hAnsi="Times New Roman" w:cs="Times New Roman"/>
          <w:lang w:val="en-GB"/>
        </w:rPr>
        <w:t>gastrocutaneous</w:t>
      </w:r>
      <w:proofErr w:type="spellEnd"/>
      <w:r w:rsidRPr="724A2AEA">
        <w:rPr>
          <w:rFonts w:ascii="Times New Roman" w:hAnsi="Times New Roman" w:cs="Times New Roman"/>
          <w:lang w:val="en-GB"/>
        </w:rPr>
        <w:t xml:space="preserve"> fistulae.</w:t>
      </w:r>
    </w:p>
    <w:p w14:paraId="2393D241" w14:textId="77777777" w:rsidR="00832A7D" w:rsidRPr="009C6A85" w:rsidRDefault="724A2AEA" w:rsidP="002D0FB2">
      <w:pPr>
        <w:pStyle w:val="Paragraphedeliste"/>
        <w:numPr>
          <w:ilvl w:val="0"/>
          <w:numId w:val="7"/>
        </w:numPr>
        <w:spacing w:after="200" w:line="276" w:lineRule="auto"/>
        <w:jc w:val="both"/>
        <w:rPr>
          <w:rFonts w:ascii="Times New Roman" w:hAnsi="Times New Roman" w:cs="Times New Roman"/>
          <w:lang w:val="en-GB"/>
        </w:rPr>
      </w:pPr>
      <w:r w:rsidRPr="724A2AEA">
        <w:rPr>
          <w:rFonts w:ascii="Times New Roman" w:hAnsi="Times New Roman" w:cs="Times New Roman"/>
          <w:lang w:val="en-GB"/>
        </w:rPr>
        <w:t xml:space="preserve">Total resection of the fundic pouch (n = 2 pigs, </w:t>
      </w:r>
      <w:r w:rsidRPr="724A2AEA">
        <w:rPr>
          <w:rFonts w:ascii="Times New Roman" w:hAnsi="Times New Roman" w:cs="Times New Roman"/>
          <w:b/>
          <w:bCs/>
          <w:lang w:val="en-GB"/>
        </w:rPr>
        <w:t>Figure 2B</w:t>
      </w:r>
      <w:r w:rsidRPr="724A2AEA">
        <w:rPr>
          <w:rFonts w:ascii="Times New Roman" w:hAnsi="Times New Roman" w:cs="Times New Roman"/>
          <w:lang w:val="en-GB"/>
        </w:rPr>
        <w:t xml:space="preserve">): the stapling was terminated at the level of the cardia near the </w:t>
      </w:r>
      <w:proofErr w:type="spellStart"/>
      <w:r w:rsidRPr="724A2AEA">
        <w:rPr>
          <w:rFonts w:ascii="Times New Roman" w:hAnsi="Times New Roman" w:cs="Times New Roman"/>
          <w:lang w:val="en-GB"/>
        </w:rPr>
        <w:t>oesogastric</w:t>
      </w:r>
      <w:proofErr w:type="spellEnd"/>
      <w:r w:rsidRPr="724A2AEA">
        <w:rPr>
          <w:rFonts w:ascii="Times New Roman" w:hAnsi="Times New Roman" w:cs="Times New Roman"/>
          <w:lang w:val="en-GB"/>
        </w:rPr>
        <w:t xml:space="preserve"> junction, thus resecting the fundic pouch entirely and reproducing the procedure of sleeve gastrectomy as it is performed in humans.</w:t>
      </w:r>
    </w:p>
    <w:p w14:paraId="2393D242" w14:textId="77777777" w:rsidR="0057229B" w:rsidRPr="0057229B" w:rsidRDefault="724A2AEA" w:rsidP="002D0FB2">
      <w:pPr>
        <w:pStyle w:val="Paragraphedeliste"/>
        <w:numPr>
          <w:ilvl w:val="0"/>
          <w:numId w:val="7"/>
        </w:numPr>
        <w:spacing w:after="200" w:line="276" w:lineRule="auto"/>
        <w:jc w:val="both"/>
        <w:rPr>
          <w:rFonts w:ascii="Times New Roman" w:hAnsi="Times New Roman" w:cs="Times New Roman"/>
          <w:lang w:val="en-GB"/>
        </w:rPr>
      </w:pPr>
      <w:r w:rsidRPr="724A2AEA">
        <w:rPr>
          <w:rFonts w:ascii="Times New Roman" w:hAnsi="Times New Roman" w:cs="Times New Roman"/>
          <w:lang w:val="en-GB"/>
        </w:rPr>
        <w:t xml:space="preserve">Partial resection of the fundic pouch (n = 3 pigs, </w:t>
      </w:r>
      <w:r w:rsidRPr="724A2AEA">
        <w:rPr>
          <w:rFonts w:ascii="Times New Roman" w:hAnsi="Times New Roman" w:cs="Times New Roman"/>
          <w:b/>
          <w:bCs/>
          <w:lang w:val="en-GB"/>
        </w:rPr>
        <w:t>Figure 2C</w:t>
      </w:r>
      <w:r w:rsidRPr="724A2AEA">
        <w:rPr>
          <w:rFonts w:ascii="Times New Roman" w:hAnsi="Times New Roman" w:cs="Times New Roman"/>
          <w:lang w:val="en-GB"/>
        </w:rPr>
        <w:t xml:space="preserve">): the stapling was terminated at the level of the fundus, 4 to 6 cm from the </w:t>
      </w:r>
      <w:proofErr w:type="spellStart"/>
      <w:r w:rsidRPr="724A2AEA">
        <w:rPr>
          <w:rFonts w:ascii="Times New Roman" w:hAnsi="Times New Roman" w:cs="Times New Roman"/>
          <w:lang w:val="en-GB"/>
        </w:rPr>
        <w:t>oesogastric</w:t>
      </w:r>
      <w:proofErr w:type="spellEnd"/>
      <w:r w:rsidRPr="724A2AEA">
        <w:rPr>
          <w:rFonts w:ascii="Times New Roman" w:hAnsi="Times New Roman" w:cs="Times New Roman"/>
          <w:lang w:val="en-GB"/>
        </w:rPr>
        <w:t xml:space="preserve"> junction, thus preserving part of the fundic pouch and inducing a light stenosis at the level of the lesser curvature.</w:t>
      </w:r>
    </w:p>
    <w:p w14:paraId="2393D243" w14:textId="77777777" w:rsidR="0057229B" w:rsidRPr="009C6A85" w:rsidRDefault="0057229B"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Post-operative care</w:t>
      </w:r>
    </w:p>
    <w:p w14:paraId="2393D244" w14:textId="41137459" w:rsidR="0057229B" w:rsidRPr="00764CB5" w:rsidRDefault="724A2AEA" w:rsidP="002D0FB2">
      <w:pPr>
        <w:widowControl w:val="0"/>
        <w:spacing w:after="240"/>
        <w:jc w:val="both"/>
        <w:rPr>
          <w:rFonts w:ascii="Times New Roman" w:hAnsi="Times New Roman" w:cs="Times New Roman"/>
          <w:lang w:val="en-GB"/>
        </w:rPr>
      </w:pPr>
      <w:r w:rsidRPr="00764CB5">
        <w:rPr>
          <w:rFonts w:ascii="Times New Roman" w:eastAsiaTheme="minorEastAsia" w:hAnsi="Times New Roman" w:cs="Times New Roman"/>
          <w:lang w:val="en-GB"/>
        </w:rPr>
        <w:t xml:space="preserve">All animals were kept in individual cages, and received a liquid diet on the day after to surgery. </w:t>
      </w:r>
      <w:r w:rsidRPr="00764CB5">
        <w:rPr>
          <w:rFonts w:ascii="Times New Roman" w:eastAsiaTheme="minorEastAsia" w:hAnsi="Times New Roman" w:cs="Times New Roman"/>
          <w:lang w:val="en-US"/>
        </w:rPr>
        <w:t xml:space="preserve">Pigs received an analgesic therapy at a dose of 0.05mg/kg (buprenorphine) subcutaneously before surgery and postoperatively at </w:t>
      </w:r>
      <w:r w:rsidR="00764CB5">
        <w:rPr>
          <w:rFonts w:ascii="Times New Roman" w:eastAsiaTheme="minorEastAsia" w:hAnsi="Times New Roman" w:cs="Times New Roman"/>
          <w:lang w:val="en-US"/>
        </w:rPr>
        <w:t>PO</w:t>
      </w:r>
      <w:r w:rsidRPr="00764CB5">
        <w:rPr>
          <w:rFonts w:ascii="Times New Roman" w:eastAsiaTheme="minorEastAsia" w:hAnsi="Times New Roman" w:cs="Times New Roman"/>
          <w:lang w:val="en-US"/>
        </w:rPr>
        <w:t>D1.</w:t>
      </w:r>
    </w:p>
    <w:p w14:paraId="2393D245" w14:textId="77777777" w:rsidR="0057229B" w:rsidRPr="009C6A85" w:rsidRDefault="0057229B"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Follow-up</w:t>
      </w:r>
    </w:p>
    <w:p w14:paraId="2393D246" w14:textId="77777777" w:rsidR="0057229B" w:rsidRPr="00764CB5" w:rsidRDefault="724A2AEA" w:rsidP="002D0FB2">
      <w:pPr>
        <w:spacing w:line="276" w:lineRule="auto"/>
        <w:jc w:val="both"/>
        <w:rPr>
          <w:rFonts w:ascii="Times New Roman" w:hAnsi="Times New Roman" w:cs="Times New Roman"/>
          <w:lang w:val="en-GB"/>
        </w:rPr>
      </w:pPr>
      <w:r w:rsidRPr="00764CB5">
        <w:rPr>
          <w:rFonts w:ascii="Times New Roman" w:hAnsi="Times New Roman" w:cs="Times New Roman"/>
          <w:lang w:val="en-GB"/>
        </w:rPr>
        <w:lastRenderedPageBreak/>
        <w:t xml:space="preserve">Animals were monitored daily for signs of </w:t>
      </w:r>
      <w:proofErr w:type="spellStart"/>
      <w:r w:rsidRPr="00764CB5">
        <w:rPr>
          <w:rFonts w:ascii="Times New Roman" w:hAnsi="Times New Roman" w:cs="Times New Roman"/>
          <w:lang w:val="en-GB"/>
        </w:rPr>
        <w:t>dehydratation</w:t>
      </w:r>
      <w:proofErr w:type="spellEnd"/>
      <w:r w:rsidRPr="00764CB5">
        <w:rPr>
          <w:rFonts w:ascii="Times New Roman" w:hAnsi="Times New Roman" w:cs="Times New Roman"/>
          <w:lang w:val="en-GB"/>
        </w:rPr>
        <w:t xml:space="preserve"> and weighed once weekly over a period of 4 weeks. The primary outcome was fistula patency at the end of the follow-up. Secondary outcomes included the endoscopic aspect of the internal fistula orifice and visualisation of the fistula tract by external </w:t>
      </w:r>
      <w:proofErr w:type="spellStart"/>
      <w:r w:rsidRPr="00764CB5">
        <w:rPr>
          <w:rFonts w:ascii="Times New Roman" w:hAnsi="Times New Roman" w:cs="Times New Roman"/>
          <w:lang w:val="en-GB"/>
        </w:rPr>
        <w:t>fistulography</w:t>
      </w:r>
      <w:proofErr w:type="spellEnd"/>
      <w:r w:rsidRPr="00764CB5">
        <w:rPr>
          <w:rFonts w:ascii="Times New Roman" w:hAnsi="Times New Roman" w:cs="Times New Roman"/>
          <w:lang w:val="en-GB"/>
        </w:rPr>
        <w:t xml:space="preserve">, both assessed on POD 14 and POD 28. Pigs were euthanized on </w:t>
      </w:r>
      <w:r w:rsidRPr="00764CB5">
        <w:rPr>
          <w:rFonts w:ascii="Times New Roman" w:eastAsiaTheme="minorEastAsia" w:hAnsi="Times New Roman" w:cs="Times New Roman"/>
          <w:lang w:val="en-GB"/>
        </w:rPr>
        <w:t xml:space="preserve">POD 28 by intra-venous injection of </w:t>
      </w:r>
      <w:proofErr w:type="spellStart"/>
      <w:r w:rsidRPr="00764CB5">
        <w:rPr>
          <w:rFonts w:ascii="Times New Roman" w:eastAsiaTheme="minorEastAsia" w:hAnsi="Times New Roman" w:cs="Times New Roman"/>
          <w:lang w:val="en-GB"/>
        </w:rPr>
        <w:t>Dolethal</w:t>
      </w:r>
      <w:proofErr w:type="spellEnd"/>
      <w:r w:rsidRPr="00764CB5">
        <w:rPr>
          <w:rFonts w:ascii="Times New Roman" w:eastAsiaTheme="minorEastAsia" w:hAnsi="Times New Roman" w:cs="Times New Roman"/>
          <w:lang w:val="en-GB"/>
        </w:rPr>
        <w:t xml:space="preserve">®. </w:t>
      </w:r>
      <w:proofErr w:type="spellStart"/>
      <w:r w:rsidRPr="00764CB5">
        <w:rPr>
          <w:rFonts w:ascii="Times New Roman" w:eastAsiaTheme="minorEastAsia" w:hAnsi="Times New Roman" w:cs="Times New Roman"/>
          <w:lang w:val="en-GB"/>
        </w:rPr>
        <w:t>Zühlke</w:t>
      </w:r>
      <w:proofErr w:type="spellEnd"/>
      <w:r w:rsidRPr="00764CB5">
        <w:rPr>
          <w:rFonts w:ascii="Times New Roman" w:hAnsi="Times New Roman" w:cs="Times New Roman"/>
          <w:lang w:val="en-GB"/>
        </w:rPr>
        <w:t xml:space="preserve"> score was assessed to describe the presence of adhesions </w:t>
      </w:r>
      <w:r w:rsidR="002204C3" w:rsidRPr="00764CB5">
        <w:rPr>
          <w:rFonts w:ascii="Times New Roman" w:hAnsi="Times New Roman" w:cs="Times New Roman"/>
          <w:lang w:val="en-GB"/>
        </w:rPr>
        <w:fldChar w:fldCharType="begin"/>
      </w:r>
      <w:r w:rsidR="0010346F" w:rsidRPr="00764CB5">
        <w:rPr>
          <w:rFonts w:ascii="Times New Roman" w:hAnsi="Times New Roman" w:cs="Times New Roman"/>
          <w:lang w:val="en-GB"/>
        </w:rPr>
        <w:instrText xml:space="preserve"> ADDIN ZOTERO_ITEM CSL_CITATION {"citationID":"IiqqFknc","properties":{"formattedCitation":"(1)","plainCitation":"(1)","noteIndex":0},"citationItems":[{"id":5379,"uris":["http://zotero.org/users/local/zN1MJwn5/items/RGM4MFL2"],"itemData":{"id":5379,"type":"article-journal","abstract":"The central issue in the pathophysiology of adhesions is the shift of the dynamic balance between fibrinolysis and fibrinogenesis to the side of fibrinogenesis. Permanent adhesions with the most varied morphology are formed by invasion of the fibrin network by fibroblasts and fibroid organization. Their classification by four degrees of severity is based on histological and morphological criteria. This classification has been shown useful and practicable for the objective examination and evaluation of relaparotomies in connection with expert opinion reports and animal experiments on adhesion research.","container-title":"Langenbecks Archiv fur Chirurgie. Supplement II, Verhandlungen der Deutschen Gesellschaft fur Chirurgie. Deutsche Gesellschaft fur Chirurgie. Kongress","ISSN":"0173-0541","journalAbbreviation":"Langenbecks Arch Chir Suppl II Verh Dtsch Ges Chir","language":"ger","note":"PMID: 1983476","page":"1009-1016","source":"PubMed","title":"[Pathophysiology and classification of adhesions]","author":[{"family":"Zühlke","given":"H. V."},{"family":"Lorenz","given":"E. M."},{"family":"Straub","given":"E. M."},{"family":"Savvas","given":"V."}],"issued":{"date-parts":[["1990"]]}}}],"schema":"https://github.com/citation-style-language/schema/raw/master/csl-citation.json"} </w:instrText>
      </w:r>
      <w:r w:rsidR="002204C3" w:rsidRPr="00764CB5">
        <w:rPr>
          <w:rFonts w:ascii="Times New Roman" w:hAnsi="Times New Roman" w:cs="Times New Roman"/>
          <w:lang w:val="en-GB"/>
        </w:rPr>
        <w:fldChar w:fldCharType="separate"/>
      </w:r>
      <w:r w:rsidR="0010346F" w:rsidRPr="00764CB5">
        <w:rPr>
          <w:rFonts w:ascii="Times New Roman" w:hAnsi="Times New Roman" w:cs="Times New Roman"/>
          <w:lang w:val="en-US"/>
        </w:rPr>
        <w:t>(1)</w:t>
      </w:r>
      <w:r w:rsidR="002204C3" w:rsidRPr="00764CB5">
        <w:rPr>
          <w:rFonts w:ascii="Times New Roman" w:hAnsi="Times New Roman" w:cs="Times New Roman"/>
          <w:lang w:val="en-GB"/>
        </w:rPr>
        <w:fldChar w:fldCharType="end"/>
      </w:r>
      <w:r w:rsidRPr="00764CB5">
        <w:rPr>
          <w:rFonts w:ascii="Times New Roman" w:hAnsi="Times New Roman" w:cs="Times New Roman"/>
          <w:lang w:val="en-GB"/>
        </w:rPr>
        <w:t xml:space="preserve">, then the </w:t>
      </w:r>
      <w:proofErr w:type="spellStart"/>
      <w:r w:rsidRPr="00764CB5">
        <w:rPr>
          <w:rFonts w:ascii="Times New Roman" w:hAnsi="Times New Roman" w:cs="Times New Roman"/>
          <w:lang w:val="en-GB"/>
        </w:rPr>
        <w:t>gastrocutaneous</w:t>
      </w:r>
      <w:proofErr w:type="spellEnd"/>
      <w:r w:rsidRPr="00764CB5">
        <w:rPr>
          <w:rFonts w:ascii="Times New Roman" w:hAnsi="Times New Roman" w:cs="Times New Roman"/>
          <w:lang w:val="en-GB"/>
        </w:rPr>
        <w:t xml:space="preserve"> fistula tract and its periphery were collected for histological evaluation.</w:t>
      </w:r>
    </w:p>
    <w:p w14:paraId="2393D247" w14:textId="77777777" w:rsidR="0057229B" w:rsidRPr="00764CB5" w:rsidRDefault="0057229B" w:rsidP="002D0FB2">
      <w:pPr>
        <w:spacing w:line="276" w:lineRule="auto"/>
        <w:jc w:val="both"/>
        <w:rPr>
          <w:rFonts w:ascii="Times New Roman" w:hAnsi="Times New Roman" w:cs="Times New Roman"/>
          <w:lang w:val="en-GB"/>
        </w:rPr>
      </w:pPr>
      <w:r w:rsidRPr="00764CB5">
        <w:rPr>
          <w:rFonts w:ascii="Times New Roman" w:hAnsi="Times New Roman" w:cs="Times New Roman"/>
          <w:lang w:val="en-GB"/>
        </w:rPr>
        <w:t xml:space="preserve">In a second part of the study, we aimed to evaluate the potential of ADSC-derived EVs embedded in a </w:t>
      </w:r>
      <w:proofErr w:type="spellStart"/>
      <w:r w:rsidRPr="00764CB5">
        <w:rPr>
          <w:rFonts w:ascii="Times New Roman" w:hAnsi="Times New Roman" w:cs="Times New Roman"/>
          <w:lang w:val="en-GB"/>
        </w:rPr>
        <w:t>thermoresponsive</w:t>
      </w:r>
      <w:proofErr w:type="spellEnd"/>
      <w:r w:rsidRPr="00764CB5">
        <w:rPr>
          <w:rFonts w:ascii="Times New Roman" w:hAnsi="Times New Roman" w:cs="Times New Roman"/>
          <w:lang w:val="en-GB"/>
        </w:rPr>
        <w:t xml:space="preserve"> poloxamer 407 hydrogel for the treatment of </w:t>
      </w:r>
      <w:proofErr w:type="spellStart"/>
      <w:r w:rsidRPr="00764CB5">
        <w:rPr>
          <w:rFonts w:ascii="Times New Roman" w:hAnsi="Times New Roman" w:cs="Times New Roman"/>
          <w:lang w:val="en-GB"/>
        </w:rPr>
        <w:t>gastrocutaneous</w:t>
      </w:r>
      <w:proofErr w:type="spellEnd"/>
      <w:r w:rsidRPr="00764CB5">
        <w:rPr>
          <w:rFonts w:ascii="Times New Roman" w:hAnsi="Times New Roman" w:cs="Times New Roman"/>
          <w:lang w:val="en-GB"/>
        </w:rPr>
        <w:t xml:space="preserve"> fistulae in the context of sleeve gastrectomy.</w:t>
      </w:r>
    </w:p>
    <w:p w14:paraId="2393D248" w14:textId="77777777" w:rsidR="007603C4" w:rsidRPr="00764CB5" w:rsidRDefault="007603C4" w:rsidP="002D0FB2">
      <w:pPr>
        <w:spacing w:line="276" w:lineRule="auto"/>
        <w:jc w:val="both"/>
        <w:rPr>
          <w:rFonts w:ascii="Times New Roman" w:hAnsi="Times New Roman" w:cs="Times New Roman"/>
          <w:lang w:val="en-GB"/>
        </w:rPr>
      </w:pPr>
    </w:p>
    <w:p w14:paraId="2393D249" w14:textId="77777777" w:rsidR="007603C4" w:rsidRDefault="724A2AEA" w:rsidP="002D0FB2">
      <w:pPr>
        <w:spacing w:line="276" w:lineRule="auto"/>
        <w:jc w:val="both"/>
        <w:rPr>
          <w:rFonts w:ascii="Times New Roman" w:hAnsi="Times New Roman" w:cs="Times New Roman"/>
          <w:b/>
          <w:bCs/>
          <w:lang w:val="en-GB"/>
        </w:rPr>
      </w:pPr>
      <w:r w:rsidRPr="724A2AEA">
        <w:rPr>
          <w:rFonts w:ascii="Times New Roman" w:hAnsi="Times New Roman" w:cs="Times New Roman"/>
          <w:b/>
          <w:bCs/>
          <w:lang w:val="en-GB"/>
        </w:rPr>
        <w:t xml:space="preserve">Results to development of a pig model of </w:t>
      </w:r>
      <w:proofErr w:type="spellStart"/>
      <w:r w:rsidRPr="724A2AEA">
        <w:rPr>
          <w:rFonts w:ascii="Times New Roman" w:hAnsi="Times New Roman" w:cs="Times New Roman"/>
          <w:b/>
          <w:bCs/>
          <w:lang w:val="en-GB"/>
        </w:rPr>
        <w:t>gastrocutaneous</w:t>
      </w:r>
      <w:proofErr w:type="spellEnd"/>
      <w:r w:rsidRPr="724A2AEA">
        <w:rPr>
          <w:rFonts w:ascii="Times New Roman" w:hAnsi="Times New Roman" w:cs="Times New Roman"/>
          <w:b/>
          <w:bCs/>
          <w:lang w:val="en-GB"/>
        </w:rPr>
        <w:t xml:space="preserve"> fistulae</w:t>
      </w:r>
    </w:p>
    <w:p w14:paraId="2393D24A" w14:textId="77777777" w:rsidR="007603C4" w:rsidRPr="009C6A85" w:rsidRDefault="007603C4" w:rsidP="002D0FB2">
      <w:pPr>
        <w:spacing w:line="276" w:lineRule="auto"/>
        <w:jc w:val="both"/>
        <w:rPr>
          <w:rFonts w:ascii="Times New Roman" w:hAnsi="Times New Roman" w:cs="Times New Roman"/>
          <w:b/>
          <w:lang w:val="en-GB"/>
        </w:rPr>
      </w:pPr>
    </w:p>
    <w:p w14:paraId="2393D24B" w14:textId="77777777" w:rsidR="007603C4" w:rsidRPr="009C6A85" w:rsidRDefault="007603C4"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Technical development of the model</w:t>
      </w:r>
    </w:p>
    <w:p w14:paraId="2393D24C" w14:textId="27308D82" w:rsidR="007603C4" w:rsidRDefault="724A2AEA" w:rsidP="002D0FB2">
      <w:pPr>
        <w:spacing w:line="276" w:lineRule="auto"/>
        <w:jc w:val="both"/>
        <w:rPr>
          <w:rFonts w:ascii="Times New Roman" w:hAnsi="Times New Roman" w:cs="Times New Roman"/>
          <w:lang w:val="en-GB"/>
        </w:rPr>
      </w:pPr>
      <w:r w:rsidRPr="724A2AEA">
        <w:rPr>
          <w:rFonts w:ascii="Times New Roman" w:hAnsi="Times New Roman" w:cs="Times New Roman"/>
          <w:lang w:val="en-GB"/>
        </w:rPr>
        <w:t xml:space="preserve">Three different protocols were tested for the creation of a swine model of </w:t>
      </w:r>
      <w:proofErr w:type="spellStart"/>
      <w:r w:rsidRPr="724A2AEA">
        <w:rPr>
          <w:rFonts w:ascii="Times New Roman" w:hAnsi="Times New Roman" w:cs="Times New Roman"/>
          <w:lang w:val="en-GB"/>
        </w:rPr>
        <w:t>gastrocutaneous</w:t>
      </w:r>
      <w:proofErr w:type="spellEnd"/>
      <w:r w:rsidRPr="724A2AEA">
        <w:rPr>
          <w:rFonts w:ascii="Times New Roman" w:hAnsi="Times New Roman" w:cs="Times New Roman"/>
          <w:lang w:val="en-GB"/>
        </w:rPr>
        <w:t xml:space="preserve"> fistulae following sleeve gastrectomy. Fistulae created with preservation of the fundic pouch failed to sustain patency up until the end of the follow-up (n = 3)</w:t>
      </w:r>
      <w:r w:rsidR="00764CB5">
        <w:rPr>
          <w:rFonts w:ascii="Times New Roman" w:hAnsi="Times New Roman" w:cs="Times New Roman"/>
          <w:lang w:val="en-GB"/>
        </w:rPr>
        <w:t xml:space="preserve"> </w:t>
      </w:r>
      <w:r w:rsidRPr="724A2AEA">
        <w:rPr>
          <w:rFonts w:ascii="Times New Roman" w:hAnsi="Times New Roman" w:cs="Times New Roman"/>
          <w:b/>
          <w:bCs/>
          <w:lang w:val="en-GB"/>
        </w:rPr>
        <w:t xml:space="preserve">(Supplementary </w:t>
      </w:r>
      <w:r w:rsidR="00764CB5">
        <w:rPr>
          <w:rFonts w:ascii="Times New Roman" w:hAnsi="Times New Roman" w:cs="Times New Roman"/>
          <w:b/>
          <w:bCs/>
          <w:lang w:val="en-GB"/>
        </w:rPr>
        <w:t>F</w:t>
      </w:r>
      <w:r w:rsidRPr="724A2AEA">
        <w:rPr>
          <w:rFonts w:ascii="Times New Roman" w:hAnsi="Times New Roman" w:cs="Times New Roman"/>
          <w:b/>
          <w:bCs/>
          <w:lang w:val="en-GB"/>
        </w:rPr>
        <w:t>igure 2 A)</w:t>
      </w:r>
      <w:r w:rsidRPr="724A2AEA">
        <w:rPr>
          <w:rFonts w:ascii="Times New Roman" w:hAnsi="Times New Roman" w:cs="Times New Roman"/>
          <w:lang w:val="en-GB"/>
        </w:rPr>
        <w:t xml:space="preserve">. Complete fundic pouch resection (n = 2) </w:t>
      </w:r>
      <w:r w:rsidRPr="724A2AEA">
        <w:rPr>
          <w:rFonts w:ascii="Times New Roman" w:hAnsi="Times New Roman" w:cs="Times New Roman"/>
          <w:b/>
          <w:bCs/>
          <w:lang w:val="en-GB"/>
        </w:rPr>
        <w:t>(Supplementary figure 2 B)</w:t>
      </w:r>
      <w:r w:rsidR="00DE315C">
        <w:rPr>
          <w:rFonts w:ascii="Times New Roman" w:hAnsi="Times New Roman" w:cs="Times New Roman"/>
          <w:b/>
          <w:bCs/>
          <w:lang w:val="en-GB"/>
        </w:rPr>
        <w:t xml:space="preserve"> </w:t>
      </w:r>
      <w:r w:rsidRPr="724A2AEA">
        <w:rPr>
          <w:rFonts w:ascii="Times New Roman" w:hAnsi="Times New Roman" w:cs="Times New Roman"/>
          <w:lang w:val="en-GB"/>
        </w:rPr>
        <w:t>resulted in severe dysphagia and dehydration, which were lethal in the first post-operative week in both cases. After partial fundic resection (n = 3)</w:t>
      </w:r>
      <w:r w:rsidR="00DE315C">
        <w:rPr>
          <w:rFonts w:ascii="Times New Roman" w:hAnsi="Times New Roman" w:cs="Times New Roman"/>
          <w:lang w:val="en-GB"/>
        </w:rPr>
        <w:t xml:space="preserve"> </w:t>
      </w:r>
      <w:r w:rsidRPr="724A2AEA">
        <w:rPr>
          <w:rFonts w:ascii="Times New Roman" w:hAnsi="Times New Roman" w:cs="Times New Roman"/>
          <w:b/>
          <w:bCs/>
          <w:lang w:val="en-GB"/>
        </w:rPr>
        <w:t xml:space="preserve">(Supplementary </w:t>
      </w:r>
      <w:r w:rsidR="00764CB5">
        <w:rPr>
          <w:rFonts w:ascii="Times New Roman" w:hAnsi="Times New Roman" w:cs="Times New Roman"/>
          <w:b/>
          <w:bCs/>
          <w:lang w:val="en-GB"/>
        </w:rPr>
        <w:t>F</w:t>
      </w:r>
      <w:r w:rsidRPr="724A2AEA">
        <w:rPr>
          <w:rFonts w:ascii="Times New Roman" w:hAnsi="Times New Roman" w:cs="Times New Roman"/>
          <w:b/>
          <w:bCs/>
          <w:lang w:val="en-GB"/>
        </w:rPr>
        <w:t>igure 2 C)</w:t>
      </w:r>
      <w:r w:rsidRPr="724A2AEA">
        <w:rPr>
          <w:rFonts w:ascii="Times New Roman" w:hAnsi="Times New Roman" w:cs="Times New Roman"/>
          <w:lang w:val="en-GB"/>
        </w:rPr>
        <w:t>, a sustained patency was observed up until the end of the follow-up period in all cases, without mortality or severe adverse events. Mean total body weight loss was 1.4±1.1%.</w:t>
      </w:r>
    </w:p>
    <w:p w14:paraId="2393D24D" w14:textId="77777777" w:rsidR="007603C4" w:rsidRPr="009C6A85" w:rsidRDefault="007603C4" w:rsidP="002D0FB2">
      <w:pPr>
        <w:spacing w:line="276" w:lineRule="auto"/>
        <w:jc w:val="both"/>
        <w:rPr>
          <w:rFonts w:ascii="Times New Roman" w:hAnsi="Times New Roman" w:cs="Times New Roman"/>
          <w:i/>
          <w:iCs/>
          <w:lang w:val="en-GB"/>
        </w:rPr>
      </w:pPr>
    </w:p>
    <w:p w14:paraId="2393D24E" w14:textId="102E702C" w:rsidR="007603C4" w:rsidRPr="009C6A85" w:rsidRDefault="724A2AEA" w:rsidP="002D0FB2">
      <w:pPr>
        <w:spacing w:line="276" w:lineRule="auto"/>
        <w:jc w:val="both"/>
        <w:rPr>
          <w:rFonts w:ascii="Times New Roman" w:hAnsi="Times New Roman" w:cs="Times New Roman"/>
          <w:i/>
          <w:iCs/>
          <w:lang w:val="en-GB"/>
        </w:rPr>
      </w:pPr>
      <w:r w:rsidRPr="724A2AEA">
        <w:rPr>
          <w:rFonts w:ascii="Times New Roman" w:hAnsi="Times New Roman" w:cs="Times New Roman"/>
          <w:i/>
          <w:iCs/>
          <w:lang w:val="en-GB"/>
        </w:rPr>
        <w:t xml:space="preserve">Surgical process of </w:t>
      </w:r>
      <w:r w:rsidR="00764CB5">
        <w:rPr>
          <w:rFonts w:ascii="Times New Roman" w:hAnsi="Times New Roman" w:cs="Times New Roman"/>
          <w:i/>
          <w:iCs/>
          <w:lang w:val="en-GB"/>
        </w:rPr>
        <w:t>s</w:t>
      </w:r>
      <w:r w:rsidRPr="724A2AEA">
        <w:rPr>
          <w:rFonts w:ascii="Times New Roman" w:hAnsi="Times New Roman" w:cs="Times New Roman"/>
          <w:i/>
          <w:iCs/>
          <w:lang w:val="en-GB"/>
        </w:rPr>
        <w:t xml:space="preserve">leeve gastrectomy and </w:t>
      </w:r>
      <w:proofErr w:type="spellStart"/>
      <w:r w:rsidRPr="724A2AEA">
        <w:rPr>
          <w:rFonts w:ascii="Times New Roman" w:hAnsi="Times New Roman" w:cs="Times New Roman"/>
          <w:i/>
          <w:iCs/>
          <w:lang w:val="en-GB"/>
        </w:rPr>
        <w:t>gastrocutaneous</w:t>
      </w:r>
      <w:proofErr w:type="spellEnd"/>
      <w:r w:rsidRPr="724A2AEA">
        <w:rPr>
          <w:rFonts w:ascii="Times New Roman" w:hAnsi="Times New Roman" w:cs="Times New Roman"/>
          <w:i/>
          <w:iCs/>
          <w:lang w:val="en-GB"/>
        </w:rPr>
        <w:t xml:space="preserve"> fistula creation in final population.</w:t>
      </w:r>
    </w:p>
    <w:p w14:paraId="2393D24F" w14:textId="77777777" w:rsidR="007603C4" w:rsidRPr="009C6A85" w:rsidRDefault="007603C4" w:rsidP="002D0FB2">
      <w:pPr>
        <w:spacing w:line="276" w:lineRule="auto"/>
        <w:jc w:val="both"/>
        <w:rPr>
          <w:rFonts w:ascii="Times New Roman" w:hAnsi="Times New Roman" w:cs="Times New Roman"/>
          <w:i/>
          <w:iCs/>
          <w:lang w:val="en-GB"/>
        </w:rPr>
      </w:pPr>
    </w:p>
    <w:p w14:paraId="2393D250" w14:textId="77777777" w:rsidR="007603C4" w:rsidRPr="009C6A85" w:rsidRDefault="724A2AEA" w:rsidP="002D0FB2">
      <w:pPr>
        <w:spacing w:line="276" w:lineRule="auto"/>
        <w:jc w:val="both"/>
        <w:rPr>
          <w:rFonts w:ascii="Times New Roman" w:hAnsi="Times New Roman" w:cs="Times New Roman"/>
          <w:lang w:val="en-GB"/>
        </w:rPr>
      </w:pPr>
      <w:r w:rsidRPr="724A2AEA">
        <w:rPr>
          <w:rFonts w:ascii="Times New Roman" w:hAnsi="Times New Roman" w:cs="Times New Roman"/>
          <w:lang w:val="en-GB"/>
        </w:rPr>
        <w:t>Ketamine (20 mg/kg) and azaperone (2 mg/kg) were administered intramuscularly, before the procedure as premedication. General anaesthesia was induced by intravenous injection of propofol (4 mg/kg) and maintained by 2% isoflurane (</w:t>
      </w:r>
      <w:proofErr w:type="spellStart"/>
      <w:r w:rsidRPr="724A2AEA">
        <w:rPr>
          <w:rFonts w:ascii="Times New Roman" w:hAnsi="Times New Roman" w:cs="Times New Roman"/>
          <w:lang w:val="en-GB"/>
        </w:rPr>
        <w:t>Forene</w:t>
      </w:r>
      <w:proofErr w:type="spellEnd"/>
      <w:r w:rsidRPr="724A2AEA">
        <w:rPr>
          <w:rFonts w:ascii="Times New Roman" w:hAnsi="Times New Roman" w:cs="Times New Roman"/>
          <w:lang w:val="en-GB"/>
        </w:rPr>
        <w:t xml:space="preserve">, Abbott, France) after </w:t>
      </w:r>
      <w:proofErr w:type="spellStart"/>
      <w:r w:rsidRPr="724A2AEA">
        <w:rPr>
          <w:rFonts w:ascii="Times New Roman" w:hAnsi="Times New Roman" w:cs="Times New Roman"/>
          <w:lang w:val="en-GB"/>
        </w:rPr>
        <w:t>oro</w:t>
      </w:r>
      <w:proofErr w:type="spellEnd"/>
      <w:r w:rsidRPr="724A2AEA">
        <w:rPr>
          <w:rFonts w:ascii="Times New Roman" w:hAnsi="Times New Roman" w:cs="Times New Roman"/>
          <w:lang w:val="en-GB"/>
        </w:rPr>
        <w:t>-tracheal intubation. Buprenorphine (0.05 mg/kg) was injected subcutaneously prior to surgery.</w:t>
      </w:r>
    </w:p>
    <w:p w14:paraId="2393D251" w14:textId="3A6F25CB" w:rsidR="007603C4" w:rsidRPr="00014528" w:rsidRDefault="724A2AEA" w:rsidP="002D0FB2">
      <w:pPr>
        <w:spacing w:line="276" w:lineRule="auto"/>
        <w:jc w:val="both"/>
        <w:rPr>
          <w:rFonts w:ascii="Times New Roman" w:hAnsi="Times New Roman" w:cs="Times New Roman"/>
          <w:lang w:val="en-US"/>
        </w:rPr>
      </w:pPr>
      <w:r w:rsidRPr="00014528">
        <w:rPr>
          <w:rFonts w:ascii="Times New Roman" w:hAnsi="Times New Roman" w:cs="Times New Roman"/>
          <w:lang w:val="en-US"/>
        </w:rPr>
        <w:t>The pigs were placed in supine position with the lower limbs spread apart. The abdomen was shaved, and standard aseptic procedures were applied throughout the surgery. Laparotomy was performed and gastric dissection (</w:t>
      </w:r>
      <w:r w:rsidRPr="00014528">
        <w:rPr>
          <w:rFonts w:ascii="Times New Roman" w:hAnsi="Times New Roman" w:cs="Times New Roman"/>
          <w:b/>
          <w:bCs/>
          <w:lang w:val="en-US"/>
        </w:rPr>
        <w:t>Supplementary Figure 3A</w:t>
      </w:r>
      <w:r w:rsidRPr="00014528">
        <w:rPr>
          <w:rFonts w:ascii="Times New Roman" w:hAnsi="Times New Roman" w:cs="Times New Roman"/>
          <w:lang w:val="en-US"/>
        </w:rPr>
        <w:t>). A 36-French bougie tube was</w:t>
      </w:r>
      <w:r w:rsidR="00764CB5">
        <w:rPr>
          <w:rFonts w:ascii="Times New Roman" w:hAnsi="Times New Roman" w:cs="Times New Roman"/>
          <w:lang w:val="en-US"/>
        </w:rPr>
        <w:t xml:space="preserve"> </w:t>
      </w:r>
      <w:r w:rsidRPr="00014528">
        <w:rPr>
          <w:rFonts w:ascii="Times New Roman" w:hAnsi="Times New Roman" w:cs="Times New Roman"/>
          <w:lang w:val="en-US"/>
        </w:rPr>
        <w:t>inserted and placed at the level of the pylorus for calibration (</w:t>
      </w:r>
      <w:r w:rsidRPr="00014528">
        <w:rPr>
          <w:rFonts w:ascii="Times New Roman" w:hAnsi="Times New Roman" w:cs="Times New Roman"/>
          <w:b/>
          <w:bCs/>
          <w:lang w:val="en-US"/>
        </w:rPr>
        <w:t>Supplementary Figure 3B</w:t>
      </w:r>
      <w:r w:rsidRPr="00014528">
        <w:rPr>
          <w:rFonts w:ascii="Times New Roman" w:hAnsi="Times New Roman" w:cs="Times New Roman"/>
          <w:lang w:val="en-US"/>
        </w:rPr>
        <w:t>). Sleeve gastrectomy was performed by firing 3 to 4 vertical staplers (Endo GIA™, 80 mm, green cartridge, Covidien) along the calibration tube, starting at 3 to 4 cm from the pylorus (</w:t>
      </w:r>
      <w:r w:rsidRPr="00014528">
        <w:rPr>
          <w:rFonts w:ascii="Times New Roman" w:hAnsi="Times New Roman" w:cs="Times New Roman"/>
          <w:b/>
          <w:bCs/>
          <w:lang w:val="en-US"/>
        </w:rPr>
        <w:t>Supplementary Figures 2C and 2D</w:t>
      </w:r>
      <w:r w:rsidRPr="00014528">
        <w:rPr>
          <w:rFonts w:ascii="Times New Roman" w:hAnsi="Times New Roman" w:cs="Times New Roman"/>
          <w:lang w:val="en-US"/>
        </w:rPr>
        <w:t xml:space="preserve">). Partial resection of the fundic pouch: the stapling was terminated at the level of the fundus, 4 to 6 cm from the </w:t>
      </w:r>
      <w:proofErr w:type="spellStart"/>
      <w:r w:rsidRPr="00014528">
        <w:rPr>
          <w:rFonts w:ascii="Times New Roman" w:hAnsi="Times New Roman" w:cs="Times New Roman"/>
          <w:lang w:val="en-US"/>
        </w:rPr>
        <w:t>oesogastric</w:t>
      </w:r>
      <w:proofErr w:type="spellEnd"/>
      <w:r w:rsidRPr="00014528">
        <w:rPr>
          <w:rFonts w:ascii="Times New Roman" w:hAnsi="Times New Roman" w:cs="Times New Roman"/>
          <w:lang w:val="en-US"/>
        </w:rPr>
        <w:t xml:space="preserve"> junction, thus preserving part of the fundic pouch and inducing a light stenosis at the level of the lesser curvature. A manual suture was performed along the staple line (</w:t>
      </w:r>
      <w:r w:rsidRPr="00764CB5">
        <w:rPr>
          <w:rFonts w:ascii="Times New Roman" w:hAnsi="Times New Roman" w:cs="Times New Roman"/>
          <w:b/>
          <w:bCs/>
          <w:lang w:val="en-US"/>
        </w:rPr>
        <w:t>Figure 2E</w:t>
      </w:r>
      <w:r w:rsidRPr="00014528">
        <w:rPr>
          <w:rFonts w:ascii="Times New Roman" w:hAnsi="Times New Roman" w:cs="Times New Roman"/>
          <w:lang w:val="en-US"/>
        </w:rPr>
        <w:t xml:space="preserve">) and the stomach was opened at the upper end of the staple line to introduce a 24-French </w:t>
      </w:r>
      <w:proofErr w:type="spellStart"/>
      <w:r w:rsidRPr="00014528">
        <w:rPr>
          <w:rFonts w:ascii="Times New Roman" w:hAnsi="Times New Roman" w:cs="Times New Roman"/>
          <w:lang w:val="en-US"/>
        </w:rPr>
        <w:t>Pezzer</w:t>
      </w:r>
      <w:proofErr w:type="spellEnd"/>
      <w:r w:rsidRPr="00014528">
        <w:rPr>
          <w:rFonts w:ascii="Times New Roman" w:hAnsi="Times New Roman" w:cs="Times New Roman"/>
          <w:lang w:val="en-US"/>
        </w:rPr>
        <w:t xml:space="preserve"> catheter and a T-tube catheter in parallel. The catheters were then guided to the skin and fixed using (</w:t>
      </w:r>
      <w:proofErr w:type="spellStart"/>
      <w:r w:rsidRPr="00014528">
        <w:rPr>
          <w:rFonts w:ascii="Times New Roman" w:hAnsi="Times New Roman" w:cs="Times New Roman"/>
          <w:lang w:val="en-US"/>
        </w:rPr>
        <w:t>Vicryl</w:t>
      </w:r>
      <w:proofErr w:type="spellEnd"/>
      <w:r w:rsidRPr="00014528">
        <w:rPr>
          <w:rFonts w:ascii="Times New Roman" w:hAnsi="Times New Roman" w:cs="Times New Roman"/>
          <w:lang w:val="en-US"/>
        </w:rPr>
        <w:t xml:space="preserve"> 2/0) (</w:t>
      </w:r>
      <w:r w:rsidRPr="00014528">
        <w:rPr>
          <w:rFonts w:ascii="Times New Roman" w:hAnsi="Times New Roman" w:cs="Times New Roman"/>
          <w:b/>
          <w:bCs/>
          <w:lang w:val="en-US"/>
        </w:rPr>
        <w:t>Supplementary Figures 2F and 2G</w:t>
      </w:r>
      <w:r w:rsidRPr="00014528">
        <w:rPr>
          <w:rFonts w:ascii="Times New Roman" w:hAnsi="Times New Roman" w:cs="Times New Roman"/>
          <w:lang w:val="en-US"/>
        </w:rPr>
        <w:t>). The excluded stomach removed after surgery is shown in (</w:t>
      </w:r>
      <w:r w:rsidRPr="00014528">
        <w:rPr>
          <w:rFonts w:ascii="Times New Roman" w:hAnsi="Times New Roman" w:cs="Times New Roman"/>
          <w:b/>
          <w:bCs/>
          <w:lang w:val="en-US"/>
        </w:rPr>
        <w:t>Supplementary Figure 2H</w:t>
      </w:r>
      <w:r w:rsidRPr="00014528">
        <w:rPr>
          <w:rFonts w:ascii="Times New Roman" w:hAnsi="Times New Roman" w:cs="Times New Roman"/>
          <w:lang w:val="en-US"/>
        </w:rPr>
        <w:t>). Staples</w:t>
      </w:r>
      <w:r w:rsidR="00764CB5">
        <w:rPr>
          <w:rFonts w:ascii="Times New Roman" w:hAnsi="Times New Roman" w:cs="Times New Roman"/>
          <w:lang w:val="en-US"/>
        </w:rPr>
        <w:t xml:space="preserve"> </w:t>
      </w:r>
      <w:r w:rsidRPr="00014528">
        <w:rPr>
          <w:rFonts w:ascii="Times New Roman" w:hAnsi="Times New Roman" w:cs="Times New Roman"/>
          <w:lang w:val="en-US"/>
        </w:rPr>
        <w:t>were</w:t>
      </w:r>
      <w:r w:rsidR="00764CB5">
        <w:rPr>
          <w:rFonts w:ascii="Times New Roman" w:hAnsi="Times New Roman" w:cs="Times New Roman"/>
          <w:lang w:val="en-US"/>
        </w:rPr>
        <w:t xml:space="preserve"> </w:t>
      </w:r>
      <w:r w:rsidRPr="00014528">
        <w:rPr>
          <w:rFonts w:ascii="Times New Roman" w:hAnsi="Times New Roman" w:cs="Times New Roman"/>
          <w:lang w:val="en-US"/>
        </w:rPr>
        <w:t>removed</w:t>
      </w:r>
      <w:r w:rsidR="00764CB5">
        <w:rPr>
          <w:rFonts w:ascii="Times New Roman" w:hAnsi="Times New Roman" w:cs="Times New Roman"/>
          <w:lang w:val="en-US"/>
        </w:rPr>
        <w:t xml:space="preserve"> </w:t>
      </w:r>
      <w:r w:rsidRPr="00014528">
        <w:rPr>
          <w:rFonts w:ascii="Times New Roman" w:hAnsi="Times New Roman" w:cs="Times New Roman"/>
          <w:lang w:val="en-US"/>
        </w:rPr>
        <w:t>under</w:t>
      </w:r>
      <w:r w:rsidR="00764CB5">
        <w:rPr>
          <w:rFonts w:ascii="Times New Roman" w:hAnsi="Times New Roman" w:cs="Times New Roman"/>
          <w:lang w:val="en-US"/>
        </w:rPr>
        <w:t xml:space="preserve"> </w:t>
      </w:r>
      <w:r w:rsidRPr="00014528">
        <w:rPr>
          <w:rFonts w:ascii="Times New Roman" w:hAnsi="Times New Roman" w:cs="Times New Roman"/>
          <w:lang w:val="en-US"/>
        </w:rPr>
        <w:t>general</w:t>
      </w:r>
      <w:r w:rsidR="00764CB5">
        <w:rPr>
          <w:rFonts w:ascii="Times New Roman" w:hAnsi="Times New Roman" w:cs="Times New Roman"/>
          <w:lang w:val="en-US"/>
        </w:rPr>
        <w:t xml:space="preserve"> </w:t>
      </w:r>
      <w:proofErr w:type="spellStart"/>
      <w:r w:rsidRPr="00014528">
        <w:rPr>
          <w:rFonts w:ascii="Times New Roman" w:hAnsi="Times New Roman" w:cs="Times New Roman"/>
          <w:lang w:val="en-US"/>
        </w:rPr>
        <w:t>anaesthesia</w:t>
      </w:r>
      <w:proofErr w:type="spellEnd"/>
      <w:r w:rsidRPr="00014528">
        <w:rPr>
          <w:rFonts w:ascii="Times New Roman" w:hAnsi="Times New Roman" w:cs="Times New Roman"/>
          <w:lang w:val="en-US"/>
        </w:rPr>
        <w:t xml:space="preserve"> on POD 14.</w:t>
      </w:r>
    </w:p>
    <w:p w14:paraId="2393D252" w14:textId="77777777" w:rsidR="007603C4" w:rsidRPr="009C6A85" w:rsidRDefault="007603C4" w:rsidP="002D0FB2">
      <w:pPr>
        <w:spacing w:line="276" w:lineRule="auto"/>
        <w:jc w:val="both"/>
        <w:rPr>
          <w:rFonts w:ascii="Times New Roman" w:hAnsi="Times New Roman" w:cs="Times New Roman"/>
          <w:lang w:val="en-GB"/>
        </w:rPr>
      </w:pPr>
    </w:p>
    <w:p w14:paraId="2393D253" w14:textId="77777777" w:rsidR="007603C4" w:rsidRPr="009C6A85" w:rsidRDefault="007603C4"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lastRenderedPageBreak/>
        <w:t>Validation of the model</w:t>
      </w:r>
    </w:p>
    <w:p w14:paraId="2393D254" w14:textId="1A142EDF" w:rsidR="007603C4" w:rsidRDefault="724A2AEA" w:rsidP="002D0FB2">
      <w:pPr>
        <w:spacing w:line="276" w:lineRule="auto"/>
        <w:jc w:val="both"/>
        <w:rPr>
          <w:rFonts w:ascii="Times New Roman" w:hAnsi="Times New Roman" w:cs="Times New Roman"/>
          <w:color w:val="FF0000"/>
          <w:lang w:val="en-GB"/>
        </w:rPr>
      </w:pPr>
      <w:proofErr w:type="spellStart"/>
      <w:r w:rsidRPr="724A2AEA">
        <w:rPr>
          <w:rFonts w:ascii="Times New Roman" w:hAnsi="Times New Roman" w:cs="Times New Roman"/>
          <w:lang w:val="en-GB"/>
        </w:rPr>
        <w:t>Gastrocutaneous</w:t>
      </w:r>
      <w:proofErr w:type="spellEnd"/>
      <w:r w:rsidRPr="724A2AEA">
        <w:rPr>
          <w:rFonts w:ascii="Times New Roman" w:hAnsi="Times New Roman" w:cs="Times New Roman"/>
          <w:lang w:val="en-GB"/>
        </w:rPr>
        <w:t xml:space="preserve"> fistulae following sleeve gastrectomy with partial fundic resection were created in 6 additional pigs for model validation</w:t>
      </w:r>
      <w:r w:rsidR="00764CB5">
        <w:rPr>
          <w:rFonts w:ascii="Times New Roman" w:hAnsi="Times New Roman" w:cs="Times New Roman"/>
          <w:lang w:val="en-GB"/>
        </w:rPr>
        <w:t xml:space="preserve"> </w:t>
      </w:r>
      <w:r w:rsidRPr="724A2AEA">
        <w:rPr>
          <w:rFonts w:ascii="Times New Roman" w:hAnsi="Times New Roman" w:cs="Times New Roman"/>
          <w:b/>
          <w:bCs/>
          <w:lang w:val="en-GB"/>
        </w:rPr>
        <w:t xml:space="preserve">(Supplementary </w:t>
      </w:r>
      <w:r w:rsidR="00764CB5">
        <w:rPr>
          <w:rFonts w:ascii="Times New Roman" w:hAnsi="Times New Roman" w:cs="Times New Roman"/>
          <w:b/>
          <w:bCs/>
          <w:lang w:val="en-GB"/>
        </w:rPr>
        <w:t>F</w:t>
      </w:r>
      <w:r w:rsidRPr="724A2AEA">
        <w:rPr>
          <w:rFonts w:ascii="Times New Roman" w:hAnsi="Times New Roman" w:cs="Times New Roman"/>
          <w:b/>
          <w:bCs/>
          <w:lang w:val="en-GB"/>
        </w:rPr>
        <w:t>igure 2 C)</w:t>
      </w:r>
      <w:r w:rsidRPr="724A2AEA">
        <w:rPr>
          <w:rFonts w:ascii="Times New Roman" w:hAnsi="Times New Roman" w:cs="Times New Roman"/>
          <w:lang w:val="en-GB"/>
        </w:rPr>
        <w:t xml:space="preserve">. Mean distance between the end of the staple line and the </w:t>
      </w:r>
      <w:proofErr w:type="spellStart"/>
      <w:r w:rsidRPr="724A2AEA">
        <w:rPr>
          <w:rFonts w:ascii="Times New Roman" w:hAnsi="Times New Roman" w:cs="Times New Roman"/>
          <w:lang w:val="en-GB"/>
        </w:rPr>
        <w:t>oesogastric</w:t>
      </w:r>
      <w:proofErr w:type="spellEnd"/>
      <w:r w:rsidRPr="724A2AEA">
        <w:rPr>
          <w:rFonts w:ascii="Times New Roman" w:hAnsi="Times New Roman" w:cs="Times New Roman"/>
          <w:lang w:val="en-GB"/>
        </w:rPr>
        <w:t xml:space="preserve"> junction was 5.1 cm (range 4.5 – 6 cm). The procedure lasted 71 minutes in average. No serious adverse events were observed. At POD 28, mean total body weight loss reached 2.8±1.8% of the initial weight and clinical assessment of the external fistula opening revealed patent orifices in all cases. Similarly, patent internal orifices were observed in all cases by upper gastro-intestinal endoscopy at POD 28, and radiological evaluation through </w:t>
      </w:r>
      <w:proofErr w:type="spellStart"/>
      <w:r w:rsidRPr="724A2AEA">
        <w:rPr>
          <w:rFonts w:ascii="Times New Roman" w:hAnsi="Times New Roman" w:cs="Times New Roman"/>
          <w:lang w:val="en-GB"/>
        </w:rPr>
        <w:t>fistulography</w:t>
      </w:r>
      <w:proofErr w:type="spellEnd"/>
      <w:r w:rsidRPr="724A2AEA">
        <w:rPr>
          <w:rFonts w:ascii="Times New Roman" w:hAnsi="Times New Roman" w:cs="Times New Roman"/>
          <w:lang w:val="en-GB"/>
        </w:rPr>
        <w:t xml:space="preserve"> confirmed the presence of patent fistula tracts. </w:t>
      </w:r>
    </w:p>
    <w:p w14:paraId="2393D255" w14:textId="77777777" w:rsidR="724A2AEA" w:rsidRDefault="724A2AEA" w:rsidP="002D0FB2">
      <w:pPr>
        <w:spacing w:line="276" w:lineRule="auto"/>
        <w:jc w:val="both"/>
        <w:rPr>
          <w:rFonts w:ascii="Times New Roman" w:hAnsi="Times New Roman" w:cs="Times New Roman"/>
          <w:lang w:val="en-GB"/>
        </w:rPr>
      </w:pPr>
    </w:p>
    <w:p w14:paraId="2393D256" w14:textId="77777777" w:rsidR="724A2AEA" w:rsidRDefault="724A2AEA" w:rsidP="002D0FB2">
      <w:pPr>
        <w:spacing w:line="276" w:lineRule="auto"/>
        <w:jc w:val="both"/>
        <w:rPr>
          <w:rFonts w:ascii="Times New Roman" w:hAnsi="Times New Roman" w:cs="Times New Roman"/>
          <w:i/>
          <w:iCs/>
          <w:lang w:val="en-GB"/>
        </w:rPr>
      </w:pPr>
      <w:r w:rsidRPr="724A2AEA">
        <w:rPr>
          <w:rFonts w:ascii="Times New Roman" w:hAnsi="Times New Roman" w:cs="Times New Roman"/>
          <w:i/>
          <w:iCs/>
          <w:lang w:val="en-GB"/>
        </w:rPr>
        <w:t xml:space="preserve">Discussion </w:t>
      </w:r>
      <w:r w:rsidRPr="724A2AEA">
        <w:rPr>
          <w:rFonts w:ascii="Times New Roman" w:eastAsia="Times New Roman" w:hAnsi="Times New Roman" w:cs="Times New Roman"/>
          <w:i/>
          <w:iCs/>
          <w:lang w:val="en-GB"/>
        </w:rPr>
        <w:t>about animal model and physiopathology of fistulae development after sleeve g</w:t>
      </w:r>
      <w:r w:rsidRPr="724A2AEA">
        <w:rPr>
          <w:rFonts w:eastAsiaTheme="minorEastAsia"/>
          <w:i/>
          <w:iCs/>
          <w:lang w:val="en-GB"/>
        </w:rPr>
        <w:t>astrectomy</w:t>
      </w:r>
    </w:p>
    <w:p w14:paraId="2393D257" w14:textId="77777777" w:rsidR="724A2AEA" w:rsidRPr="00764CB5" w:rsidRDefault="724A2AEA" w:rsidP="002D0FB2">
      <w:pPr>
        <w:spacing w:line="276" w:lineRule="auto"/>
        <w:jc w:val="both"/>
        <w:rPr>
          <w:rFonts w:ascii="Times New Roman" w:hAnsi="Times New Roman" w:cs="Times New Roman"/>
          <w:lang w:val="en-GB"/>
        </w:rPr>
      </w:pPr>
      <w:r w:rsidRPr="00764CB5">
        <w:rPr>
          <w:rFonts w:ascii="Times New Roman" w:eastAsiaTheme="minorEastAsia" w:hAnsi="Times New Roman" w:cs="Times New Roman"/>
          <w:lang w:val="en-GB"/>
        </w:rPr>
        <w:t xml:space="preserve">Several rodent models of post-surgical enterocutaneous </w:t>
      </w:r>
      <w:r w:rsidR="002204C3" w:rsidRPr="00764CB5">
        <w:rPr>
          <w:rFonts w:ascii="Times New Roman" w:hAnsi="Times New Roman" w:cs="Times New Roman"/>
          <w:highlight w:val="yellow"/>
          <w:lang w:val="en-GB"/>
        </w:rPr>
        <w:fldChar w:fldCharType="begin"/>
      </w:r>
      <w:r w:rsidR="0010346F" w:rsidRPr="00764CB5">
        <w:rPr>
          <w:rFonts w:ascii="Times New Roman" w:hAnsi="Times New Roman" w:cs="Times New Roman"/>
          <w:highlight w:val="yellow"/>
          <w:lang w:val="en-GB"/>
        </w:rPr>
        <w:instrText xml:space="preserve"> ADDIN ZOTERO_ITEM CSL_CITATION {"citationID":"MAgtcJeX","properties":{"formattedCitation":"(2\\uc0\\u8211{}8)","plainCitation":"(2–8)","noteIndex":0},"citationItems":[{"id":945,"uris":["http://zotero.org/users/local/zN1MJwn5/items/JWXRYSE7"],"itemData":{"id":945,"type":"article-journal","abstract":"In the past, physiological, oncological and pharmaceutical investigations led to the development of different models of enterocutaneous fistulas. For a few years, fistula models were also created to investigate the efficacy of minimal invasive therapies in closing these fistulas. As most experimental surgical procedures are difficult to perform and are often combined with a high mortality or spontaneous closure rate, a new model in mice was developed with the aim of avoiding these disadvantages. Twenty mice, divided into two groups of 10 animals each, had a caecostoma created surgically. The two groups differed regarding the technique of creating the stoma. All animals survived and gained weight during a postoperative period of 4 months. The operation was easy to perform and lasted no longer than about 30 min. Neither a spontaneous closure of the fistula nor any prior death of animals occurred. In conclusion, because of its simplicity and low complication rate, the presented model of an enterocutaneous fistula may offer an interesting alternative to other models for a variety of indications.","container-title":"Research in Experimental Medicine. Zeitschrift Fur Die Gesamte Experimentelle Medizin Einschliesslich Experimenteller Chirurgie","DOI":"10.1007/s004330050105","ISSN":"0300-9130","issue":"4","journalAbbreviation":"Res Exp Med (Berl)","language":"eng","note":"number: 4\nPMID: 9879600","page":"215-228","source":"PubMed","title":"Creation of a caecostoma in mice as a model of an enterocutaneous fistula","volume":"198","author":[{"family":"Bültmann","given":"O."},{"family":"Philipp","given":"C."},{"family":"Ladeburg","given":"M."},{"family":"Berlien","given":"H. P."}],"issued":{"date-parts":[["1998",12]]}}},{"id":635,"uris":["http://zotero.org/users/local/zN1MJwn5/items/96ZGD7KX"],"itemData":{"id":635,"type":"article-journal","abstract":"Cell sheet technology opens new perspectives in tissue regeneration therapy by providing readily implantable, scaffold-free 3D tissue constructs. Many studies have focused on the therapeutic effects of cell sheet implantation while relatively little attention has concerned the fate of the implanted cells in vivo. The aim of the present study was to track longitudinally the cells implanted in the cell sheets in vivo in target tissues. To this end we (i) endowed bone marrow-derived mesenchymal stem cells (BMMSCs) with imaging properties by double labeling with fluorescent and magnetic tracers, (ii) applied BMMSC cell sheets to a digestive fistula model in mice, (iii) tracked the BMMSC fate in vivo by MRI and probe-based confocal laser endomicroscopy (pCLE), and (iv) quantified healing of the fistula. We show that image-guided longitudinal follow-up can document both the fate of the cell sheet-derived BMMSCs and their healing capacity. Moreover, our theranostic approach informs on the mechanism of action, either directly by integration of cell sheet-derived BMMSCs into the host tissue or indirectly through the release of signaling molecules in the host tissue. Multimodal imaging and clinical evaluation converged to attest that cell sheet grafting resulted in minimal clinical inflammation, improved fistula healing, reduced tissue fibrosis and enhanced microvasculature density. At the molecular level, cell sheet transplantation induced an increase in the expression of anti-inflammatory cytokines (TGF-ß2 and IL-10) and host intestinal growth factors involved in tissue repair (EGF and VEGF). Multimodal imaging is useful for tracking cell sheets and for noninvasive follow-up of their regenerative properties.","container-title":"Theranostics","DOI":"10.7150/thno.14064","ISSN":"1838-7640","issue":"5","journalAbbreviation":"Theranostics","language":"eng","note":"number: 5\nPMID: 27022420\nPMCID: PMC4805667","page":"739-751","source":"PubMed","title":"Designing 3D Mesenchymal Stem Cell Sheets Merging Magnetic and Fluorescent Features: When Cell Sheet Technology Meets Image-Guided Cell Therapy","title-short":"Designing 3D Mesenchymal Stem Cell Sheets Merging Magnetic and Fluorescent Features","volume":"6","author":[{"family":"Rahmi","given":"Gabriel"},{"family":"Pidial","given":"Laetitia"},{"family":"Silva","given":"Amanda K. A."},{"family":"Blondiaux","given":"Eléonore"},{"family":"Meresse","given":"Bertrand"},{"family":"Gazeau","given":"Florence"},{"family":"Autret","given":"Gwennhael"},{"family":"Balvay","given":"Daniel"},{"family":"Cuenod","given":"Charles André"},{"family":"Perretta","given":"Silvana"},{"family":"Tavitian","given":"Bertrand"},{"family":"Wilhelm","given":"Claire"},{"family":"Cellier","given":"Christophe"},{"family":"Clément","given":"Olivier"}],"issued":{"date-parts":[["2016"]]}}},{"id":539,"uris":["http://zotero.org/users/local/zN1MJwn5/items/EKPF6666"],"itemData":{"id":539,"type":"article-journal","abstract":"Objective: Local application of adipose-derived mesenchymal stem cells (ADSC) represents a novel approach for the management of perianal fistula in patients with Crohn’s disease. A randomised study on an animal model was performed to investigate the efficacy and to detect the distribution of implanted ADSCs by bioluminescence (BLI).Materials and methods: A caecostomy was used as a fistula model in 32 Lewis rats. The ADSCs were isolated from transgenic donor expressing firefly luciferase. Animals were randomly assigned to groups given injections of 4 × 106 cells (n = 16, group A) or placebo (n = 16, group B) in the perifistular tissue. Fistula drainage assessment was used to evaluate the fistula healing. After application of D-luciferin, cell viability and distribution was detected using an IVIS Lumina XR camera on days 0, 2, 7, 14 and 30.Results: The fistula was identified as healed in 6 (38%) animals in group A vs. 1 case (6.3%) in group B (p = .033). The BLI was strongest immediately after administration of ADSCs 31.2 × 104 (6.09–111 × 104) p/s/cm2/sr. The fastest decrease was observed within the first 2 days when values fell by 50.2%. The BLI 30 days after injection was significantly higher in animals with healed fistulas – 8.23 × 104 (1.18–16.9 × 104) vs. 1.74 × 104 (0.156–6.88 × 104); p = .0393.Conclusions: Local application of ADSCs resulted in significantly higher fistula closure rate on an animal model. BLI monitoring was proved to be feasible and showed rapid reduction of the ADSC mass after application. More viable cells were detected in animals with healed fistula at the end of the follow-up.","container-title":"Scandinavian Journal of Gastroenterology","DOI":"10.1080/00365521.2017.1281434","ISSN":"0036-5521","issue":"5","note":"number: 5\npublisher: Taylor &amp; Francis\n_eprint: https://doi.org/10.1080/00365521.2017.1281434\nPMID: 28116942","page":"543-550","source":"Taylor and Francis+NEJM","title":"Local application of adipose-derived mesenchymal stem cells supports the healing of fistula: prospective randomised study on rat model of fistulising Crohn’s disease","title-short":"Local application of adipose-derived mesenchymal stem cells supports the healing of fistula","volume":"52","author":[{"family":"Ryska","given":"Ondrej"},{"family":"Serclova","given":"Zuzana"},{"family":"Mestak","given":"Ondrej"},{"family":"Matouskova","given":"Eva"},{"family":"Vesely","given":"Pavel"},{"family":"Mrazova","given":"Iveta"}],"issued":{"date-parts":[["2017",5,4]]}}},{"id":541,"uris":["http://zotero.org/users/local/zN1MJwn5/items/I9UVZD4L"],"itemData":{"id":541,"type":"article-journal","abstract":"&lt;h2&gt;Abstract&lt;/h2&gt;&lt;h3&gt;Background aims&lt;/h3&gt;&lt;p&gt;Surgical treatment for enterocutaneous fistulas (EF) frequently fails. Cell therapy may represent a new approach to treatment. Mesenchymal stromal cells (MSCs) have high proliferative and differentiation capacity. This study aimed to investigate whether MSCs could adhere to suture filament (SF), promoting better EF healing.&lt;/p&gt;&lt;h3&gt;Methods&lt;/h3&gt;&lt;p&gt;MSCs, 1 × 10&lt;sup&gt;6&lt;/sup&gt;, from adipose tissue (ATMSCs) were adhered to a Polyvicryl SF by adding a specific fibrin glue formulation. Adhesion was confirmed by confocal and scanning electron microscopy (SEM). A cecal fistula was created in 22 Wistar rats by incising the cecum and suturing the opening to the surgical wound subcutaneously with four separate stitches. The animals were randomly allocated to three groups: control (CG)—five animals, EF performed; injection (IG)—eight animals 1 × 10&lt;sup&gt;6&lt;/sup&gt; ATMSCs injected around EF borders; and suture filament (SG): nine animals, sutured with 1 × 10&lt;sup&gt;6&lt;/sup&gt; ATMSCs attached to the filaments with fibrin glue. Fistulas were photographed on the operation day and every 3 days until the 21st day and analyzed by two observers using ImageJ Software.&lt;/p&gt;&lt;h3&gt;Results&lt;/h3&gt;&lt;p&gt;Confocal and SEM results demonstrated ATMSCs adhered to SF (ATMSCs-SF). The average reduction size of the fistula area at 21st day was greater for the SG group (90.34%, &lt;i&gt;P&lt;/i&gt; &lt; 0.05) than the IG (71.80%) and CG (46.54%) groups.&lt;/p&gt;&lt;h3&gt;Conclusions&lt;/h3&gt;&lt;p&gt;ATMSCs adhered to SF maintain viability and proliferative capacity. EF submitted to ATMSCs-SF procedure showed greater recovery and healing. This approach might be a new and effective tool for EF treatment.&lt;/p&gt;","container-title":"Cytotherapy","DOI":"10.1016/j.jcyt.2014.08.004","ISSN":"1465-3249","issue":"12","journalAbbreviation":"Cytotherapy","language":"English","note":"number: 12\npublisher: Elsevier\nPMID: 25305734","page":"1709-1719","source":"www.celltherapyjournal.org","title":"Mesenchymal stromal cells from adipose tissue attached to suture material enhance the closure of enterocutaneous fistulas in a rat model","volume":"16","author":[{"family":"Volpe","given":"Bruno Bosch"},{"family":"Duarte","given":"Adriana da Silva Santos"},{"family":"Ribeiro","given":"Thiago Borsoi"},{"family":"Stocchero","given":"Ithamar"},{"family":"Kharmandayan","given":"Paulo"},{"family":"Saad","given":"Sara Teresinha Olalla"},{"family":"Bustorff-Silva","given":"Joaquim Murray"},{"family":"Luzo","given":"Ângela Cristina Malheiros"}],"issued":{"date-parts":[["2014",12,1]]}}},{"id":1001,"uris":["http://zotero.org/users/local/zN1MJwn5/items/UMF2LPBH"],"itemData":{"id":1001,"type":"article-journal","abstract":"This study examines the pathophysiology of hepatobiliary complications induced by total parenteral nutrition (TPN) by using animal models that underwent cecal ligation to produce intra-abdominal infection and received an enterostomy to mimic a high-output fistula, which causes the interruption of enterohepatic circulation of bile salt. Aspartate transaminase was elevated after TPN (p &lt; .05). Alkaline phosphatase was increased in animals receiving TPN plus an enterostomy (p &lt; .05). Serum albumin was significantly decreased in animals receiving TPN plus undergoing cecal ligation or enterostomy (p &lt; .05). Liver weight and liver protein and water content decreased in animals receiving TPN alone (p &lt; .05). Liver water content increased in animals receiving TPN plus undergoing cecal ligation (p &lt; .05). Liver lipid content increased after TPN and to a significant degree in rats receiving TPN plus undergoing cecal ligation or enterostomy (p &lt; .05). Bile flow diminished after TPN and to a level reaching significance in animals receiving TPN plus undergoing cecal ligation or enterostomy (p &lt; .05). Reduction of bile flow, decrease of biliary cholesterol secretion, and increase of biliary bilirubin secretion, which may be the cause of TPN-induced bilirubinate stones, were most significant in animals receiving TPN plus undergoing cecal ligation (p &lt; .05). In conclusion, TPN can induce hepatic dysfunction and bilirubinate stones, but these complications are more common in animals with associated intra-abdominal infection or high-output fistula.","container-title":"JPEN. Journal of parenteral and enteral nutrition","DOI":"10.1177/0148607193017005449","ISSN":"0148-6071","issue":"5","journalAbbreviation":"JPEN J Parenter Enteral Nutr","language":"eng","note":"number: 5\nPMID: 8289412","page":"449-453","source":"PubMed","title":"Hepatobiliary complications in healthy, intra-abdominally infected, and high-output fistula rats receiving total parenteral nutrition","volume":"17","author":[{"family":"Mok","given":"K. T."}],"issued":{"date-parts":[["1993",10]]}}},{"id":995,"uris":["http://zotero.org/users/local/zN1MJwn5/items/3FUVLV47"],"itemData":{"id":995,"type":"article-journal","abstract":"OBJECTIVE: Esophageal leakage (EL) continues to be a challenging pediatric surgical problem. The aim of this study was to investigate the effect of cyanoacrylate (Cy) in EL followed esophageal repair (ER).\nMETHODS: Twelve rabbits were divided into control (C) and leakage (L) groups. A 1cm-length transverse esophageal incision at the level of the cervical region was made. In both groups, feeding was started orally 24h after the surgery for leakage creation. On postoperative day 7, primary repair was carried out in the C group and Cy instillation was performed in the L group. Esophagographic analysis was carried out on postoperative day 9 and the animals were fed orally on the same day on the condition that there was no esophageal leakage. The rabbits were sacrificed to measure diameters of the OR line, bursting pressure (BP), and hydroxyproline (HP) levels in the repaired cervical esophageal segment (RCES) 2 months later.\nRESULTS: The values of BP and HP in the C group were significantly higher than those in the L group. The diameters of the OR line in the L group were significantly greater compared to those in the C group.\nCONCLUSIONS: Cy glue instillation seems to be the ideal treatment for esophageal anastomosis leakages as shown by increased diameters of the OR line and decreased HP levels.","container-title":"International Journal of Pediatric Otorhinolaryngology","DOI":"10.1016/j.ijporl.2009.04.013","ISSN":"1872-8464","issue":"7","journalAbbreviation":"Int. J. Pediatr. Otorhinolaryngol.","language":"eng","note":"number: 7\nPMID: 19423173","page":"1053-1055","source":"PubMed","title":"The effect of cyanoacrylate in esophagocutaneous leakages occurring after esophageal anastomosis","volume":"73","author":[{"family":"Yurtçu","given":"Müslim"},{"family":"Arbag","given":"Hamdi"},{"family":"Cağlayan","given":"Osman"},{"family":"Abasiyanik","given":"Adnan"},{"family":"Oz","given":"Mehmet"}],"issued":{"date-parts":[["2009",7]]}}},{"id":934,"uris":["http://zotero.org/users/local/zN1MJwn5/items/HB8R7SBN"],"itemData":{"id":934,"type":"article-journal","abstract":"Background Fistulas after esophagectomy are a significant cause of morbidity and mortality. Several endoscopic treatments have been attempted, with varying success. An experimental model that could validate new approaches such as cellular therapies is highly desirable. The aim of this study was to create a chronic esophageal enterocutaneous fistula model in order to study future experimental treatment options. Methods Eight pigs (six 35-kg young German and two 50-kg adult Yucatan pigs) were used. Through a left and right cervicotomy, under endoscopic view, 1 (group A, n = 6) or 2 (group B, n = 7) plastic catheters were introduced into the esophagus 30 cm from the dental arches bilaterally and left in place for 1 month. Radiologic and endoscopic fistula tract evaluations were performed at postoperative day (POD; 30) and at sacrifice (POD 45). Results Three fistulas were excluded from the study because of early (POD 5) dislodgment of the catheter, with complete fistula closure. At catheter removal (POD 30), the external orifice was larger in group B (5.2 ± 1.1 mm vs 2.6 ± 0.4 mm) with more severe inflammation (72% vs 33%). At POD 45, the external orifice was closed in all fistulas in group A and in 1/7 in group B. At necropsy, the fistula tract was still present in all animals. Yucatan pigs showed more complex tracts, with a high level of necrosis and substantial fibrotic infiltration. Conclusions In this article, we show a reproducible, safe, and effective technique to create an esophagocutaneous fistula model in a large experimental animal.","container-title":"Surgical Innovation","DOI":"10.1177/1553350616639144","ISSN":"1553-3514","issue":"3","journalAbbreviation":"Surg Innov","language":"eng","note":"number: 3\nPMID: 26989046","page":"221-228","source":"PubMed","title":"A Newly Designed Enterocutaneous Esophageal Fistula Model in the Pig","volume":"23","author":[{"family":"Rahmi","given":"Gabriel"},{"family":"Perretta","given":"Silvana"},{"family":"Pidial","given":"Laetitia"},{"family":"Vanbiervliet","given":"Geoffroy"},{"family":"Halvax","given":"Peter"},{"family":"Legner","given":"Andras"},{"family":"Lindner","given":"Veronique"},{"family":"Barthet","given":"Marc"},{"family":"Dallemagne","given":"Bernard"},{"family":"Cellier","given":"Christophe"},{"family":"Clément","given":"Olivier"}],"issued":{"date-parts":[["2016",6]]}}}],"schema":"https://github.com/citation-style-language/schema/raw/master/csl-citation.json"} </w:instrText>
      </w:r>
      <w:r w:rsidR="002204C3" w:rsidRPr="00764CB5">
        <w:rPr>
          <w:rFonts w:ascii="Times New Roman" w:hAnsi="Times New Roman" w:cs="Times New Roman"/>
          <w:highlight w:val="yellow"/>
          <w:lang w:val="en-GB"/>
        </w:rPr>
        <w:fldChar w:fldCharType="separate"/>
      </w:r>
      <w:r w:rsidR="0010346F" w:rsidRPr="00764CB5">
        <w:rPr>
          <w:rFonts w:ascii="Times New Roman" w:hAnsi="Times New Roman" w:cs="Times New Roman"/>
          <w:lang w:val="en-US"/>
        </w:rPr>
        <w:t>(2–8)</w:t>
      </w:r>
      <w:r w:rsidR="002204C3" w:rsidRPr="00764CB5">
        <w:rPr>
          <w:rFonts w:ascii="Times New Roman" w:hAnsi="Times New Roman" w:cs="Times New Roman"/>
          <w:highlight w:val="yellow"/>
          <w:lang w:val="en-GB"/>
        </w:rPr>
        <w:fldChar w:fldCharType="end"/>
      </w:r>
      <w:r w:rsidRPr="00764CB5">
        <w:rPr>
          <w:rFonts w:ascii="Times New Roman" w:eastAsiaTheme="minorEastAsia" w:hAnsi="Times New Roman" w:cs="Times New Roman"/>
          <w:lang w:val="en-GB"/>
        </w:rPr>
        <w:t xml:space="preserve"> fistulae have already been described, along with rat models of gastrocolic fistulae </w:t>
      </w:r>
      <w:r w:rsidR="002204C3" w:rsidRPr="00764CB5">
        <w:rPr>
          <w:rFonts w:ascii="Times New Roman" w:hAnsi="Times New Roman" w:cs="Times New Roman"/>
          <w:highlight w:val="yellow"/>
          <w:lang w:val="en-GB"/>
        </w:rPr>
        <w:fldChar w:fldCharType="begin"/>
      </w:r>
      <w:r w:rsidR="0010346F" w:rsidRPr="00764CB5">
        <w:rPr>
          <w:rFonts w:ascii="Times New Roman" w:hAnsi="Times New Roman" w:cs="Times New Roman"/>
          <w:highlight w:val="yellow"/>
          <w:lang w:val="en-GB"/>
        </w:rPr>
        <w:instrText xml:space="preserve"> ADDIN ZOTERO_ITEM CSL_CITATION {"citationID":"5Ut6LQ1z","properties":{"formattedCitation":"(9)","plainCitation":"(9)","noteIndex":0},"citationItems":[{"id":1032,"uris":["http://zotero.org/users/local/zN1MJwn5/items/EFUNHMUE"],"itemData":{"id":1032,"type":"article-journal","abstract":"The behavior of jejunal to colonic mucosal autografts was studied in an experimental animal model of short bowel syndrome (SBS). Histological appearances, enterocyte enzyme activities, and in vitro glucose transport were studied at the donor and recipient graft sites in control, short-bowel syndrome, and gastrocolic fistula 5-week-old Sprague-Dawley rats. Small intestinal function was maintained in the jejunocolonic graft after 80% small bowel resection; animals in which small bowel was not resected showed loss of graft function and enzyme activity. This effect is dependent on the presence of jejunal chyme: after gastrocolic fistulae, the jejunum to colon grafts lost jejunal functional activities. Total parenteral nutrition did not alter graft behavior but improved the postoperative mortality of the procedures. The results provide additional information on intestinal adaptation in SBS.","container-title":"Digestive Diseases and Sciences","DOI":"10.1007/bf01537412","ISSN":"0163-2116","issue":"3","journalAbbreviation":"Dig. Dis. Sci.","language":"eng","note":"number: 3\nPMID: 2106422","page":"340-348","source":"PubMed","title":"Adaptation of jejunal to colonic mucosal autografts in experimentally induced short bowel syndrome","volume":"35","author":[{"family":"Banerjee","given":"A. K."},{"family":"Chadwick","given":"S. J."},{"family":"Peters","given":"T. J."}],"issued":{"date-parts":[["1990",3]]}}}],"schema":"https://github.com/citation-style-language/schema/raw/master/csl-citation.json"} </w:instrText>
      </w:r>
      <w:r w:rsidR="002204C3" w:rsidRPr="00764CB5">
        <w:rPr>
          <w:rFonts w:ascii="Times New Roman" w:hAnsi="Times New Roman" w:cs="Times New Roman"/>
          <w:highlight w:val="yellow"/>
          <w:lang w:val="en-GB"/>
        </w:rPr>
        <w:fldChar w:fldCharType="separate"/>
      </w:r>
      <w:r w:rsidR="0010346F" w:rsidRPr="00764CB5">
        <w:rPr>
          <w:rFonts w:ascii="Times New Roman" w:hAnsi="Times New Roman" w:cs="Times New Roman"/>
        </w:rPr>
        <w:t>(9)</w:t>
      </w:r>
      <w:r w:rsidR="002204C3" w:rsidRPr="00764CB5">
        <w:rPr>
          <w:rFonts w:ascii="Times New Roman" w:hAnsi="Times New Roman" w:cs="Times New Roman"/>
          <w:highlight w:val="yellow"/>
          <w:lang w:val="en-GB"/>
        </w:rPr>
        <w:fldChar w:fldCharType="end"/>
      </w:r>
      <w:r w:rsidRPr="00764CB5">
        <w:rPr>
          <w:rFonts w:ascii="Times New Roman" w:eastAsiaTheme="minorEastAsia" w:hAnsi="Times New Roman" w:cs="Times New Roman"/>
          <w:lang w:val="en-GB"/>
        </w:rPr>
        <w:t xml:space="preserve">, internal intestinal fistulae with peritonitis </w:t>
      </w:r>
      <w:r w:rsidR="002204C3" w:rsidRPr="00764CB5">
        <w:rPr>
          <w:rFonts w:ascii="Times New Roman" w:hAnsi="Times New Roman" w:cs="Times New Roman"/>
          <w:highlight w:val="yellow"/>
          <w:lang w:val="en-GB"/>
        </w:rPr>
        <w:fldChar w:fldCharType="begin"/>
      </w:r>
      <w:r w:rsidR="0010346F" w:rsidRPr="00764CB5">
        <w:rPr>
          <w:rFonts w:ascii="Times New Roman" w:hAnsi="Times New Roman" w:cs="Times New Roman"/>
          <w:highlight w:val="yellow"/>
          <w:lang w:val="en-GB"/>
        </w:rPr>
        <w:instrText xml:space="preserve"> ADDIN ZOTERO_ITEM CSL_CITATION {"citationID":"EaC8seqs","properties":{"formattedCitation":"(10)","plainCitation":"(10)","noteIndex":0},"citationItems":[{"id":999,"uris":["http://zotero.org/users/local/zN1MJwn5/items/P3D8TJL9"],"itemData":{"id":999,"type":"article-journal","abstract":"BACKGROUND: The presence of established intra-abdominal sepsis has been considered a contraindication to primary anastomoses. Our hypothesis was that fibrin glue (FG), growth hormone (rhGH), and combination of them synergistically improve intestinal primary anastomotic healing in a rat model of intestinal fistulae with peritonitis.\nMATERIALS AND METHODS: Male Wistar rats, induced intestinal fistulae with peritonitis after 24 h, were performed an enterectomy and intestinal anastomoses. Group A, rats (n = 60) had a complete anastomoses (end-to-end single layer anastomoses using 12 inverted interrupted 6-0 sutures) without peritonitis, group B, rats (n = 60) had a complete anastomoses after 24 h of peritonitis, group C rats had an incomplete anastomoses (four inverted interrupted sutures), groups D, E, F rats (n = 60) received FG, rhGH, or both of them, respectively. rhGH was given daily for 5 days. Anastomoses indicated the anastomotic bursting pressure (ABP), tensile strength, and hydroxyproline content, were determined.\nRESULTS: On POD 1, ABP of group C and group D was significantly lower than that of other groups (P &lt; 0.01); On POD 3, ABP could not be determined because of intestinal dehiscence in groups C and E, ABP was significantly higher in groups D and F than that of groups A and B (P &lt; 0.01); the ABP increased after 5 days of operation in groups A, B, and F. At the same time, that of group D decreased (P &lt; 0.01). On POD 5, the tensile strength was significantly higher in groups A, D, and F than that in groups C, and E. On POD 5, hydroxyproline content was higher in groups D and F compared to that in group C (P &lt; 0.05).\nCONCLUSIONS: These data suggested that FG improve intestinal primary anastomotic healing within post-operative 5 days in a rat model of intestinal fistulae with peritonitis. RhGH alone fails to improve intestinal anastomotic healing, and the combination of FG and rhGH have no synergistic effect to improves intestinal anastomotic healing.","container-title":"The Journal of Surgical Research","DOI":"10.1016/j.jss.2005.09.013","ISSN":"0022-4804","issue":"1","journalAbbreviation":"J. Surg. Res.","language":"eng","note":"number: 1\nPMID: 16297407","page":"111-117","source":"PubMed","title":"Effect of the combination of fibrin glue and growth hormone on incomplete intestinal anastomoses in a rat model of intra-abdominal sepsis","volume":"131","author":[{"family":"Li","given":"Yousheng"},{"family":"Bao","given":"Yang"},{"family":"Jiang","given":"Tao"},{"family":"Tan","given":"Li"},{"family":"Gao","given":"Yun"},{"family":"Li","given":"Jieshou"}],"issued":{"date-parts":[["2006",3]]}}}],"schema":"https://github.com/citation-style-language/schema/raw/master/csl-citation.json"} </w:instrText>
      </w:r>
      <w:r w:rsidR="002204C3" w:rsidRPr="00764CB5">
        <w:rPr>
          <w:rFonts w:ascii="Times New Roman" w:hAnsi="Times New Roman" w:cs="Times New Roman"/>
          <w:highlight w:val="yellow"/>
          <w:lang w:val="en-GB"/>
        </w:rPr>
        <w:fldChar w:fldCharType="separate"/>
      </w:r>
      <w:r w:rsidR="0010346F" w:rsidRPr="00764CB5">
        <w:rPr>
          <w:rFonts w:ascii="Times New Roman" w:hAnsi="Times New Roman" w:cs="Times New Roman"/>
          <w:lang w:val="en-US"/>
        </w:rPr>
        <w:t>(10)</w:t>
      </w:r>
      <w:r w:rsidR="002204C3" w:rsidRPr="00764CB5">
        <w:rPr>
          <w:rFonts w:ascii="Times New Roman" w:hAnsi="Times New Roman" w:cs="Times New Roman"/>
          <w:highlight w:val="yellow"/>
          <w:lang w:val="en-GB"/>
        </w:rPr>
        <w:fldChar w:fldCharType="end"/>
      </w:r>
      <w:r w:rsidRPr="00764CB5">
        <w:rPr>
          <w:rFonts w:ascii="Times New Roman" w:eastAsiaTheme="minorEastAsia" w:hAnsi="Times New Roman" w:cs="Times New Roman"/>
          <w:lang w:val="en-GB"/>
        </w:rPr>
        <w:t xml:space="preserve"> or internal duodenal fistulae </w:t>
      </w:r>
      <w:r w:rsidR="002204C3" w:rsidRPr="00764CB5">
        <w:rPr>
          <w:rFonts w:ascii="Times New Roman" w:hAnsi="Times New Roman" w:cs="Times New Roman"/>
          <w:highlight w:val="yellow"/>
          <w:lang w:val="en-GB"/>
        </w:rPr>
        <w:fldChar w:fldCharType="begin"/>
      </w:r>
      <w:r w:rsidR="0010346F" w:rsidRPr="00764CB5">
        <w:rPr>
          <w:rFonts w:ascii="Times New Roman" w:hAnsi="Times New Roman" w:cs="Times New Roman"/>
          <w:highlight w:val="yellow"/>
          <w:lang w:val="en-GB"/>
        </w:rPr>
        <w:instrText xml:space="preserve"> ADDIN ZOTERO_ITEM CSL_CITATION {"citationID":"lbJmO3k4","properties":{"formattedCitation":"(11)","plainCitation":"(11)","noteIndex":0},"citationItems":[{"id":1005,"uris":["http://zotero.org/users/local/zN1MJwn5/items/DJQYYIHL"],"itemData":{"id":1005,"type":"article-journal","abstract":"Duodenal fistula is a significant ongoing surgical problem. Minimal invasive treatment might be an alternative to conventional open surgery. This study aimed to investigate whether addition of gentamicin to fibrin adhesive can augment current surgical methods. Having established a fistula, the defect was closed using the following: simple suturing, suturing covered with fibrin sealant only, or suturing with fibrin sealant mixed with gentamicin. Bursting pressure and macroscopic and microscopic examination were evaluated on the second and sixth day after surgery. The study demonstrated there was no significant difference in overall outcome between the 3 groups. However, on macroscopic examination, the mixture of antibiotic and fibrin adhesive decreased formation of adhesions and abscesses. Microscopically, there was decreased inflammation, improved granulation, and earlier onset of fibrin filament deposition, possibly leading to enhanced wound healing. The addition of gentamicin to fibrin sealant can be a useful adjunct to standard surgical closure in duodenal fistula management.","container-title":"Surgical Innovation","DOI":"10.1177/1553350611425505","ISSN":"1553-3514","issue":"3","journalAbbreviation":"Surg Innov","language":"eng","note":"number: 3\nPMID: 22143746","page":"275-280","source":"PubMed","title":"Fibrin glue with gentamicin as an alternative to conventional surgery in experimental treatment of duodenal fistula in rats","volume":"19","author":[{"family":"Gwozdziewicz","given":"Łukasz"},{"family":"Khan","given":"Muhammad Adil Abbas"},{"family":"Adamczyk","given":"Łukasz"},{"family":"Hać","given":"Stanisław"},{"family":"Rzepko","given":"Robert"}],"issued":{"date-parts":[["2012",9]]}}}],"schema":"https://github.com/citation-style-language/schema/raw/master/csl-citation.json"} </w:instrText>
      </w:r>
      <w:r w:rsidR="002204C3" w:rsidRPr="00764CB5">
        <w:rPr>
          <w:rFonts w:ascii="Times New Roman" w:hAnsi="Times New Roman" w:cs="Times New Roman"/>
          <w:highlight w:val="yellow"/>
          <w:lang w:val="en-GB"/>
        </w:rPr>
        <w:fldChar w:fldCharType="separate"/>
      </w:r>
      <w:r w:rsidR="0010346F" w:rsidRPr="00764CB5">
        <w:rPr>
          <w:rFonts w:ascii="Times New Roman" w:hAnsi="Times New Roman" w:cs="Times New Roman"/>
          <w:lang w:val="en-US"/>
        </w:rPr>
        <w:t>(11)</w:t>
      </w:r>
      <w:r w:rsidR="002204C3" w:rsidRPr="00764CB5">
        <w:rPr>
          <w:rFonts w:ascii="Times New Roman" w:hAnsi="Times New Roman" w:cs="Times New Roman"/>
          <w:highlight w:val="yellow"/>
          <w:lang w:val="en-GB"/>
        </w:rPr>
        <w:fldChar w:fldCharType="end"/>
      </w:r>
      <w:r w:rsidRPr="00764CB5">
        <w:rPr>
          <w:rFonts w:ascii="Times New Roman" w:eastAsiaTheme="minorEastAsia" w:hAnsi="Times New Roman" w:cs="Times New Roman"/>
          <w:lang w:val="en-GB"/>
        </w:rPr>
        <w:t xml:space="preserve">. In the field of gastric surgery, two models of post-surgical </w:t>
      </w:r>
      <w:proofErr w:type="spellStart"/>
      <w:r w:rsidRPr="00764CB5">
        <w:rPr>
          <w:rFonts w:ascii="Times New Roman" w:eastAsiaTheme="minorEastAsia" w:hAnsi="Times New Roman" w:cs="Times New Roman"/>
          <w:lang w:val="en-GB"/>
        </w:rPr>
        <w:t>gastrocutaneous</w:t>
      </w:r>
      <w:proofErr w:type="spellEnd"/>
      <w:r w:rsidRPr="00764CB5">
        <w:rPr>
          <w:rFonts w:ascii="Times New Roman" w:eastAsiaTheme="minorEastAsia" w:hAnsi="Times New Roman" w:cs="Times New Roman"/>
          <w:lang w:val="en-GB"/>
        </w:rPr>
        <w:t xml:space="preserve"> fistulae have already been developed, however none were set in the specific context of sleeve gastrectomy. For the first one </w:t>
      </w:r>
      <w:r w:rsidR="002204C3" w:rsidRPr="00764CB5">
        <w:rPr>
          <w:rFonts w:ascii="Times New Roman" w:hAnsi="Times New Roman" w:cs="Times New Roman"/>
          <w:lang w:val="en-GB"/>
        </w:rPr>
        <w:fldChar w:fldCharType="begin"/>
      </w:r>
      <w:r w:rsidR="0010346F" w:rsidRPr="00764CB5">
        <w:rPr>
          <w:rFonts w:ascii="Times New Roman" w:hAnsi="Times New Roman" w:cs="Times New Roman"/>
          <w:lang w:val="en-GB"/>
        </w:rPr>
        <w:instrText xml:space="preserve"> ADDIN ZOTERO_ITEM CSL_CITATION {"citationID":"eGMCCKIs","properties":{"formattedCitation":"(12)","plainCitation":"(12)","noteIndex":0},"citationItems":[{"id":997,"uris":["http://zotero.org/users/local/zN1MJwn5/items/V5AM6L4A"],"itemData":{"id":997,"type":"article-journal","abstract":"OBJECTIVE: This study focused on unhealed gastrocutaneous fistulas to resolve whether standard drugs that promote healing of gastric ulcers may simultaneously have the same effect on cutaneous wounds, and corticosteroid aggravation, and to demonstrate why peptides such as BPC 157 exhibit a greater healing effect. Therefore, with the fistulas therapy, we challenge the wound/growth factors theory of the analogous nonhealing of wounds and persistent gastric ulcers.\nMETHODS: The healing rate of gastrocutaneous fistula in rat (2-mm-diameter stomach defect, 3-mm-diameter skin defect) validates macro/microscopically and biomechanically a direct skin wound/stomach ulcer relation, and identifies a potential therapy consisting of: (i) stable gastric pentadecapeptide BPC 157 [in drinking water (10 microg/kg) (12 ml/rat/day) or intraperitoneally (10 microg/kg, 10 ng/kg, 10 pg/kg)], (ii) atropine (10 mg/kg), ranitidine (50 mg/kg), and omeprazole (50 mg/kg), (iii) 6-alpha-methylprednisolone (1 mg/kg) [intraperitoneally, once daily, first application at 30 min following surgery; last 24 h before sacrifice (at postoperative days 1, 2, 3, 7, 14, and 21)].\nRESULTS: Greater anti-ulcer potential and efficiency in wound healing compared with standard agents favor BPC 157, efficient in inflammatory bowel disease (PL-14736, Pliva), given in drinking water or intraperitoneally. Even after 6-alpha-methylprednisolone aggravation, BPC 157 promptly improves both skin and stomach mucosa healing, and closure of fistulas, with no leakage after up to 20 ml water intragastrically. Standard anti-ulcer agents, after a delay, improve firstly skin healing and then stomach mucosal healing, but not fistula leaking and bursting strength (except for atropine).\nCONCLUSION: We conclude that BPC 157 may resolve analogous nonhealing of wounds and persistent gastric ulcers better than standard agents.","container-title":"Digestive Diseases and Sciences","DOI":"10.1007/s10620-008-0332-9","ISSN":"1573-2568","issue":"1","journalAbbreviation":"Dig. Dis. Sci.","language":"eng","note":"number: 1\nPMID: 18649140","page":"46-56","source":"PubMed","title":"Therapy for unhealed gastrocutaneous fistulas in rats as a model for analogous healing of persistent skin wounds and persistent gastric ulcers: stable gastric pentadecapeptide BPC 157, atropine, ranitidine, and omeprazole","title-short":"Therapy for unhealed gastrocutaneous fistulas in rats as a model for analogous healing of persistent skin wounds and persistent gastric ulcers","volume":"54","author":[{"family":"Skorjanec","given":"Sandra"},{"family":"Dolovski","given":"Zdravko"},{"family":"Kocman","given":"Ivan"},{"family":"Brcic","given":"Luka"},{"family":"Blagaic Boban","given":"Alenka"},{"family":"Batelja","given":"Lovorka"},{"family":"Coric","given":"Marjana"},{"family":"Sever","given":"Marko"},{"family":"Klicek","given":"Robert"},{"family":"Berkopic","given":"Lidija"},{"family":"Radic","given":"Bozo"},{"family":"Drmic","given":"Domagoj"},{"family":"Kolenc","given":"Danijela"},{"family":"Ilic","given":"Spomenko"},{"family":"Cesarec","given":"Vedran"},{"family":"Tonkic","given":"Ante"},{"family":"Zoricic","given":"Ivan"},{"family":"Mise","given":"Stjepan"},{"family":"Staresinic","given":"Mario"},{"family":"Ivica","given":"Mihovil"},{"family":"Lovric Bencic","given":"Martina"},{"family":"Anic","given":"Tomislav"},{"family":"Seiwerth","given":"Sven"},{"family":"Sikiric","given":"Predrag"}],"issued":{"date-parts":[["2009",1]]}}}],"schema":"https://github.com/citation-style-language/schema/raw/master/csl-citation.json"} </w:instrText>
      </w:r>
      <w:r w:rsidR="002204C3" w:rsidRPr="00764CB5">
        <w:rPr>
          <w:rFonts w:ascii="Times New Roman" w:hAnsi="Times New Roman" w:cs="Times New Roman"/>
          <w:lang w:val="en-GB"/>
        </w:rPr>
        <w:fldChar w:fldCharType="separate"/>
      </w:r>
      <w:r w:rsidR="0010346F" w:rsidRPr="00764CB5">
        <w:rPr>
          <w:rFonts w:ascii="Times New Roman" w:hAnsi="Times New Roman" w:cs="Times New Roman"/>
          <w:lang w:val="en-US"/>
        </w:rPr>
        <w:t>(12)</w:t>
      </w:r>
      <w:r w:rsidR="002204C3" w:rsidRPr="00764CB5">
        <w:rPr>
          <w:rFonts w:ascii="Times New Roman" w:hAnsi="Times New Roman" w:cs="Times New Roman"/>
          <w:lang w:val="en-GB"/>
        </w:rPr>
        <w:fldChar w:fldCharType="end"/>
      </w:r>
      <w:r w:rsidRPr="00764CB5">
        <w:rPr>
          <w:rFonts w:ascii="Times New Roman" w:eastAsiaTheme="minorEastAsia" w:hAnsi="Times New Roman" w:cs="Times New Roman"/>
          <w:lang w:val="en-GB"/>
        </w:rPr>
        <w:t xml:space="preserve">, gastrotomy was performed in Wistar rats and the stomach was then attached to the front abdominal wall. The second </w:t>
      </w:r>
      <w:r w:rsidR="002204C3" w:rsidRPr="00764CB5">
        <w:rPr>
          <w:rFonts w:ascii="Times New Roman" w:hAnsi="Times New Roman" w:cs="Times New Roman"/>
          <w:lang w:val="en-GB"/>
        </w:rPr>
        <w:fldChar w:fldCharType="begin"/>
      </w:r>
      <w:r w:rsidR="0010346F" w:rsidRPr="00764CB5">
        <w:rPr>
          <w:rFonts w:ascii="Times New Roman" w:hAnsi="Times New Roman" w:cs="Times New Roman"/>
          <w:lang w:val="en-GB"/>
        </w:rPr>
        <w:instrText xml:space="preserve"> ADDIN ZOTERO_ITEM CSL_CITATION {"citationID":"xRMhiFnC","properties":{"formattedCitation":"(13)","plainCitation":"(13)","noteIndex":0},"citationItems":[{"id":788,"uris":["http://zotero.org/users/local/zN1MJwn5/items/6VHVUWT3"],"itemData":{"id":788,"type":"article-journal","abstract":"To assess the efficacy of using autologous stromal vascular fraction (SVF) to promote healing of controlled fistula tracts in the management of postoperative upper gastrointestinal leakage. This is an experimental study conducted on 10 experimental rabbits. Animal models were divided into the SVF group which received an autologous SVF and the control group which did not receive the implantation. Surgery was performed on both groups to induce a gastric leak and create a controlled fistula tract between the leakage site in the stomach and the skin. After 2 weeks, surgery was performed on the SVF group to harvest, process and then implant the autologous SVF in the fistula tract. Animal models were followed up and their fistula tracts were evaluated for healing by gross and microscopic examination of the fistula tracts before the SVF implantation and at 24 hours, 1 week, 2 weeks and 3 weeks after implantation. The control group revealed no closure of fistula tracts by the 3(rd) week after implantation and there were no signs of inflammation or drainage. On the other hand, the SVF group showed signs of healing process with progressive closure of the fistula tract to about 95% by the 3(rd) week after implantation. The use of autologous SVF implantation to promote the healing of controlled fistula tracts seems to be a novel, safe and effective method in the management of postoperative upper gastrointestinal leakage. It could prevent reoperation and reduce hospital stay, morbidity and mortality. These results are promising and provide support for further clinical studies.","container-title":"International Surgery","DOI":"10.9738/INTSURG-D-14-00120.1","ISSN":"2520-2456","issue":"4","journalAbbreviation":"Int Surg","language":"eng","note":"number: 4\nPMID: 25875560\nPMCID: PMC4400949","page":"748-754","source":"PubMed","title":"Management of postoperative gastrointestinal leakage with autologous stromal vascular fraction","volume":"100","author":[{"family":"Aldaqal","given":"Saleh M."},{"family":"Khayat","given":"Meiaad F."},{"family":"Bokhary","given":"Rana Y."},{"family":"Wakka","given":"Mazen M."},{"family":"Merdad","given":"Adnan A."},{"family":"Merdad","given":"Leena A."}],"issued":{"date-parts":[["2015",4]]}}}],"schema":"https://github.com/citation-style-language/schema/raw/master/csl-citation.json"} </w:instrText>
      </w:r>
      <w:r w:rsidR="002204C3" w:rsidRPr="00764CB5">
        <w:rPr>
          <w:rFonts w:ascii="Times New Roman" w:hAnsi="Times New Roman" w:cs="Times New Roman"/>
          <w:lang w:val="en-GB"/>
        </w:rPr>
        <w:fldChar w:fldCharType="separate"/>
      </w:r>
      <w:r w:rsidR="0010346F" w:rsidRPr="00764CB5">
        <w:rPr>
          <w:rFonts w:ascii="Times New Roman" w:hAnsi="Times New Roman" w:cs="Times New Roman"/>
          <w:lang w:val="en-US"/>
        </w:rPr>
        <w:t>(13)</w:t>
      </w:r>
      <w:r w:rsidR="002204C3" w:rsidRPr="00764CB5">
        <w:rPr>
          <w:rFonts w:ascii="Times New Roman" w:hAnsi="Times New Roman" w:cs="Times New Roman"/>
          <w:lang w:val="en-GB"/>
        </w:rPr>
        <w:fldChar w:fldCharType="end"/>
      </w:r>
      <w:r w:rsidRPr="00764CB5">
        <w:rPr>
          <w:rFonts w:ascii="Times New Roman" w:eastAsiaTheme="minorEastAsia" w:hAnsi="Times New Roman" w:cs="Times New Roman"/>
          <w:lang w:val="en-GB"/>
        </w:rPr>
        <w:t xml:space="preserve"> described waiting two hours after gastrotomy in rabbits for the formation of leakage then using a drain sutured to the skin and abdominal muscles to create fistula trac</w:t>
      </w:r>
      <w:r w:rsidRPr="00764CB5">
        <w:rPr>
          <w:rFonts w:ascii="Times New Roman" w:hAnsi="Times New Roman" w:cs="Times New Roman"/>
          <w:lang w:val="en-GB"/>
        </w:rPr>
        <w:t xml:space="preserve">ts. </w:t>
      </w:r>
    </w:p>
    <w:p w14:paraId="2393D258" w14:textId="77777777" w:rsidR="724A2AEA" w:rsidRPr="00764CB5" w:rsidRDefault="724A2AEA" w:rsidP="002D0FB2">
      <w:pPr>
        <w:spacing w:line="276" w:lineRule="auto"/>
        <w:jc w:val="both"/>
        <w:rPr>
          <w:rFonts w:ascii="Times New Roman" w:hAnsi="Times New Roman" w:cs="Times New Roman"/>
          <w:lang w:val="en-GB"/>
        </w:rPr>
      </w:pPr>
    </w:p>
    <w:p w14:paraId="2393D259" w14:textId="77777777" w:rsidR="724A2AEA" w:rsidRDefault="724A2AEA" w:rsidP="002D0FB2">
      <w:pPr>
        <w:spacing w:line="276" w:lineRule="auto"/>
        <w:jc w:val="both"/>
        <w:rPr>
          <w:rFonts w:ascii="Times New Roman" w:hAnsi="Times New Roman" w:cs="Times New Roman"/>
          <w:lang w:val="en-GB"/>
        </w:rPr>
      </w:pPr>
      <w:r w:rsidRPr="00764CB5">
        <w:rPr>
          <w:rFonts w:ascii="Times New Roman" w:hAnsi="Times New Roman" w:cs="Times New Roman"/>
          <w:lang w:val="en-GB"/>
        </w:rPr>
        <w:t xml:space="preserve">Sleeve gastrectomy poses specific mechanical constraints, such as an increased pressure in the sleeved stomach, which have been hypothesized to contribute to staple line failure </w:t>
      </w:r>
      <w:r w:rsidR="002204C3" w:rsidRPr="00764CB5">
        <w:rPr>
          <w:rFonts w:ascii="Times New Roman" w:hAnsi="Times New Roman" w:cs="Times New Roman"/>
          <w:lang w:val="en-GB"/>
        </w:rPr>
        <w:fldChar w:fldCharType="begin"/>
      </w:r>
      <w:r w:rsidR="0010346F" w:rsidRPr="00764CB5">
        <w:rPr>
          <w:rFonts w:ascii="Times New Roman" w:hAnsi="Times New Roman" w:cs="Times New Roman"/>
          <w:lang w:val="en-GB"/>
        </w:rPr>
        <w:instrText xml:space="preserve"> ADDIN ZOTERO_ITEM CSL_CITATION {"citationID":"LMVK9kav","properties":{"formattedCitation":"(14)","plainCitation":"(14)","noteIndex":0},"citationItems":[{"id":5389,"uris":["http://zotero.org/users/local/zN1MJwn5/items/RYLAWL5N"],"itemData":{"id":5389,"type":"article-journal","container-title":"Obesity Surgery","DOI":"10.1007/s11695-012-0860-4","ISSN":"0960-8923, 1708-0428","issue":"5","journalAbbreviation":"OBES SURG","language":"en","page":"676-686","source":"DOI.org (Crossref)","title":"Sleeve Gastrectomy Severe Complications: Is It Always a Reasonable Surgical Option?","title-short":"Sleeve Gastrectomy Severe Complications","volume":"23","author":[{"family":"Moszkowicz","given":"David"},{"family":"Arienzo","given":"Roberto"},{"family":"Khettab","given":"Idir"},{"family":"Rahmi","given":"Gabriel"},{"family":"Zinzindohoué","given":"Franck"},{"family":"Berger","given":"Anne"},{"family":"Chevallier","given":"Jean-Marc"}],"issued":{"date-parts":[["2013",5]]}}}],"schema":"https://github.com/citation-style-language/schema/raw/master/csl-citation.json"} </w:instrText>
      </w:r>
      <w:r w:rsidR="002204C3" w:rsidRPr="00764CB5">
        <w:rPr>
          <w:rFonts w:ascii="Times New Roman" w:hAnsi="Times New Roman" w:cs="Times New Roman"/>
          <w:lang w:val="en-GB"/>
        </w:rPr>
        <w:fldChar w:fldCharType="separate"/>
      </w:r>
      <w:r w:rsidR="0010346F" w:rsidRPr="00764CB5">
        <w:rPr>
          <w:rFonts w:ascii="Times New Roman" w:hAnsi="Times New Roman" w:cs="Times New Roman"/>
          <w:lang w:val="en-US"/>
        </w:rPr>
        <w:t>(14)</w:t>
      </w:r>
      <w:r w:rsidR="002204C3" w:rsidRPr="00764CB5">
        <w:rPr>
          <w:rFonts w:ascii="Times New Roman" w:hAnsi="Times New Roman" w:cs="Times New Roman"/>
          <w:lang w:val="en-GB"/>
        </w:rPr>
        <w:fldChar w:fldCharType="end"/>
      </w:r>
      <w:r w:rsidRPr="00764CB5">
        <w:rPr>
          <w:rFonts w:ascii="Times New Roman" w:hAnsi="Times New Roman" w:cs="Times New Roman"/>
          <w:lang w:val="en-GB"/>
        </w:rPr>
        <w:t>. Leaks develop specifically at the top of the staple</w:t>
      </w:r>
      <w:r w:rsidRPr="724A2AEA">
        <w:rPr>
          <w:rFonts w:ascii="Times New Roman" w:hAnsi="Times New Roman" w:cs="Times New Roman"/>
          <w:lang w:val="en-GB"/>
        </w:rPr>
        <w:t xml:space="preserve"> line near the </w:t>
      </w:r>
      <w:proofErr w:type="spellStart"/>
      <w:r w:rsidRPr="724A2AEA">
        <w:rPr>
          <w:rFonts w:ascii="Times New Roman" w:hAnsi="Times New Roman" w:cs="Times New Roman"/>
          <w:lang w:val="en-GB"/>
        </w:rPr>
        <w:t>oesogastric</w:t>
      </w:r>
      <w:proofErr w:type="spellEnd"/>
      <w:r w:rsidRPr="724A2AEA">
        <w:rPr>
          <w:rFonts w:ascii="Times New Roman" w:hAnsi="Times New Roman" w:cs="Times New Roman"/>
          <w:lang w:val="en-GB"/>
        </w:rPr>
        <w:t xml:space="preserve"> junction in the vast majority of the cases </w:t>
      </w:r>
      <w:r w:rsidR="002204C3" w:rsidRPr="724A2AEA">
        <w:rPr>
          <w:rFonts w:ascii="Times New Roman" w:hAnsi="Times New Roman" w:cs="Times New Roman"/>
          <w:lang w:val="en-GB"/>
        </w:rPr>
        <w:fldChar w:fldCharType="begin"/>
      </w:r>
      <w:r w:rsidR="0010346F">
        <w:rPr>
          <w:rFonts w:ascii="Times New Roman" w:hAnsi="Times New Roman" w:cs="Times New Roman"/>
          <w:lang w:val="en-GB"/>
        </w:rPr>
        <w:instrText xml:space="preserve"> ADDIN ZOTERO_ITEM CSL_CITATION {"citationID":"QcTmGbdk","properties":{"formattedCitation":"(15)","plainCitation":"(15)","noteIndex":0},"citationItems":[{"id":5137,"uris":["http://zotero.org/users/local/zN1MJwn5/items/48AMVPLS"],"itemData":{"id":5137,"type":"article-journal","abstract":"INTRODUCTION: Sleeve gastrectomy has become a popular stand-alone bariatric procedure with comparable weight loss and resolution of comorbidities to that of laparoscopic gastric bypass. The simplicity of the procedure and the decreased long-term risk profile make this surgery more appealing. Nonetheless, the ever present risk of a staple-line leak is still of great concern and needs further investigation.\nMETHODS: An electronic literature search of MEDLINE database plus manual reference checks of articles published on laparoscopic sleeve gastrectomy for morbid obesity and its complications was completed. Keywords used in the search were \"sleeve gastrectomy\" OR \"gastric sleeve\" AND \"leak.\" We analyzed 29 publications, including 4,888 patients. We analyzed the frequency of leak after sleeve gastrectomy and its associated risks of causation.\nRESULTS: The risk of leak after sleeve gastrectomy in all comers was 2.4%. This risk was 2.9% in the super-obese [body mass index (BMI) &gt; 50 kg/m(2)] and 2.2% for BMI &lt; 50 kg/m(2). Staple height and use of buttressing material did not affect leak rate. The use of a size 40-Fr or greater bougie was associated with a leak rate of 0.6% compared with those who used smaller sizes whose leak rate was 2.8%. Leaks were found at the proximal third of the stomach in 89% of cases. Most leaks were diagnosed after discharge. Endoscopic management is a viable option for leaks and was documented in 11% of cases as successful.\nCONCLUSIONS: Sleeve gastrectomy has become an important surgical option for the treatment of the ever growing morbidly obese population. The risk of leak is low at 2.4%. Attention to detail specifically at the esophagogastric junction cannot be stressed enough. Careful patient selection (BMI &lt; 50 kg/m(2)) and adopting the use of a 40-Fr or larger bougie may decrease the risk of leak. Vigilant follow-up during the first 30 days is critical to avoid catastrophe, because most leaks will happen after patient discharge.","container-title":"Surgical Endoscopy","DOI":"10.1007/s00464-011-2085-3","ISSN":"1432-2218","issue":"6","journalAbbreviation":"Surg Endosc","language":"eng","note":"PMID: 22179470","page":"1509-1515","source":"PubMed","title":"Sleeve gastrectomy and the risk of leak: a systematic analysis of 4,888 patients","title-short":"Sleeve gastrectomy and the risk of leak","volume":"26","author":[{"family":"Aurora","given":"Alexander R."},{"family":"Khaitan","given":"Leena"},{"family":"Saber","given":"Alan A."}],"issued":{"date-parts":[["2012",6]]}}}],"schema":"https://github.com/citation-style-language/schema/raw/master/csl-citation.json"} </w:instrText>
      </w:r>
      <w:r w:rsidR="002204C3" w:rsidRPr="724A2AEA">
        <w:rPr>
          <w:rFonts w:ascii="Times New Roman" w:hAnsi="Times New Roman" w:cs="Times New Roman"/>
          <w:lang w:val="en-GB"/>
        </w:rPr>
        <w:fldChar w:fldCharType="separate"/>
      </w:r>
      <w:r w:rsidR="0010346F" w:rsidRPr="00D67513">
        <w:rPr>
          <w:rFonts w:ascii="Times New Roman" w:hAnsi="Times New Roman" w:cs="Times New Roman"/>
          <w:lang w:val="en-US"/>
        </w:rPr>
        <w:t>(15)</w:t>
      </w:r>
      <w:r w:rsidR="002204C3" w:rsidRPr="724A2AEA">
        <w:rPr>
          <w:rFonts w:ascii="Times New Roman" w:hAnsi="Times New Roman" w:cs="Times New Roman"/>
          <w:lang w:val="en-GB"/>
        </w:rPr>
        <w:fldChar w:fldCharType="end"/>
      </w:r>
      <w:r w:rsidRPr="724A2AEA">
        <w:rPr>
          <w:rFonts w:ascii="Times New Roman" w:hAnsi="Times New Roman" w:cs="Times New Roman"/>
          <w:lang w:val="en-GB"/>
        </w:rPr>
        <w:t xml:space="preserve">. An </w:t>
      </w:r>
      <w:r w:rsidRPr="724A2AEA">
        <w:rPr>
          <w:rFonts w:ascii="Times New Roman" w:hAnsi="Times New Roman" w:cs="Times New Roman"/>
          <w:i/>
          <w:iCs/>
          <w:lang w:val="en-GB"/>
        </w:rPr>
        <w:t xml:space="preserve">ex vivo </w:t>
      </w:r>
      <w:r w:rsidRPr="724A2AEA">
        <w:rPr>
          <w:rFonts w:ascii="Times New Roman" w:hAnsi="Times New Roman" w:cs="Times New Roman"/>
          <w:lang w:val="en-GB"/>
        </w:rPr>
        <w:t xml:space="preserve">study of the mechanical behaviour of sleeved stomachs in pigs described a correlation between the mean burst pressure of the staple line and the volume of the stomach, with failure occurring at the zone which underwent the highest displacement (at the upper part of the stapling in 73% of the cases) </w:t>
      </w:r>
      <w:r w:rsidR="002204C3" w:rsidRPr="724A2AEA">
        <w:rPr>
          <w:rFonts w:ascii="Times New Roman" w:hAnsi="Times New Roman" w:cs="Times New Roman"/>
          <w:lang w:val="en-GB"/>
        </w:rPr>
        <w:fldChar w:fldCharType="begin"/>
      </w:r>
      <w:r w:rsidR="0010346F">
        <w:rPr>
          <w:rFonts w:ascii="Times New Roman" w:hAnsi="Times New Roman" w:cs="Times New Roman"/>
          <w:lang w:val="en-GB"/>
        </w:rPr>
        <w:instrText xml:space="preserve"> ADDIN ZOTERO_ITEM CSL_CITATION {"citationID":"9JtDSoxz","properties":{"formattedCitation":"(16)","plainCitation":"(16)","noteIndex":0},"citationItems":[{"id":5253,"uris":["http://zotero.org/users/local/zN1MJwn5/items/HD6ZGU86"],"itemData":{"id":5253,"type":"article-journal","abstract":"INTRODUCTION: A gastric leak (GL) represents the main post-operative complication following a sleeve gastrectomy (SG) and occurs most commonly at the top of the stapling, without any clear explanation.\nOBJECTIVE: This experimental study evaluates the biomechanical behavior of post-SG gastric specimens using both insufflation and tensile tests.\nMATERIALS AND METHODS: A total gastrectomy followed by an ex vivo SG was performed in 15 pigs. The \"sleeved\" stomachs were subjected to intraluminal hyperpressure until failure. Uniaxial circumferential and longitudinal tensile tests were performed using gastric strips obtained from the \"resected\" stomachs. All the deformations and burst pressures were recorded and analyzed.\nRESULTS: A GL appeared in the upper third of the stapling in 73% of cases. The mean burst pressure was 26.3 ± 5.3 mmHg and was significantly correlated with the volume of the \"sleeved\" stomachs (p = 0.02). The overall deformation of the \"sleeved\" stomachs was comparable in the frontal (38.3%) and profile (40.5%) planes. The greatest displacement was observed at the failure zone (11 mm on average). The biomechanical behavior of the stomach wall differed according to the strip orientation. The circumferential strips presented a higher strain-to-failure rate (97%) and a lower Young's modulus (0.99 MPa) when compared to the longitudinal strips (45% and 2.58 MPa, respectively).\nCONCLUSION: This preliminary study reproduced a GL in the same location as observed during clinical practice. The volume of the SG influenced the burst pressure. Further experimental studies and numerical simulations should evaluate the impact of shape modifications on an SG.","container-title":"Obesity Surgery","DOI":"10.1007/s11695-019-03924-2","ISSN":"1708-0428","issue":"9","journalAbbreviation":"Obes Surg","language":"eng","note":"PMID: 31154568","page":"2773-2780","source":"PubMed","title":"An Experimental Study of Intraluminal Hyperpressure Reproducing a Gastric Leak Following a Sleeve Gastrectomy","volume":"29","author":[{"family":"Marie","given":"Lysa"},{"family":"Masson","given":"Catherine"},{"family":"Gaborit","given":"Bénédicte"},{"family":"Berdah","given":"Stéphane V."},{"family":"Bège","given":"Thierry"}],"issued":{"date-parts":[["2019",9]]}}}],"schema":"https://github.com/citation-style-language/schema/raw/master/csl-citation.json"} </w:instrText>
      </w:r>
      <w:r w:rsidR="002204C3" w:rsidRPr="724A2AEA">
        <w:rPr>
          <w:rFonts w:ascii="Times New Roman" w:hAnsi="Times New Roman" w:cs="Times New Roman"/>
          <w:lang w:val="en-GB"/>
        </w:rPr>
        <w:fldChar w:fldCharType="separate"/>
      </w:r>
      <w:r w:rsidR="0010346F" w:rsidRPr="00D67513">
        <w:rPr>
          <w:rFonts w:ascii="Times New Roman" w:hAnsi="Times New Roman" w:cs="Times New Roman"/>
          <w:lang w:val="en-US"/>
        </w:rPr>
        <w:t>(16)</w:t>
      </w:r>
      <w:r w:rsidR="002204C3" w:rsidRPr="724A2AEA">
        <w:rPr>
          <w:rFonts w:ascii="Times New Roman" w:hAnsi="Times New Roman" w:cs="Times New Roman"/>
          <w:lang w:val="en-GB"/>
        </w:rPr>
        <w:fldChar w:fldCharType="end"/>
      </w:r>
      <w:r w:rsidRPr="724A2AEA">
        <w:rPr>
          <w:rFonts w:ascii="Times New Roman" w:hAnsi="Times New Roman" w:cs="Times New Roman"/>
          <w:lang w:val="en-GB"/>
        </w:rPr>
        <w:t xml:space="preserve">. Simulations of the stress exerted on the luminal wall of sleeved stomachs using Finite Element Modelling showed that upon swallowing the stress would concentrate at the level of the staple line, near the </w:t>
      </w:r>
      <w:proofErr w:type="spellStart"/>
      <w:r w:rsidRPr="724A2AEA">
        <w:rPr>
          <w:rFonts w:ascii="Times New Roman" w:hAnsi="Times New Roman" w:cs="Times New Roman"/>
          <w:lang w:val="en-GB"/>
        </w:rPr>
        <w:t>oesogastric</w:t>
      </w:r>
      <w:proofErr w:type="spellEnd"/>
      <w:r w:rsidRPr="724A2AEA">
        <w:rPr>
          <w:rFonts w:ascii="Times New Roman" w:hAnsi="Times New Roman" w:cs="Times New Roman"/>
          <w:lang w:val="en-GB"/>
        </w:rPr>
        <w:t xml:space="preserve"> junction; and would be diminished in the advent of a leak </w:t>
      </w:r>
      <w:r w:rsidR="002204C3" w:rsidRPr="724A2AEA">
        <w:rPr>
          <w:rFonts w:ascii="Times New Roman" w:hAnsi="Times New Roman" w:cs="Times New Roman"/>
          <w:lang w:val="en-GB"/>
        </w:rPr>
        <w:fldChar w:fldCharType="begin"/>
      </w:r>
      <w:r w:rsidR="0010346F">
        <w:rPr>
          <w:rFonts w:ascii="Times New Roman" w:hAnsi="Times New Roman" w:cs="Times New Roman"/>
          <w:lang w:val="en-GB"/>
        </w:rPr>
        <w:instrText xml:space="preserve"> ADDIN ZOTERO_ITEM CSL_CITATION {"citationID":"pKMg6nvV","properties":{"formattedCitation":"(17)","plainCitation":"(17)","noteIndex":0},"citationItems":[{"id":5382,"uris":["http://zotero.org/users/local/zN1MJwn5/items/SUSUFMWJ"],"itemData":{"id":5382,"type":"article-journal","abstract":"Abstract\n            \n              Purpose\n              Staple line leak following sleeve gastrectomy is a significant problem and has been hypothesised to be related to hyperpressurisation in the proximal stomach. There is, however, little objective evidence demonstrating how these forces could be transmitted to the luminal wall. We aimed to define conditions in the proximal stomach and simulate the transmission of stress forces in the post-operative stomach using a finite element analysis (FEA).\n            \n            \n              Materials and Methods\n              The manometry of fourteen patients post sleeve gastrectomy was compared to ten controls. Manometry, boundary conditions, and volumetric CT were integrated to develop six models. These models delineated luminal wall stress in the proximal stomach. Key features were then varied to establish the influence of each factor.\n            \n            \n              Results\n              \n                The sleeve gastrectomy cohort had a significantly higher peak intragastric isobaric pressures 31.58 ± 2.1 vs. 13.49 ± 1.3 mmHg (\n                p\n                 = 0.0002). Regions of stress were clustered at the staple line near the GOJ, and peak stress was observed there in 67% of models. A uniform greater curvature did not fail or concentrate stress under maximal pressurisation. Geometric variation demonstrated that a larger triangulated apex increased stress by 17% (255 kPa versus 218 kPa), with a 37% increase at the GOJ (203kPA versus 148kPA). A wider incisura reduced stress at the GOJ by 9.9% (128 kPa versus 142 kPa).\n              \n            \n            \n              Conclusion\n              High pressure events can occur in the proximal stomach after sleeve gastrectomy. Simulations suggest that these events preferentially concentrate stress forces near the GOJ. This study simulates how high-pressure events could translate stress to the luminal wall and precipitate leak.\n            \n            \n              Graphical Abstract","container-title":"Obesity Surgery","DOI":"10.1007/s11695-022-06110-z","ISSN":"0960-8923, 1708-0428","issue":"8","journalAbbreviation":"OBES SURG","language":"en","page":"2525-2536","source":"DOI.org (Crossref)","title":"Mechanism of Staple Line Leak After Sleeve Gastrectomy via Isobaric Pressurisation Concentrating Stress Forces at the Proximal Staple Line","volume":"32","author":[{"family":"Catchlove","given":"William"},{"family":"Liao","given":"Sam"},{"family":"Lim","given":"Gillian"},{"family":"Brown","given":"Wendy"},{"family":"Burton","given":"Paul"}],"issued":{"date-parts":[["2022",8]]}}}],"schema":"https://github.com/citation-style-language/schema/raw/master/csl-citation.json"} </w:instrText>
      </w:r>
      <w:r w:rsidR="002204C3" w:rsidRPr="724A2AEA">
        <w:rPr>
          <w:rFonts w:ascii="Times New Roman" w:hAnsi="Times New Roman" w:cs="Times New Roman"/>
          <w:lang w:val="en-GB"/>
        </w:rPr>
        <w:fldChar w:fldCharType="separate"/>
      </w:r>
      <w:r w:rsidR="0010346F" w:rsidRPr="00D67513">
        <w:rPr>
          <w:rFonts w:ascii="Times New Roman" w:hAnsi="Times New Roman" w:cs="Times New Roman"/>
          <w:lang w:val="en-US"/>
        </w:rPr>
        <w:t>(17)</w:t>
      </w:r>
      <w:r w:rsidR="002204C3" w:rsidRPr="724A2AEA">
        <w:rPr>
          <w:rFonts w:ascii="Times New Roman" w:hAnsi="Times New Roman" w:cs="Times New Roman"/>
          <w:lang w:val="en-GB"/>
        </w:rPr>
        <w:fldChar w:fldCharType="end"/>
      </w:r>
      <w:r w:rsidRPr="724A2AEA">
        <w:rPr>
          <w:rFonts w:ascii="Times New Roman" w:hAnsi="Times New Roman" w:cs="Times New Roman"/>
          <w:lang w:val="en-GB"/>
        </w:rPr>
        <w:t xml:space="preserve">. Another factor that could contribute to staple line leak development (and subsequent evolution into full </w:t>
      </w:r>
      <w:proofErr w:type="spellStart"/>
      <w:r w:rsidRPr="724A2AEA">
        <w:rPr>
          <w:rFonts w:ascii="Times New Roman" w:hAnsi="Times New Roman" w:cs="Times New Roman"/>
          <w:lang w:val="en-GB"/>
        </w:rPr>
        <w:t>gastrocutaneous</w:t>
      </w:r>
      <w:proofErr w:type="spellEnd"/>
      <w:r w:rsidRPr="724A2AEA">
        <w:rPr>
          <w:rFonts w:ascii="Times New Roman" w:hAnsi="Times New Roman" w:cs="Times New Roman"/>
          <w:lang w:val="en-GB"/>
        </w:rPr>
        <w:t xml:space="preserve"> fistulae) is ischemia. Vascularisation of the </w:t>
      </w:r>
      <w:proofErr w:type="spellStart"/>
      <w:r w:rsidRPr="724A2AEA">
        <w:rPr>
          <w:rFonts w:ascii="Times New Roman" w:hAnsi="Times New Roman" w:cs="Times New Roman"/>
          <w:lang w:val="en-GB"/>
        </w:rPr>
        <w:t>esogastric</w:t>
      </w:r>
      <w:proofErr w:type="spellEnd"/>
      <w:r w:rsidRPr="724A2AEA">
        <w:rPr>
          <w:rFonts w:ascii="Times New Roman" w:hAnsi="Times New Roman" w:cs="Times New Roman"/>
          <w:lang w:val="en-GB"/>
        </w:rPr>
        <w:t xml:space="preserve"> junction mainly depends on branches from the left gastric artery, the left inferior phrenic artery and short gastric arteries, which will be sectioned during sleeve gastrectomy </w:t>
      </w:r>
      <w:r w:rsidR="002204C3" w:rsidRPr="724A2AEA">
        <w:rPr>
          <w:rFonts w:ascii="Times New Roman" w:hAnsi="Times New Roman" w:cs="Times New Roman"/>
          <w:lang w:val="en-GB"/>
        </w:rPr>
        <w:fldChar w:fldCharType="begin"/>
      </w:r>
      <w:r w:rsidR="0010346F">
        <w:rPr>
          <w:rFonts w:ascii="Times New Roman" w:hAnsi="Times New Roman" w:cs="Times New Roman"/>
          <w:lang w:val="en-GB"/>
        </w:rPr>
        <w:instrText xml:space="preserve"> ADDIN ZOTERO_ITEM CSL_CITATION {"citationID":"9EcWKK2O","properties":{"formattedCitation":"(18,19)","plainCitation":"(18,19)","noteIndex":0},"citationItems":[{"id":5390,"uris":["http://zotero.org/users/local/zN1MJwn5/items/UQGTPSM4"],"itemData":{"id":5390,"type":"article-journal","container-title":"Surgical Endoscopy","DOI":"10.1007/s00464-010-1187-7","ISSN":"0930-2794, 1432-2218","issue":"2","journalAbbreviation":"Surg Endosc","language":"en","page":"444-449","source":"DOI.org (Crossref)","title":"Laparoscopic sleeve gastrectomy as first stage or definitive intent in 300 consecutive cases","volume":"25","author":[{"family":"Basso","given":"N."},{"family":"Casella","given":"G."},{"family":"Rizzello","given":"M."},{"family":"Abbatini","given":"F."},{"family":"Soricelli","given":"E."},{"family":"Alessandri","given":"G."},{"family":"Maglio","given":"C."},{"family":"Fantini","given":"A."}],"issued":{"date-parts":[["2011",2]]}}},{"id":5391,"uris":["http://zotero.org/users/local/zN1MJwn5/items/U95MNUFZ"],"itemData":{"id":5391,"type":"article-journal","container-title":"Surgery for Obesity and Related Diseases","DOI":"10.1016/j.soard.2022.03.018","ISSN":"15507289","issue":"6","journalAbbreviation":"Surgery for Obesity and Related Diseases","language":"en","page":"812-819","source":"DOI.org (Crossref)","title":"Computed tomography assessment of postoperative gastric vascular supply and staple-line leak development after sleeve gastrectomy","volume":"18","author":[{"family":"Tranchart","given":"Hadrien"},{"family":"Llouquet","given":"Florence"},{"family":"Derienne","given":"Joseph"},{"family":"Gaillard","given":"Martin"},{"family":"Rafek","given":"George"},{"family":"Grassin","given":"Antoine"},{"family":"Voican","given":"Cosmin Sebastian"},{"family":"Donatelli","given":"Gianfranco"},{"family":"Rocher","given":"Laurence"},{"family":"Dagher","given":"Ibrahim"}],"issued":{"date-parts":[["2022",6]]}}}],"schema":"https://github.com/citation-style-language/schema/raw/master/csl-citation.json"} </w:instrText>
      </w:r>
      <w:r w:rsidR="002204C3" w:rsidRPr="724A2AEA">
        <w:rPr>
          <w:rFonts w:ascii="Times New Roman" w:hAnsi="Times New Roman" w:cs="Times New Roman"/>
          <w:lang w:val="en-GB"/>
        </w:rPr>
        <w:fldChar w:fldCharType="separate"/>
      </w:r>
      <w:r w:rsidR="0010346F" w:rsidRPr="00D67513">
        <w:rPr>
          <w:rFonts w:ascii="Times New Roman" w:hAnsi="Times New Roman" w:cs="Times New Roman"/>
          <w:lang w:val="en-US"/>
        </w:rPr>
        <w:t>(18,19)</w:t>
      </w:r>
      <w:r w:rsidR="002204C3" w:rsidRPr="724A2AEA">
        <w:rPr>
          <w:rFonts w:ascii="Times New Roman" w:hAnsi="Times New Roman" w:cs="Times New Roman"/>
          <w:lang w:val="en-GB"/>
        </w:rPr>
        <w:fldChar w:fldCharType="end"/>
      </w:r>
      <w:r w:rsidRPr="724A2AEA">
        <w:rPr>
          <w:rFonts w:ascii="Times New Roman" w:hAnsi="Times New Roman" w:cs="Times New Roman"/>
          <w:lang w:val="en-GB"/>
        </w:rPr>
        <w:t xml:space="preserve">. Recent studies assessing gastric blood supply by computed tomography have suggested a decreased gastric vascularisation in obese patients compared to non-obese patients </w:t>
      </w:r>
      <w:r w:rsidR="002204C3" w:rsidRPr="724A2AEA">
        <w:rPr>
          <w:rFonts w:ascii="Times New Roman" w:hAnsi="Times New Roman" w:cs="Times New Roman"/>
          <w:lang w:val="en-GB"/>
        </w:rPr>
        <w:fldChar w:fldCharType="begin"/>
      </w:r>
      <w:r w:rsidR="0010346F">
        <w:rPr>
          <w:rFonts w:ascii="Times New Roman" w:hAnsi="Times New Roman" w:cs="Times New Roman"/>
          <w:lang w:val="en-GB"/>
        </w:rPr>
        <w:instrText xml:space="preserve"> ADDIN ZOTERO_ITEM CSL_CITATION {"citationID":"a4AcX65m","properties":{"formattedCitation":"(20)","plainCitation":"(20)","noteIndex":0},"citationItems":[{"id":5402,"uris":["http://zotero.org/users/local/zN1MJwn5/items/GJZ6C6M7"],"itemData":{"id":5402,"type":"article-journal","container-title":"The American Journal of Surgery","DOI":"10.1016/j.amjsurg.2014.05.023","ISSN":"00029610","issue":"6","journalAbbreviation":"The American Journal of Surgery","language":"en","page":"999-1006","source":"DOI.org (Crossref)","title":"Computed tomographic scan mapping of gastric wall perfusion and clinical implications","volume":"209","author":[{"family":"Saber","given":"Alan A."},{"family":"Azar","given":"Nami"},{"family":"Dekal","given":"Mahmoud"},{"family":"Abdelbaki","given":"Tamer N."}],"issued":{"date-parts":[["2015",6]]}}}],"schema":"https://github.com/citation-style-language/schema/raw/master/csl-citation.json"} </w:instrText>
      </w:r>
      <w:r w:rsidR="002204C3" w:rsidRPr="724A2AEA">
        <w:rPr>
          <w:rFonts w:ascii="Times New Roman" w:hAnsi="Times New Roman" w:cs="Times New Roman"/>
          <w:lang w:val="en-GB"/>
        </w:rPr>
        <w:fldChar w:fldCharType="separate"/>
      </w:r>
      <w:r w:rsidR="0010346F" w:rsidRPr="00014528">
        <w:rPr>
          <w:rFonts w:ascii="Times New Roman" w:hAnsi="Times New Roman" w:cs="Times New Roman"/>
          <w:lang w:val="en-US"/>
        </w:rPr>
        <w:t>(20)</w:t>
      </w:r>
      <w:r w:rsidR="002204C3" w:rsidRPr="724A2AEA">
        <w:rPr>
          <w:rFonts w:ascii="Times New Roman" w:hAnsi="Times New Roman" w:cs="Times New Roman"/>
          <w:lang w:val="en-GB"/>
        </w:rPr>
        <w:fldChar w:fldCharType="end"/>
      </w:r>
      <w:r w:rsidRPr="724A2AEA">
        <w:rPr>
          <w:rFonts w:ascii="Times New Roman" w:hAnsi="Times New Roman" w:cs="Times New Roman"/>
          <w:lang w:val="en-GB"/>
        </w:rPr>
        <w:t xml:space="preserve"> and a potential correlation between interruption of the vascularisation of the </w:t>
      </w:r>
      <w:proofErr w:type="spellStart"/>
      <w:r w:rsidRPr="724A2AEA">
        <w:rPr>
          <w:rFonts w:ascii="Times New Roman" w:hAnsi="Times New Roman" w:cs="Times New Roman"/>
          <w:lang w:val="en-GB"/>
        </w:rPr>
        <w:t>oesogastric</w:t>
      </w:r>
      <w:proofErr w:type="spellEnd"/>
      <w:r w:rsidRPr="724A2AEA">
        <w:rPr>
          <w:rFonts w:ascii="Times New Roman" w:hAnsi="Times New Roman" w:cs="Times New Roman"/>
          <w:lang w:val="en-GB"/>
        </w:rPr>
        <w:t xml:space="preserve"> junction by the staple line and development of leak post-sleeve gastrectomy </w:t>
      </w:r>
      <w:r w:rsidR="002204C3" w:rsidRPr="724A2AEA">
        <w:rPr>
          <w:rFonts w:ascii="Times New Roman" w:hAnsi="Times New Roman" w:cs="Times New Roman"/>
          <w:lang w:val="en-GB"/>
        </w:rPr>
        <w:fldChar w:fldCharType="begin"/>
      </w:r>
      <w:r w:rsidR="0010346F">
        <w:rPr>
          <w:rFonts w:ascii="Times New Roman" w:hAnsi="Times New Roman" w:cs="Times New Roman"/>
          <w:lang w:val="en-GB"/>
        </w:rPr>
        <w:instrText xml:space="preserve"> ADDIN ZOTERO_ITEM CSL_CITATION {"citationID":"FbKPQE1f","properties":{"formattedCitation":"(19)","plainCitation":"(19)","noteIndex":0},"citationItems":[{"id":5391,"uris":["http://zotero.org/users/local/zN1MJwn5/items/U95MNUFZ"],"itemData":{"id":5391,"type":"article-journal","container-title":"Surgery for Obesity and Related Diseases","DOI":"10.1016/j.soard.2022.03.018","ISSN":"15507289","issue":"6","journalAbbreviation":"Surgery for Obesity and Related Diseases","language":"en","page":"812-819","source":"DOI.org (Crossref)","title":"Computed tomography assessment of postoperative gastric vascular supply and staple-line leak development after sleeve gastrectomy","volume":"18","author":[{"family":"Tranchart","given":"Hadrien"},{"family":"Llouquet","given":"Florence"},{"family":"Derienne","given":"Joseph"},{"family":"Gaillard","given":"Martin"},{"family":"Rafek","given":"George"},{"family":"Grassin","given":"Antoine"},{"family":"Voican","given":"Cosmin Sebastian"},{"family":"Donatelli","given":"Gianfranco"},{"family":"Rocher","given":"Laurence"},{"family":"Dagher","given":"Ibrahim"}],"issued":{"date-parts":[["2022",6]]}}}],"schema":"https://github.com/citation-style-language/schema/raw/master/csl-citation.json"} </w:instrText>
      </w:r>
      <w:r w:rsidR="002204C3" w:rsidRPr="724A2AEA">
        <w:rPr>
          <w:rFonts w:ascii="Times New Roman" w:hAnsi="Times New Roman" w:cs="Times New Roman"/>
          <w:lang w:val="en-GB"/>
        </w:rPr>
        <w:fldChar w:fldCharType="separate"/>
      </w:r>
      <w:r w:rsidR="0010346F" w:rsidRPr="00014528">
        <w:rPr>
          <w:rFonts w:ascii="Times New Roman" w:hAnsi="Times New Roman" w:cs="Times New Roman"/>
          <w:lang w:val="en-US"/>
        </w:rPr>
        <w:t>(19)</w:t>
      </w:r>
      <w:r w:rsidR="002204C3" w:rsidRPr="724A2AEA">
        <w:rPr>
          <w:rFonts w:ascii="Times New Roman" w:hAnsi="Times New Roman" w:cs="Times New Roman"/>
          <w:lang w:val="en-GB"/>
        </w:rPr>
        <w:fldChar w:fldCharType="end"/>
      </w:r>
      <w:r w:rsidRPr="724A2AEA">
        <w:rPr>
          <w:rFonts w:ascii="Times New Roman" w:hAnsi="Times New Roman" w:cs="Times New Roman"/>
          <w:lang w:val="en-GB"/>
        </w:rPr>
        <w:t>.</w:t>
      </w:r>
    </w:p>
    <w:p w14:paraId="30854525" w14:textId="77777777" w:rsidR="00014528" w:rsidRDefault="00014528" w:rsidP="002D0FB2">
      <w:pPr>
        <w:spacing w:line="276" w:lineRule="auto"/>
        <w:jc w:val="both"/>
        <w:rPr>
          <w:rFonts w:ascii="Times New Roman" w:hAnsi="Times New Roman" w:cs="Times New Roman"/>
          <w:lang w:val="en-GB"/>
        </w:rPr>
      </w:pPr>
    </w:p>
    <w:p w14:paraId="5F964581" w14:textId="77777777" w:rsidR="00014528" w:rsidRDefault="00014528" w:rsidP="002D0FB2">
      <w:pPr>
        <w:spacing w:line="276" w:lineRule="auto"/>
        <w:jc w:val="both"/>
        <w:rPr>
          <w:rFonts w:ascii="Times New Roman" w:hAnsi="Times New Roman" w:cs="Times New Roman"/>
          <w:lang w:val="en-GB"/>
        </w:rPr>
      </w:pPr>
      <w:r w:rsidRPr="007E41B0">
        <w:rPr>
          <w:rFonts w:ascii="Times New Roman" w:hAnsi="Times New Roman" w:cs="Times New Roman"/>
          <w:lang w:val="en-GB"/>
        </w:rPr>
        <w:t xml:space="preserve">Whilst hindering the clinical representativeness of our models, this iatrogenic creation of fistulae appeared necessary both for practicality and for compliance with the ethical principles of the 3 “Rs” (replacement, reduction, refinement) regarding the use of animals in research. Indeed, existing </w:t>
      </w:r>
      <w:r w:rsidRPr="007E41B0">
        <w:rPr>
          <w:rFonts w:ascii="Times New Roman" w:hAnsi="Times New Roman" w:cs="Times New Roman"/>
          <w:i/>
          <w:lang w:val="en-GB"/>
        </w:rPr>
        <w:t xml:space="preserve">in vivo </w:t>
      </w:r>
      <w:r w:rsidRPr="007E41B0">
        <w:rPr>
          <w:rFonts w:ascii="Times New Roman" w:hAnsi="Times New Roman" w:cs="Times New Roman"/>
          <w:lang w:val="en-GB"/>
        </w:rPr>
        <w:t xml:space="preserve">sleeve gastrectomy models reported low rates </w:t>
      </w:r>
      <w:r w:rsidRPr="00B204A2">
        <w:rPr>
          <w:rFonts w:ascii="Times New Roman" w:hAnsi="Times New Roman" w:cs="Times New Roman"/>
          <w:lang w:val="en-GB"/>
        </w:rPr>
        <w:t>of gastric leaks; and</w:t>
      </w:r>
      <w:r w:rsidRPr="007E41B0">
        <w:rPr>
          <w:rFonts w:ascii="Times New Roman" w:hAnsi="Times New Roman" w:cs="Times New Roman"/>
          <w:lang w:val="en-GB"/>
        </w:rPr>
        <w:t xml:space="preserve"> </w:t>
      </w:r>
      <w:r w:rsidRPr="007E41B0">
        <w:rPr>
          <w:rFonts w:ascii="Times New Roman" w:hAnsi="Times New Roman" w:cs="Times New Roman"/>
          <w:lang w:val="en-GB"/>
        </w:rPr>
        <w:lastRenderedPageBreak/>
        <w:t xml:space="preserve">fistulae developing from the </w:t>
      </w:r>
      <w:proofErr w:type="spellStart"/>
      <w:r w:rsidRPr="007E41B0">
        <w:rPr>
          <w:rFonts w:ascii="Times New Roman" w:hAnsi="Times New Roman" w:cs="Times New Roman"/>
          <w:lang w:val="en-GB"/>
        </w:rPr>
        <w:t>chronicization</w:t>
      </w:r>
      <w:proofErr w:type="spellEnd"/>
      <w:r w:rsidRPr="007E41B0">
        <w:rPr>
          <w:rFonts w:ascii="Times New Roman" w:hAnsi="Times New Roman" w:cs="Times New Roman"/>
          <w:lang w:val="en-GB"/>
        </w:rPr>
        <w:t xml:space="preserve"> of a leak might not all be comparable (for instance, development of </w:t>
      </w:r>
      <w:proofErr w:type="spellStart"/>
      <w:r w:rsidRPr="007E41B0">
        <w:rPr>
          <w:rFonts w:ascii="Times New Roman" w:hAnsi="Times New Roman" w:cs="Times New Roman"/>
          <w:lang w:val="en-GB"/>
        </w:rPr>
        <w:t>gastropleural</w:t>
      </w:r>
      <w:proofErr w:type="spellEnd"/>
      <w:r w:rsidRPr="007E41B0">
        <w:rPr>
          <w:rFonts w:ascii="Times New Roman" w:hAnsi="Times New Roman" w:cs="Times New Roman"/>
          <w:lang w:val="en-GB"/>
        </w:rPr>
        <w:t xml:space="preserve"> fistulae instead of </w:t>
      </w:r>
      <w:proofErr w:type="spellStart"/>
      <w:r w:rsidRPr="007E41B0">
        <w:rPr>
          <w:rFonts w:ascii="Times New Roman" w:hAnsi="Times New Roman" w:cs="Times New Roman"/>
          <w:lang w:val="en-GB"/>
        </w:rPr>
        <w:t>gastrocutaneous</w:t>
      </w:r>
      <w:proofErr w:type="spellEnd"/>
      <w:r w:rsidRPr="007E41B0">
        <w:rPr>
          <w:rFonts w:ascii="Times New Roman" w:hAnsi="Times New Roman" w:cs="Times New Roman"/>
          <w:lang w:val="en-GB"/>
        </w:rPr>
        <w:t xml:space="preserve"> fistulae; presence of complex fistulae with multiple openings or sinus tracts; etc).</w:t>
      </w:r>
    </w:p>
    <w:p w14:paraId="2075BB11" w14:textId="77777777" w:rsidR="00014528" w:rsidRDefault="00014528" w:rsidP="002D0FB2">
      <w:pPr>
        <w:spacing w:line="276" w:lineRule="auto"/>
        <w:jc w:val="both"/>
        <w:rPr>
          <w:rFonts w:ascii="Times New Roman" w:hAnsi="Times New Roman" w:cs="Times New Roman"/>
          <w:lang w:val="en-GB"/>
        </w:rPr>
      </w:pPr>
    </w:p>
    <w:p w14:paraId="2393D25A" w14:textId="77777777" w:rsidR="724A2AEA" w:rsidRDefault="724A2AEA" w:rsidP="002D0FB2">
      <w:pPr>
        <w:spacing w:line="276" w:lineRule="auto"/>
        <w:jc w:val="both"/>
        <w:rPr>
          <w:rFonts w:ascii="Times New Roman" w:hAnsi="Times New Roman" w:cs="Times New Roman"/>
          <w:lang w:val="en-GB"/>
        </w:rPr>
      </w:pPr>
    </w:p>
    <w:p w14:paraId="2393D25D" w14:textId="77777777" w:rsidR="000F6FA7" w:rsidRDefault="000F6FA7" w:rsidP="002D0FB2">
      <w:pPr>
        <w:spacing w:line="276" w:lineRule="auto"/>
        <w:jc w:val="both"/>
        <w:rPr>
          <w:b/>
          <w:bCs/>
          <w:lang w:val="en-US"/>
        </w:rPr>
      </w:pPr>
    </w:p>
    <w:p w14:paraId="2393D25E" w14:textId="77777777" w:rsidR="000F6FA7" w:rsidRPr="00281054" w:rsidRDefault="724A2AEA" w:rsidP="002D0FB2">
      <w:pPr>
        <w:spacing w:line="276" w:lineRule="auto"/>
        <w:jc w:val="both"/>
        <w:rPr>
          <w:rFonts w:ascii="Times New Roman" w:hAnsi="Times New Roman" w:cs="Times New Roman"/>
          <w:b/>
          <w:bCs/>
          <w:lang w:val="en-US"/>
        </w:rPr>
      </w:pPr>
      <w:r w:rsidRPr="00281054">
        <w:rPr>
          <w:rFonts w:ascii="Times New Roman" w:hAnsi="Times New Roman" w:cs="Times New Roman"/>
          <w:b/>
          <w:bCs/>
          <w:lang w:val="en-US"/>
        </w:rPr>
        <w:t>Supplementary parts B</w:t>
      </w:r>
    </w:p>
    <w:p w14:paraId="2393D25F" w14:textId="77777777" w:rsidR="000F6FA7" w:rsidRPr="00281054" w:rsidRDefault="000F6FA7" w:rsidP="002D0FB2">
      <w:pPr>
        <w:spacing w:line="276" w:lineRule="auto"/>
        <w:jc w:val="both"/>
        <w:rPr>
          <w:rFonts w:ascii="Times New Roman" w:hAnsi="Times New Roman" w:cs="Times New Roman"/>
          <w:lang w:val="en-GB"/>
        </w:rPr>
      </w:pPr>
    </w:p>
    <w:p w14:paraId="2393D260" w14:textId="77777777" w:rsidR="00130926" w:rsidRPr="00281054" w:rsidRDefault="724A2AEA" w:rsidP="002D0FB2">
      <w:pPr>
        <w:pStyle w:val="Paragraphedeliste"/>
        <w:numPr>
          <w:ilvl w:val="0"/>
          <w:numId w:val="1"/>
        </w:numPr>
        <w:spacing w:line="259" w:lineRule="auto"/>
        <w:jc w:val="both"/>
        <w:rPr>
          <w:rFonts w:ascii="Times New Roman" w:hAnsi="Times New Roman" w:cs="Times New Roman"/>
          <w:b/>
          <w:bCs/>
          <w:lang w:val="en-GB"/>
        </w:rPr>
      </w:pPr>
      <w:r w:rsidRPr="00281054">
        <w:rPr>
          <w:rFonts w:ascii="Times New Roman" w:hAnsi="Times New Roman" w:cs="Times New Roman"/>
          <w:b/>
          <w:bCs/>
          <w:lang w:val="en-GB"/>
        </w:rPr>
        <w:t>ADSC culture</w:t>
      </w:r>
    </w:p>
    <w:p w14:paraId="2393D261" w14:textId="18792CF0" w:rsidR="00130926" w:rsidRPr="009C6A85" w:rsidRDefault="00130926" w:rsidP="002D0FB2">
      <w:pPr>
        <w:spacing w:line="276" w:lineRule="auto"/>
        <w:jc w:val="both"/>
        <w:rPr>
          <w:rFonts w:ascii="Times New Roman" w:hAnsi="Times New Roman" w:cs="Times New Roman"/>
          <w:lang w:val="en-GB"/>
        </w:rPr>
      </w:pPr>
      <w:r w:rsidRPr="009C6A85">
        <w:rPr>
          <w:rFonts w:ascii="Times New Roman" w:hAnsi="Times New Roman" w:cs="Times New Roman"/>
          <w:lang w:val="en-GB"/>
        </w:rPr>
        <w:t xml:space="preserve">Cells were cultured in Minimum Essential Medium - alpha modification (MEMα, Sigma) supplemented with 5% human platelet lysate (kindly supplied by the </w:t>
      </w:r>
      <w:proofErr w:type="spellStart"/>
      <w:r w:rsidRPr="009C6A85">
        <w:rPr>
          <w:rFonts w:ascii="Times New Roman" w:hAnsi="Times New Roman" w:cs="Times New Roman"/>
          <w:lang w:val="en-GB"/>
        </w:rPr>
        <w:t>Unité</w:t>
      </w:r>
      <w:proofErr w:type="spellEnd"/>
      <w:r w:rsidRPr="009C6A85">
        <w:rPr>
          <w:rFonts w:ascii="Times New Roman" w:hAnsi="Times New Roman" w:cs="Times New Roman"/>
          <w:lang w:val="en-GB"/>
        </w:rPr>
        <w:t xml:space="preserve"> des </w:t>
      </w:r>
      <w:proofErr w:type="spellStart"/>
      <w:r w:rsidRPr="009C6A85">
        <w:rPr>
          <w:rFonts w:ascii="Times New Roman" w:hAnsi="Times New Roman" w:cs="Times New Roman"/>
          <w:lang w:val="en-GB"/>
        </w:rPr>
        <w:t>Médicaments</w:t>
      </w:r>
      <w:proofErr w:type="spellEnd"/>
      <w:r w:rsidRPr="009C6A85">
        <w:rPr>
          <w:rFonts w:ascii="Times New Roman" w:hAnsi="Times New Roman" w:cs="Times New Roman"/>
          <w:lang w:val="en-GB"/>
        </w:rPr>
        <w:t xml:space="preserve"> de </w:t>
      </w:r>
      <w:proofErr w:type="spellStart"/>
      <w:r w:rsidRPr="009C6A85">
        <w:rPr>
          <w:rFonts w:ascii="Times New Roman" w:hAnsi="Times New Roman" w:cs="Times New Roman"/>
          <w:lang w:val="en-GB"/>
        </w:rPr>
        <w:t>Thérapie</w:t>
      </w:r>
      <w:proofErr w:type="spellEnd"/>
      <w:r w:rsidRPr="009C6A85">
        <w:rPr>
          <w:rFonts w:ascii="Times New Roman" w:hAnsi="Times New Roman" w:cs="Times New Roman"/>
          <w:lang w:val="en-GB"/>
        </w:rPr>
        <w:t xml:space="preserve"> </w:t>
      </w:r>
      <w:proofErr w:type="spellStart"/>
      <w:r w:rsidRPr="009C6A85">
        <w:rPr>
          <w:rFonts w:ascii="Times New Roman" w:hAnsi="Times New Roman" w:cs="Times New Roman"/>
          <w:lang w:val="en-GB"/>
        </w:rPr>
        <w:t>Innovante</w:t>
      </w:r>
      <w:proofErr w:type="spellEnd"/>
      <w:r w:rsidRPr="009C6A85">
        <w:rPr>
          <w:rFonts w:ascii="Times New Roman" w:hAnsi="Times New Roman" w:cs="Times New Roman"/>
          <w:lang w:val="en-GB"/>
        </w:rPr>
        <w:t xml:space="preserve"> at the Centre de Transfusion Sanguine des </w:t>
      </w:r>
      <w:proofErr w:type="spellStart"/>
      <w:r w:rsidRPr="009C6A85">
        <w:rPr>
          <w:rFonts w:ascii="Times New Roman" w:hAnsi="Times New Roman" w:cs="Times New Roman"/>
          <w:lang w:val="en-GB"/>
        </w:rPr>
        <w:t>Armées</w:t>
      </w:r>
      <w:proofErr w:type="spellEnd"/>
      <w:r w:rsidRPr="009C6A85">
        <w:rPr>
          <w:rFonts w:ascii="Times New Roman" w:hAnsi="Times New Roman" w:cs="Times New Roman"/>
          <w:lang w:val="en-GB"/>
        </w:rPr>
        <w:t xml:space="preserve">, </w:t>
      </w:r>
      <w:proofErr w:type="spellStart"/>
      <w:r w:rsidRPr="009C6A85">
        <w:rPr>
          <w:rFonts w:ascii="Times New Roman" w:hAnsi="Times New Roman" w:cs="Times New Roman"/>
          <w:lang w:val="en-GB"/>
        </w:rPr>
        <w:t>Clamart</w:t>
      </w:r>
      <w:proofErr w:type="spellEnd"/>
      <w:r w:rsidRPr="009C6A85">
        <w:rPr>
          <w:rFonts w:ascii="Times New Roman" w:hAnsi="Times New Roman" w:cs="Times New Roman"/>
          <w:lang w:val="en-GB"/>
        </w:rPr>
        <w:t>, France) and 2 IU/mL heparin. After an initial amplification step in 2D in T150 cm</w:t>
      </w:r>
      <w:r w:rsidRPr="009C6A85">
        <w:rPr>
          <w:rFonts w:ascii="Times New Roman" w:hAnsi="Times New Roman" w:cs="Times New Roman"/>
          <w:vertAlign w:val="superscript"/>
          <w:lang w:val="en-GB"/>
        </w:rPr>
        <w:t>2</w:t>
      </w:r>
      <w:r w:rsidRPr="009C6A85">
        <w:rPr>
          <w:rFonts w:ascii="Times New Roman" w:hAnsi="Times New Roman" w:cs="Times New Roman"/>
          <w:lang w:val="en-GB"/>
        </w:rPr>
        <w:t xml:space="preserve"> flasks (Eppendorf) until confluence, ADSCs were cultivated in 1L spinner flask bioreactors for EV production following a protocol inspired from</w:t>
      </w:r>
      <w:r w:rsidR="00764CB5">
        <w:rPr>
          <w:rFonts w:ascii="Times New Roman" w:hAnsi="Times New Roman" w:cs="Times New Roman"/>
          <w:lang w:val="en-GB"/>
        </w:rPr>
        <w:t xml:space="preserve"> </w:t>
      </w:r>
      <w:r w:rsidR="002204C3" w:rsidRPr="009C6A85">
        <w:rPr>
          <w:rFonts w:ascii="Times New Roman" w:hAnsi="Times New Roman" w:cs="Times New Roman"/>
          <w:lang w:val="en-GB"/>
        </w:rPr>
        <w:fldChar w:fldCharType="begin"/>
      </w:r>
      <w:r w:rsidR="0010346F">
        <w:rPr>
          <w:rFonts w:ascii="Times New Roman" w:hAnsi="Times New Roman" w:cs="Times New Roman"/>
          <w:lang w:val="en-GB"/>
        </w:rPr>
        <w:instrText xml:space="preserve"> ADDIN ZOTERO_ITEM CSL_CITATION {"citationID":"W7nap8le","properties":{"formattedCitation":"(21)","plainCitation":"(21)","noteIndex":0},"citationItems":[{"id":4301,"uris":["http://zotero.org/users/local/zN1MJwn5/items/2EPS6TPU"],"itemData":{"id":4301,"type":"article-journal","abstract":"Extracellular vesicles (EVs), especially from stem/stromal cells (SCs), represent a cell-free alternative in regenerative medicine holding promises to promote tissue healing while providing safety and logistic advantages in comparison to cellular counterparts. Herein, we hypothesize that SC EVs, administered locally in a thermoresponsive gel, is a therapeutic strategy for managing post-surgical colo-cutaneous fistulas. This disease is a neglected and challenging condition associated to low remission rates and high refractoriness. Herein, EVs from a murine SC line were produced by a high-yield scalable method in bioreactors. The post-surgical intestinal fistula model was induced via a surgical cecostomy communicating the cecum and the skin in Wistar rats. Animals were treated just after cecostomy with PBS, thermoresponsive Pluronic F-127 hydrogel alone or containing SC EVs. A PET-monitored biodistribution investigation of SC EVs labelled with 89Zr was performed. Fistula external orifice and output assessment, probe-based confocal laser endomicroscopy, MRI and histology were carried out for therapy follow-up. The relevance of percutaneous EV administration embedded in the hydrogel vehicle was indicated by the PET-biodistribution study. Local administration of SC EVs in the hydrogel reduced colo-cutaneous fistula diameter, output, fibrosis and inflammation while increasing the density of neo-vessels when compared to the PBS and gel groups. This multi-modal investigation pointed-out the therapeutic potential of SC EVs administered locally and in a thermoresponsive hydrogel for the management of challenging post-surgical colon fistulas in a minimally-invasive cell-free strategy.","container-title":"Nanoscale","DOI":"10.1039/d0nr07349k","ISSN":"2040-3372","issue":"1","journalAbbreviation":"Nanoscale","language":"eng","note":"PMID: 33326529","page":"218-232","source":"PubMed","title":"Local administration of stem cell-derived extracellular vesicles in a thermoresponsive hydrogel promotes a pro-healing effect in a rat model of colo-cutaneous post-surgical fistula","volume":"13","author":[{"family":"Berger","given":"Arthur"},{"family":"Araújo-Filho","given":"Irami"},{"family":"Piffoux","given":"Max"},{"family":"Nicolás-Boluda","given":"Alba"},{"family":"Grangier","given":"Alice"},{"family":"Boucenna","given":"Imane"},{"family":"Real","given":"Caroline Cristiano"},{"family":"Marques","given":"Fabio Luiz Navarro"},{"family":"Paula Faria","given":"Daniele","non-dropping-particle":"de"},{"family":"Rego","given":"Amália Cinthia Meneses","non-dropping-particle":"do"},{"family":"Broudin","given":"Chloe"},{"family":"Gazeau","given":"Florence"},{"family":"Wilhelm","given":"Claire"},{"family":"Clément","given":"Olivier"},{"family":"Cellier","given":"Christophe"},{"family":"Buchpiguel","given":"Carlos Alberto"},{"family":"Rahmi","given":"Gabriel"},{"family":"Silva","given":"Amanda K. A."}],"issued":{"date-parts":[["2021",1,7]]}}}],"schema":"https://github.com/citation-style-language/schema/raw/master/csl-citation.json"} </w:instrText>
      </w:r>
      <w:r w:rsidR="002204C3" w:rsidRPr="009C6A85">
        <w:rPr>
          <w:rFonts w:ascii="Times New Roman" w:hAnsi="Times New Roman" w:cs="Times New Roman"/>
          <w:lang w:val="en-GB"/>
        </w:rPr>
        <w:fldChar w:fldCharType="separate"/>
      </w:r>
      <w:r w:rsidR="0010346F" w:rsidRPr="0010346F">
        <w:rPr>
          <w:rFonts w:ascii="Times New Roman" w:hAnsi="Times New Roman" w:cs="Times New Roman"/>
        </w:rPr>
        <w:t>(21)</w:t>
      </w:r>
      <w:r w:rsidR="002204C3" w:rsidRPr="009C6A85">
        <w:rPr>
          <w:rFonts w:ascii="Times New Roman" w:hAnsi="Times New Roman" w:cs="Times New Roman"/>
          <w:lang w:val="en-GB"/>
        </w:rPr>
        <w:fldChar w:fldCharType="end"/>
      </w:r>
      <w:r w:rsidRPr="009C6A85">
        <w:rPr>
          <w:rFonts w:ascii="Times New Roman" w:hAnsi="Times New Roman" w:cs="Times New Roman"/>
          <w:lang w:val="en-GB"/>
        </w:rPr>
        <w:t>.</w:t>
      </w:r>
    </w:p>
    <w:p w14:paraId="2393D262" w14:textId="77777777" w:rsidR="008E0B36" w:rsidRDefault="008E0B36" w:rsidP="002D0FB2">
      <w:pPr>
        <w:spacing w:line="276" w:lineRule="auto"/>
        <w:jc w:val="both"/>
        <w:rPr>
          <w:rFonts w:ascii="Times New Roman" w:hAnsi="Times New Roman" w:cs="Times New Roman"/>
          <w:lang w:val="en-GB"/>
        </w:rPr>
      </w:pPr>
    </w:p>
    <w:p w14:paraId="2393D263" w14:textId="77777777" w:rsidR="000F6FA7" w:rsidRPr="00281054" w:rsidRDefault="724A2AEA" w:rsidP="002D0FB2">
      <w:pPr>
        <w:pStyle w:val="Paragraphedeliste"/>
        <w:numPr>
          <w:ilvl w:val="0"/>
          <w:numId w:val="1"/>
        </w:numPr>
        <w:spacing w:line="259" w:lineRule="auto"/>
        <w:jc w:val="both"/>
        <w:rPr>
          <w:rFonts w:ascii="Times New Roman" w:hAnsi="Times New Roman" w:cs="Times New Roman"/>
          <w:b/>
          <w:bCs/>
          <w:lang w:val="en-GB"/>
        </w:rPr>
      </w:pPr>
      <w:r w:rsidRPr="00281054">
        <w:rPr>
          <w:rFonts w:ascii="Times New Roman" w:hAnsi="Times New Roman" w:cs="Times New Roman"/>
          <w:b/>
          <w:bCs/>
          <w:lang w:val="en-GB"/>
        </w:rPr>
        <w:t>EV production and characterization</w:t>
      </w:r>
    </w:p>
    <w:p w14:paraId="2393D264" w14:textId="77777777" w:rsidR="00130926" w:rsidRDefault="000F6FA7" w:rsidP="002D0FB2">
      <w:pPr>
        <w:spacing w:line="276" w:lineRule="auto"/>
        <w:jc w:val="both"/>
        <w:rPr>
          <w:rFonts w:ascii="Times New Roman" w:hAnsi="Times New Roman" w:cs="Times New Roman"/>
          <w:lang w:val="en-GB"/>
        </w:rPr>
      </w:pPr>
      <w:r>
        <w:rPr>
          <w:rFonts w:ascii="Times New Roman" w:hAnsi="Times New Roman" w:cs="Times New Roman"/>
          <w:lang w:val="en-GB"/>
        </w:rPr>
        <w:t>B</w:t>
      </w:r>
      <w:r w:rsidRPr="009C6A85">
        <w:rPr>
          <w:rFonts w:ascii="Times New Roman" w:hAnsi="Times New Roman" w:cs="Times New Roman"/>
          <w:lang w:val="en-GB"/>
        </w:rPr>
        <w:t xml:space="preserve">ioreactors containing microcarriers at a concentration of 7.5 </w:t>
      </w:r>
      <w:proofErr w:type="gramStart"/>
      <w:r w:rsidRPr="009C6A85">
        <w:rPr>
          <w:rFonts w:ascii="Times New Roman" w:hAnsi="Times New Roman" w:cs="Times New Roman"/>
          <w:lang w:val="en-GB"/>
        </w:rPr>
        <w:t>g.L</w:t>
      </w:r>
      <w:proofErr w:type="gramEnd"/>
      <w:r w:rsidRPr="009C6A85">
        <w:rPr>
          <w:rFonts w:ascii="Times New Roman" w:hAnsi="Times New Roman" w:cs="Times New Roman"/>
          <w:vertAlign w:val="superscript"/>
          <w:lang w:val="en-GB"/>
        </w:rPr>
        <w:t>-1</w:t>
      </w:r>
      <w:r w:rsidRPr="009C6A85">
        <w:rPr>
          <w:rFonts w:ascii="Times New Roman" w:hAnsi="Times New Roman" w:cs="Times New Roman"/>
          <w:lang w:val="en-GB"/>
        </w:rPr>
        <w:t xml:space="preserve"> in supplemented MEMα were incubated for 3 hours at 37°C, then ADSCs were seeded at a 5:1 cell-to-</w:t>
      </w:r>
      <w:proofErr w:type="spellStart"/>
      <w:r w:rsidRPr="009C6A85">
        <w:rPr>
          <w:rFonts w:ascii="Times New Roman" w:hAnsi="Times New Roman" w:cs="Times New Roman"/>
          <w:lang w:val="en-GB"/>
        </w:rPr>
        <w:t>microrrier</w:t>
      </w:r>
      <w:proofErr w:type="spellEnd"/>
      <w:r w:rsidRPr="009C6A85">
        <w:rPr>
          <w:rFonts w:ascii="Times New Roman" w:hAnsi="Times New Roman" w:cs="Times New Roman"/>
          <w:lang w:val="en-GB"/>
        </w:rPr>
        <w:t xml:space="preserve"> ratio and submitted to cycles of 3 minutes of agitation (Eddy length 120 µm) interspersed with 45 minutes of rest for 18 hours for cell adhesion. After cell adhesion, continuous stirring (Eddy length 120 µm) was applied. 50% of the medium was changed every 2 days, until the cells reached 75% confluence on the microcarriers (about 5 days).</w:t>
      </w:r>
    </w:p>
    <w:p w14:paraId="2393D265" w14:textId="77777777" w:rsidR="00FC7FB0" w:rsidRDefault="724A2AEA" w:rsidP="002D0FB2">
      <w:pPr>
        <w:spacing w:line="276" w:lineRule="auto"/>
        <w:jc w:val="both"/>
        <w:rPr>
          <w:rFonts w:ascii="Times New Roman" w:hAnsi="Times New Roman" w:cs="Times New Roman"/>
          <w:lang w:val="en-GB"/>
        </w:rPr>
      </w:pPr>
      <w:r w:rsidRPr="724A2AEA">
        <w:rPr>
          <w:rFonts w:ascii="Times New Roman" w:hAnsi="Times New Roman" w:cs="Times New Roman"/>
          <w:lang w:val="en-GB"/>
        </w:rPr>
        <w:t xml:space="preserve">EV suspensions were characterized by Nanoparticle Tracking Analysis (NTA, NS300, Malvern) with a 405 nm laser. For each sample, 5 videos of 60 seconds were recorded with a camera level set at 16 (SCMOS Camera). Data were analysed with the NTA 3.3 – Sample Assistant Dev Build 3.3.203 software (Malvern). EV Brownian motion was tracked on a frame-to-frame basis, thereafter calculating particle concentration and using the Stokes-Einstein equations to determine particle size. EV size distribution was characterized by its mean, mode and standard distribution. A total of 13 turbulence-triggered ADSC EV productions meeting cell viability requirements for batch release were necessary to harvest enough EVs for this </w:t>
      </w:r>
      <w:r w:rsidRPr="724A2AEA">
        <w:rPr>
          <w:rFonts w:ascii="Times New Roman" w:hAnsi="Times New Roman" w:cs="Times New Roman"/>
          <w:i/>
          <w:iCs/>
          <w:lang w:val="en-GB"/>
        </w:rPr>
        <w:t>in vivo</w:t>
      </w:r>
      <w:r w:rsidRPr="724A2AEA">
        <w:rPr>
          <w:rFonts w:ascii="Times New Roman" w:hAnsi="Times New Roman" w:cs="Times New Roman"/>
          <w:lang w:val="en-GB"/>
        </w:rPr>
        <w:t xml:space="preserve"> study. Particle concentration and size distribution were assessed by NTA (</w:t>
      </w:r>
      <w:r w:rsidRPr="724A2AEA">
        <w:rPr>
          <w:rFonts w:ascii="Times New Roman" w:hAnsi="Times New Roman" w:cs="Times New Roman"/>
          <w:b/>
          <w:bCs/>
          <w:lang w:val="en-GB"/>
        </w:rPr>
        <w:t>Supplementary Table 2; Supplementary Figure 4</w:t>
      </w:r>
      <w:r w:rsidRPr="724A2AEA">
        <w:rPr>
          <w:rFonts w:ascii="Times New Roman" w:hAnsi="Times New Roman" w:cs="Times New Roman"/>
          <w:lang w:val="en-GB"/>
        </w:rPr>
        <w:t>); both in conditioned medium immediately before turbulence-triggered production, after 2 hours of turbulence-triggered production, after 4 hours of turbulence-triggered production and following EV isolation by ultracentrifugation. Approximately 2 .55×10</w:t>
      </w:r>
      <w:r w:rsidRPr="724A2AEA">
        <w:rPr>
          <w:rFonts w:ascii="Times New Roman" w:hAnsi="Times New Roman" w:cs="Times New Roman"/>
          <w:vertAlign w:val="superscript"/>
          <w:lang w:val="en-GB"/>
        </w:rPr>
        <w:t>13</w:t>
      </w:r>
      <w:r w:rsidRPr="724A2AEA">
        <w:rPr>
          <w:rFonts w:ascii="Times New Roman" w:hAnsi="Times New Roman" w:cs="Times New Roman"/>
          <w:lang w:val="en-GB"/>
        </w:rPr>
        <w:t xml:space="preserve"> particles were harvested in total after isolation, with a mean yield of 1.96×10</w:t>
      </w:r>
      <w:r w:rsidRPr="724A2AEA">
        <w:rPr>
          <w:rFonts w:ascii="Times New Roman" w:hAnsi="Times New Roman" w:cs="Times New Roman"/>
          <w:vertAlign w:val="superscript"/>
          <w:lang w:val="en-GB"/>
        </w:rPr>
        <w:t>12</w:t>
      </w:r>
      <w:r w:rsidRPr="724A2AEA">
        <w:rPr>
          <w:rFonts w:ascii="Times New Roman" w:hAnsi="Times New Roman" w:cs="Times New Roman"/>
          <w:lang w:val="en-GB"/>
        </w:rPr>
        <w:t>±1.21×10</w:t>
      </w:r>
      <w:r w:rsidRPr="724A2AEA">
        <w:rPr>
          <w:rFonts w:ascii="Times New Roman" w:hAnsi="Times New Roman" w:cs="Times New Roman"/>
          <w:vertAlign w:val="superscript"/>
          <w:lang w:val="en-GB"/>
        </w:rPr>
        <w:t>12</w:t>
      </w:r>
      <w:r w:rsidRPr="724A2AEA">
        <w:rPr>
          <w:rFonts w:ascii="Times New Roman" w:hAnsi="Times New Roman" w:cs="Times New Roman"/>
          <w:lang w:val="en-GB"/>
        </w:rPr>
        <w:t xml:space="preserve"> particles per spinner flask (range 2.65×10</w:t>
      </w:r>
      <w:r w:rsidRPr="724A2AEA">
        <w:rPr>
          <w:rFonts w:ascii="Times New Roman" w:hAnsi="Times New Roman" w:cs="Times New Roman"/>
          <w:vertAlign w:val="superscript"/>
          <w:lang w:val="en-GB"/>
        </w:rPr>
        <w:t>11</w:t>
      </w:r>
      <w:r w:rsidRPr="724A2AEA">
        <w:rPr>
          <w:rFonts w:ascii="Times New Roman" w:hAnsi="Times New Roman" w:cs="Times New Roman"/>
          <w:lang w:val="en-GB"/>
        </w:rPr>
        <w:t xml:space="preserve"> – 4.32×10</w:t>
      </w:r>
      <w:r w:rsidRPr="724A2AEA">
        <w:rPr>
          <w:rFonts w:ascii="Times New Roman" w:hAnsi="Times New Roman" w:cs="Times New Roman"/>
          <w:vertAlign w:val="superscript"/>
          <w:lang w:val="en-GB"/>
        </w:rPr>
        <w:t>12</w:t>
      </w:r>
      <w:r w:rsidRPr="724A2AEA">
        <w:rPr>
          <w:rFonts w:ascii="Times New Roman" w:hAnsi="Times New Roman" w:cs="Times New Roman"/>
          <w:lang w:val="en-GB"/>
        </w:rPr>
        <w:t>).</w:t>
      </w:r>
    </w:p>
    <w:p w14:paraId="2393D266" w14:textId="77777777" w:rsidR="000F6FA7" w:rsidRPr="000F6FA7" w:rsidRDefault="000F6FA7" w:rsidP="002D0FB2">
      <w:pPr>
        <w:spacing w:line="276" w:lineRule="auto"/>
        <w:jc w:val="both"/>
        <w:rPr>
          <w:rFonts w:ascii="Times New Roman" w:hAnsi="Times New Roman" w:cs="Times New Roman"/>
          <w:lang w:val="en-GB"/>
        </w:rPr>
      </w:pPr>
    </w:p>
    <w:p w14:paraId="2393D267" w14:textId="77777777" w:rsidR="00B120BD" w:rsidRDefault="00B120BD" w:rsidP="002D0FB2">
      <w:pPr>
        <w:spacing w:line="276" w:lineRule="auto"/>
        <w:jc w:val="both"/>
        <w:rPr>
          <w:rFonts w:ascii="Times New Roman" w:hAnsi="Times New Roman" w:cs="Times New Roman"/>
          <w:lang w:val="en-GB"/>
        </w:rPr>
      </w:pPr>
    </w:p>
    <w:p w14:paraId="2393D268" w14:textId="77777777" w:rsidR="0048307C" w:rsidRDefault="724A2AEA" w:rsidP="002D0FB2">
      <w:pPr>
        <w:spacing w:line="276" w:lineRule="auto"/>
        <w:jc w:val="both"/>
        <w:rPr>
          <w:rFonts w:ascii="Times New Roman" w:hAnsi="Times New Roman" w:cs="Times New Roman"/>
          <w:b/>
          <w:bCs/>
          <w:lang w:val="en-GB"/>
        </w:rPr>
      </w:pPr>
      <w:r w:rsidRPr="724A2AEA">
        <w:rPr>
          <w:rFonts w:ascii="Times New Roman" w:hAnsi="Times New Roman" w:cs="Times New Roman"/>
          <w:b/>
          <w:bCs/>
          <w:lang w:val="en-GB"/>
        </w:rPr>
        <w:t>Supplementary parts C: Secondary outcomes</w:t>
      </w:r>
    </w:p>
    <w:p w14:paraId="2393D269" w14:textId="77777777" w:rsidR="00B120BD" w:rsidRDefault="00B120BD" w:rsidP="002D0FB2">
      <w:pPr>
        <w:spacing w:line="276" w:lineRule="auto"/>
        <w:jc w:val="both"/>
        <w:rPr>
          <w:rFonts w:ascii="Times New Roman" w:hAnsi="Times New Roman" w:cs="Times New Roman"/>
          <w:b/>
          <w:bCs/>
          <w:lang w:val="en-GB"/>
        </w:rPr>
      </w:pPr>
    </w:p>
    <w:p w14:paraId="2393D26A" w14:textId="77777777" w:rsidR="00B120BD" w:rsidRPr="009C6A85" w:rsidRDefault="724A2AEA" w:rsidP="002D0FB2">
      <w:pPr>
        <w:pStyle w:val="Paragraphedeliste"/>
        <w:numPr>
          <w:ilvl w:val="0"/>
          <w:numId w:val="6"/>
        </w:numPr>
        <w:spacing w:after="200" w:line="276" w:lineRule="auto"/>
        <w:jc w:val="both"/>
        <w:rPr>
          <w:rFonts w:ascii="Times New Roman" w:hAnsi="Times New Roman" w:cs="Times New Roman"/>
          <w:lang w:val="en-GB"/>
        </w:rPr>
      </w:pPr>
      <w:r w:rsidRPr="724A2AEA">
        <w:rPr>
          <w:rFonts w:ascii="Times New Roman" w:hAnsi="Times New Roman" w:cs="Times New Roman"/>
          <w:b/>
          <w:bCs/>
          <w:lang w:val="en-GB"/>
        </w:rPr>
        <w:t>Clinical assessment of the external inflammation fistula opening</w:t>
      </w:r>
    </w:p>
    <w:p w14:paraId="2393D26B" w14:textId="77777777" w:rsidR="00B120BD" w:rsidRDefault="724A2AEA" w:rsidP="002D0FB2">
      <w:pPr>
        <w:spacing w:line="276" w:lineRule="auto"/>
        <w:jc w:val="both"/>
        <w:rPr>
          <w:rFonts w:ascii="Times New Roman" w:hAnsi="Times New Roman" w:cs="Times New Roman"/>
          <w:lang w:val="en-GB"/>
        </w:rPr>
      </w:pPr>
      <w:r w:rsidRPr="724A2AEA">
        <w:rPr>
          <w:rFonts w:ascii="Times New Roman" w:hAnsi="Times New Roman" w:cs="Times New Roman"/>
          <w:lang w:val="en-GB"/>
        </w:rPr>
        <w:lastRenderedPageBreak/>
        <w:t xml:space="preserve">Clinical assessment of inflammation of the external fistula orifice was performed by a skilled gastroenterologist. Peripheral skin inflammation was scored in rat and pig model from 0 to 3 as such: 0: normal skin; 1: inflammation on less than 90° of the external orifice circumference, without ulceration; 2: either inflammation on more than 90° of the circumference or presence of cutaneous ulceration(s); 3: inflammatory skin on the whole circumference with cutaneous ulceration(s) </w:t>
      </w:r>
      <w:r w:rsidRPr="724A2AEA">
        <w:rPr>
          <w:rFonts w:ascii="Times New Roman" w:hAnsi="Times New Roman" w:cs="Times New Roman"/>
          <w:b/>
          <w:bCs/>
          <w:lang w:val="en-GB"/>
        </w:rPr>
        <w:t>(Supplementary table 1</w:t>
      </w:r>
      <w:r w:rsidRPr="724A2AEA">
        <w:rPr>
          <w:rFonts w:ascii="Times New Roman" w:hAnsi="Times New Roman" w:cs="Times New Roman"/>
          <w:lang w:val="en-GB"/>
        </w:rPr>
        <w:t xml:space="preserve">). </w:t>
      </w:r>
    </w:p>
    <w:p w14:paraId="2393D26C" w14:textId="77777777" w:rsidR="00B120BD" w:rsidRPr="0048307C" w:rsidRDefault="00B120BD" w:rsidP="002D0FB2">
      <w:pPr>
        <w:spacing w:line="276" w:lineRule="auto"/>
        <w:jc w:val="both"/>
        <w:rPr>
          <w:rFonts w:ascii="Times New Roman" w:hAnsi="Times New Roman" w:cs="Times New Roman"/>
          <w:b/>
          <w:bCs/>
          <w:lang w:val="en-GB"/>
        </w:rPr>
      </w:pPr>
    </w:p>
    <w:p w14:paraId="2393D26D" w14:textId="77777777" w:rsidR="0048307C" w:rsidRPr="009C6A85" w:rsidRDefault="724A2AEA" w:rsidP="002D0FB2">
      <w:pPr>
        <w:pStyle w:val="Paragraphedeliste"/>
        <w:numPr>
          <w:ilvl w:val="0"/>
          <w:numId w:val="6"/>
        </w:numPr>
        <w:spacing w:after="200" w:line="276" w:lineRule="auto"/>
        <w:jc w:val="both"/>
        <w:rPr>
          <w:rFonts w:ascii="Times New Roman" w:hAnsi="Times New Roman" w:cs="Times New Roman"/>
          <w:lang w:val="en-GB"/>
        </w:rPr>
      </w:pPr>
      <w:r w:rsidRPr="724A2AEA">
        <w:rPr>
          <w:rFonts w:ascii="Times New Roman" w:hAnsi="Times New Roman" w:cs="Times New Roman"/>
          <w:b/>
          <w:bCs/>
          <w:lang w:val="en-GB"/>
        </w:rPr>
        <w:t>Radiological outcomes</w:t>
      </w:r>
    </w:p>
    <w:p w14:paraId="2393D26E" w14:textId="77777777" w:rsidR="0048307C" w:rsidRPr="009C6A85" w:rsidRDefault="0048307C"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 xml:space="preserve">External </w:t>
      </w:r>
      <w:proofErr w:type="spellStart"/>
      <w:r w:rsidRPr="009C6A85">
        <w:rPr>
          <w:rFonts w:ascii="Times New Roman" w:hAnsi="Times New Roman" w:cs="Times New Roman"/>
          <w:i/>
          <w:lang w:val="en-GB"/>
        </w:rPr>
        <w:t>fistulography</w:t>
      </w:r>
      <w:proofErr w:type="spellEnd"/>
    </w:p>
    <w:p w14:paraId="2393D26F" w14:textId="77777777" w:rsidR="0048307C" w:rsidRDefault="0048307C" w:rsidP="002D0FB2">
      <w:pPr>
        <w:spacing w:line="276" w:lineRule="auto"/>
        <w:jc w:val="both"/>
        <w:rPr>
          <w:rFonts w:ascii="Times New Roman" w:hAnsi="Times New Roman" w:cs="Times New Roman"/>
          <w:lang w:val="en-GB"/>
        </w:rPr>
      </w:pPr>
      <w:r w:rsidRPr="009C6A85">
        <w:rPr>
          <w:rFonts w:ascii="Times New Roman" w:hAnsi="Times New Roman" w:cs="Times New Roman"/>
          <w:lang w:val="en-GB"/>
        </w:rPr>
        <w:t xml:space="preserve">External </w:t>
      </w:r>
      <w:proofErr w:type="spellStart"/>
      <w:r w:rsidRPr="009C6A85">
        <w:rPr>
          <w:rFonts w:ascii="Times New Roman" w:hAnsi="Times New Roman" w:cs="Times New Roman"/>
          <w:lang w:val="en-GB"/>
        </w:rPr>
        <w:t>fistulography</w:t>
      </w:r>
      <w:proofErr w:type="spellEnd"/>
      <w:r w:rsidRPr="009C6A85">
        <w:rPr>
          <w:rFonts w:ascii="Times New Roman" w:hAnsi="Times New Roman" w:cs="Times New Roman"/>
          <w:lang w:val="en-GB"/>
        </w:rPr>
        <w:t xml:space="preserve"> was performed under general anaesthesia by injection of 5 mL of an iodinated contrast agent (</w:t>
      </w:r>
      <w:proofErr w:type="spellStart"/>
      <w:r w:rsidRPr="009C6A85">
        <w:rPr>
          <w:rFonts w:ascii="Times New Roman" w:hAnsi="Times New Roman" w:cs="Times New Roman"/>
          <w:lang w:val="en-GB"/>
        </w:rPr>
        <w:t>Xenetix</w:t>
      </w:r>
      <w:proofErr w:type="spellEnd"/>
      <w:r w:rsidRPr="009C6A85">
        <w:rPr>
          <w:rFonts w:ascii="Times New Roman" w:hAnsi="Times New Roman" w:cs="Times New Roman"/>
          <w:lang w:val="en-GB"/>
        </w:rPr>
        <w:t xml:space="preserve"> 250®, Guerbet, France) under fluoroscopic monitoring.</w:t>
      </w:r>
    </w:p>
    <w:p w14:paraId="2393D270" w14:textId="77777777" w:rsidR="0048307C" w:rsidRPr="009C6A85" w:rsidRDefault="0048307C" w:rsidP="002D0FB2">
      <w:pPr>
        <w:spacing w:line="276" w:lineRule="auto"/>
        <w:jc w:val="both"/>
        <w:rPr>
          <w:rFonts w:ascii="Times New Roman" w:hAnsi="Times New Roman" w:cs="Times New Roman"/>
          <w:lang w:val="en-GB"/>
        </w:rPr>
      </w:pPr>
    </w:p>
    <w:p w14:paraId="2393D271" w14:textId="77777777" w:rsidR="0048307C" w:rsidRPr="009C6A85" w:rsidRDefault="0048307C" w:rsidP="002D0FB2">
      <w:pPr>
        <w:spacing w:line="276" w:lineRule="auto"/>
        <w:jc w:val="both"/>
        <w:rPr>
          <w:rFonts w:ascii="Times New Roman" w:hAnsi="Times New Roman" w:cs="Times New Roman"/>
          <w:i/>
          <w:lang w:val="en-GB"/>
        </w:rPr>
      </w:pPr>
      <w:r w:rsidRPr="009C6A85">
        <w:rPr>
          <w:rFonts w:ascii="Times New Roman" w:hAnsi="Times New Roman" w:cs="Times New Roman"/>
          <w:i/>
          <w:lang w:val="en-GB"/>
        </w:rPr>
        <w:t>Positron emission tomography/computed tomography (PET/CT)</w:t>
      </w:r>
    </w:p>
    <w:p w14:paraId="2393D272" w14:textId="30AA92C8" w:rsidR="0048307C" w:rsidRPr="009C6A85" w:rsidRDefault="0048307C" w:rsidP="002D0FB2">
      <w:pPr>
        <w:spacing w:line="276" w:lineRule="auto"/>
        <w:jc w:val="both"/>
        <w:rPr>
          <w:rFonts w:ascii="Times New Roman" w:hAnsi="Times New Roman" w:cs="Times New Roman"/>
          <w:lang w:val="en-GB"/>
        </w:rPr>
      </w:pPr>
      <w:r w:rsidRPr="009C6A85">
        <w:rPr>
          <w:rFonts w:ascii="Times New Roman" w:hAnsi="Times New Roman" w:cs="Times New Roman"/>
          <w:lang w:val="en-US"/>
        </w:rPr>
        <w:t xml:space="preserve">2 to 5 rats (2, 3, 5, 5, and 4 respectively in the control, gel, EV, EVG and ADSC groups) were randomly selected from each group for </w:t>
      </w:r>
      <w:r w:rsidR="00B72270">
        <w:rPr>
          <w:rFonts w:ascii="Times New Roman" w:hAnsi="Times New Roman" w:cs="Times New Roman"/>
          <w:lang w:val="en-US"/>
        </w:rPr>
        <w:t>nuclear imaging</w:t>
      </w:r>
      <w:r w:rsidR="00B72270" w:rsidRPr="009C6A85">
        <w:rPr>
          <w:rFonts w:ascii="Times New Roman" w:hAnsi="Times New Roman" w:cs="Times New Roman"/>
          <w:lang w:val="en-US"/>
        </w:rPr>
        <w:t xml:space="preserve"> </w:t>
      </w:r>
      <w:r w:rsidRPr="009C6A85">
        <w:rPr>
          <w:rFonts w:ascii="Times New Roman" w:hAnsi="Times New Roman" w:cs="Times New Roman"/>
          <w:lang w:val="en-US"/>
        </w:rPr>
        <w:t xml:space="preserve">evaluation of inflammation by </w:t>
      </w:r>
      <w:r w:rsidR="00B72270">
        <w:rPr>
          <w:rFonts w:ascii="Times New Roman" w:hAnsi="Times New Roman" w:cs="Times New Roman"/>
          <w:lang w:val="en-US"/>
        </w:rPr>
        <w:t>FDG-</w:t>
      </w:r>
      <w:r w:rsidRPr="009C6A85">
        <w:rPr>
          <w:rFonts w:ascii="Times New Roman" w:hAnsi="Times New Roman" w:cs="Times New Roman"/>
          <w:lang w:val="en-US"/>
        </w:rPr>
        <w:t xml:space="preserve">PET/CT on POD 44 after overnight fasting with free access to water. The animals were anesthetized (2±0.5 % isoflurane in dioxygen), weighed and glycemia was measured in blood drawn from the caudal ventral artery using an Accu-Chek® Aviva Nano A (Accu-Chek, France). A </w:t>
      </w:r>
      <w:r w:rsidR="00B72270" w:rsidRPr="009C6A85">
        <w:rPr>
          <w:rFonts w:ascii="Times New Roman" w:hAnsi="Times New Roman" w:cs="Times New Roman"/>
          <w:lang w:val="en-US"/>
        </w:rPr>
        <w:t>2</w:t>
      </w:r>
      <w:r w:rsidR="00B72270">
        <w:rPr>
          <w:rFonts w:ascii="Times New Roman" w:hAnsi="Times New Roman" w:cs="Times New Roman"/>
          <w:lang w:val="en-US"/>
        </w:rPr>
        <w:t>9</w:t>
      </w:r>
      <w:r w:rsidR="00B72270" w:rsidRPr="009C6A85">
        <w:rPr>
          <w:rFonts w:ascii="Times New Roman" w:hAnsi="Times New Roman" w:cs="Times New Roman"/>
          <w:lang w:val="en-US"/>
        </w:rPr>
        <w:t xml:space="preserve">G </w:t>
      </w:r>
      <w:r w:rsidRPr="009C6A85">
        <w:rPr>
          <w:rFonts w:ascii="Times New Roman" w:hAnsi="Times New Roman" w:cs="Times New Roman"/>
          <w:lang w:val="en-US"/>
        </w:rPr>
        <w:t>needle catheter (Fischer Scientific, France) connected to a 5cm polyethylene tubing (</w:t>
      </w:r>
      <w:proofErr w:type="spellStart"/>
      <w:r w:rsidRPr="009C6A85">
        <w:rPr>
          <w:rFonts w:ascii="Times New Roman" w:hAnsi="Times New Roman" w:cs="Times New Roman"/>
          <w:lang w:val="en-US"/>
        </w:rPr>
        <w:t>TygonMicrobore</w:t>
      </w:r>
      <w:proofErr w:type="spellEnd"/>
      <w:r w:rsidRPr="009C6A85">
        <w:rPr>
          <w:rFonts w:ascii="Times New Roman" w:hAnsi="Times New Roman" w:cs="Times New Roman"/>
          <w:lang w:val="en-US"/>
        </w:rPr>
        <w:t xml:space="preserve"> Tubing, 0.010" x 0.030"OD; Fisher Scientific, France) was inserted in the caudal vein for radiotracer injection. 25.0 ±1.5 MBq of 2'-deoxy-2'-[18</w:t>
      </w:r>
      <w:proofErr w:type="gramStart"/>
      <w:r w:rsidRPr="009C6A85">
        <w:rPr>
          <w:rFonts w:ascii="Times New Roman" w:hAnsi="Times New Roman" w:cs="Times New Roman"/>
          <w:lang w:val="en-US"/>
        </w:rPr>
        <w:t>F]</w:t>
      </w:r>
      <w:proofErr w:type="spellStart"/>
      <w:r w:rsidRPr="009C6A85">
        <w:rPr>
          <w:rFonts w:ascii="Times New Roman" w:hAnsi="Times New Roman" w:cs="Times New Roman"/>
          <w:lang w:val="en-US"/>
        </w:rPr>
        <w:t>fluoro</w:t>
      </w:r>
      <w:proofErr w:type="spellEnd"/>
      <w:proofErr w:type="gramEnd"/>
      <w:r w:rsidRPr="009C6A85">
        <w:rPr>
          <w:rFonts w:ascii="Times New Roman" w:hAnsi="Times New Roman" w:cs="Times New Roman"/>
          <w:lang w:val="en-US"/>
        </w:rPr>
        <w:t xml:space="preserve">-D-glucose (FDG; Advanced Applied Applications, France) in 0.3 mL saline was injected via the catheter. The respiratory rate was followed to adjust </w:t>
      </w:r>
      <w:proofErr w:type="spellStart"/>
      <w:r w:rsidRPr="009C6A85">
        <w:rPr>
          <w:rFonts w:ascii="Times New Roman" w:hAnsi="Times New Roman" w:cs="Times New Roman"/>
          <w:lang w:val="en-US"/>
        </w:rPr>
        <w:t>anaesthesia</w:t>
      </w:r>
      <w:proofErr w:type="spellEnd"/>
      <w:r w:rsidRPr="009C6A85">
        <w:rPr>
          <w:rFonts w:ascii="Times New Roman" w:hAnsi="Times New Roman" w:cs="Times New Roman"/>
          <w:lang w:val="en-US"/>
        </w:rPr>
        <w:t xml:space="preserve"> and body temperature was maintained at 34±2 °C throughout the exam. CT was acquired in a PET-CT scanner (nanoScan PET-CT; Mediso Medical Imaging Systems, Hungary) using the following acquisition parameters: semi-circular mode, 50kV tension, 720 projections full scan, 300ms per projection, binning 1:4. CT projections were reconstructed by filtered retro-projection (filter: Cosine; Cutoff: 100%) using the software </w:t>
      </w:r>
      <w:proofErr w:type="spellStart"/>
      <w:r w:rsidRPr="009C6A85">
        <w:rPr>
          <w:rFonts w:ascii="Times New Roman" w:hAnsi="Times New Roman" w:cs="Times New Roman"/>
          <w:lang w:val="en-US"/>
        </w:rPr>
        <w:t>Nucline</w:t>
      </w:r>
      <w:proofErr w:type="spellEnd"/>
      <w:r w:rsidRPr="009C6A85">
        <w:rPr>
          <w:rFonts w:ascii="Times New Roman" w:hAnsi="Times New Roman" w:cs="Times New Roman"/>
          <w:lang w:val="en-US"/>
        </w:rPr>
        <w:t xml:space="preserve"> 3.00.010.0000 (</w:t>
      </w:r>
      <w:proofErr w:type="spellStart"/>
      <w:r w:rsidRPr="009C6A85">
        <w:rPr>
          <w:rFonts w:ascii="Times New Roman" w:hAnsi="Times New Roman" w:cs="Times New Roman"/>
          <w:lang w:val="en-US"/>
        </w:rPr>
        <w:t>Mediso</w:t>
      </w:r>
      <w:proofErr w:type="spellEnd"/>
      <w:r w:rsidRPr="009C6A85">
        <w:rPr>
          <w:rFonts w:ascii="Times New Roman" w:hAnsi="Times New Roman" w:cs="Times New Roman"/>
          <w:lang w:val="en-US"/>
        </w:rPr>
        <w:t xml:space="preserve"> Medical Imaging Systems, Hungary). 70 min post tracer injection, PET data were collected for 10 min in list mode, using a 5ns time window binning, a 400-600keV energy window and a 1:5 coincidence mode. Data were compiled using the Tera-Tomo reconstruction engine (3D-OSEM based manufactured customized algorithm) with expectation maximization iterations, as well as scatter and attenuation corrections. Volumes-of-interest (VOI) were delineated on the fistula tract (pathway) between the stomach and the skin using the PMOD software package (PMOD Technologies Ltd, Zürich, Switzerland). FDG accumulation was quantified as Standard Uptake Value (SUV, ratio of the radioactivity concentration in VOI on the whole-body </w:t>
      </w:r>
      <w:r w:rsidRPr="009C6A85">
        <w:rPr>
          <w:rFonts w:ascii="Times New Roman" w:hAnsi="Times New Roman" w:cs="Times New Roman"/>
          <w:lang w:val="en-GB"/>
        </w:rPr>
        <w:t xml:space="preserve">concentration of the injected radioactivity). </w:t>
      </w:r>
    </w:p>
    <w:p w14:paraId="2393D273" w14:textId="77777777" w:rsidR="0048307C" w:rsidRDefault="0048307C" w:rsidP="002D0FB2">
      <w:pPr>
        <w:spacing w:line="276" w:lineRule="auto"/>
        <w:jc w:val="both"/>
        <w:rPr>
          <w:rFonts w:ascii="Times New Roman" w:hAnsi="Times New Roman" w:cs="Times New Roman"/>
          <w:lang w:val="en-GB"/>
        </w:rPr>
      </w:pPr>
      <w:r w:rsidRPr="009C6A85">
        <w:rPr>
          <w:rFonts w:ascii="Times New Roman" w:hAnsi="Times New Roman" w:cs="Times New Roman"/>
          <w:lang w:val="en-GB"/>
        </w:rPr>
        <w:t>The standardized uptake value was analysed. SUV-max is determined as the highest value of FDG uptake of the pixel in the VOI or fistula pathway. The hot average is defined as the mean of the 5 highest values in the VOI. The total lesion glycolysis is the product of the SUV mean by the volume of the VOI.</w:t>
      </w:r>
    </w:p>
    <w:p w14:paraId="2393D274" w14:textId="77777777" w:rsidR="0048307C" w:rsidRPr="009C6A85" w:rsidRDefault="0048307C" w:rsidP="002D0FB2">
      <w:pPr>
        <w:spacing w:line="276" w:lineRule="auto"/>
        <w:jc w:val="both"/>
        <w:rPr>
          <w:rFonts w:ascii="Times New Roman" w:hAnsi="Times New Roman" w:cs="Times New Roman"/>
          <w:lang w:val="en-GB"/>
        </w:rPr>
      </w:pPr>
    </w:p>
    <w:p w14:paraId="2393D275" w14:textId="77777777" w:rsidR="0048307C" w:rsidRPr="009C6A85" w:rsidRDefault="724A2AEA" w:rsidP="002D0FB2">
      <w:pPr>
        <w:pStyle w:val="Paragraphedeliste"/>
        <w:numPr>
          <w:ilvl w:val="0"/>
          <w:numId w:val="6"/>
        </w:numPr>
        <w:spacing w:after="200" w:line="276" w:lineRule="auto"/>
        <w:jc w:val="both"/>
        <w:rPr>
          <w:rFonts w:ascii="Times New Roman" w:hAnsi="Times New Roman" w:cs="Times New Roman"/>
          <w:lang w:val="en-GB"/>
        </w:rPr>
      </w:pPr>
      <w:r w:rsidRPr="724A2AEA">
        <w:rPr>
          <w:rFonts w:ascii="Times New Roman" w:hAnsi="Times New Roman" w:cs="Times New Roman"/>
          <w:b/>
          <w:bCs/>
          <w:lang w:val="en-GB"/>
        </w:rPr>
        <w:t>Endoscopic assessment of the internal fistula opening</w:t>
      </w:r>
    </w:p>
    <w:p w14:paraId="586083C3" w14:textId="13F4D56B" w:rsidR="00C833D3" w:rsidRPr="0072438B" w:rsidRDefault="724A2AEA" w:rsidP="002D0FB2">
      <w:pPr>
        <w:spacing w:line="276" w:lineRule="auto"/>
        <w:jc w:val="both"/>
        <w:rPr>
          <w:rFonts w:ascii="Times New Roman" w:hAnsi="Times New Roman" w:cs="Times New Roman"/>
          <w:b/>
          <w:bCs/>
          <w:lang w:val="en-GB"/>
        </w:rPr>
      </w:pPr>
      <w:r w:rsidRPr="724A2AEA">
        <w:rPr>
          <w:rFonts w:ascii="Times New Roman" w:hAnsi="Times New Roman" w:cs="Times New Roman"/>
          <w:lang w:val="en-GB"/>
        </w:rPr>
        <w:lastRenderedPageBreak/>
        <w:t xml:space="preserve">Upper gastro-intestinal endoscopy (Gastroscope EG-590WR, Fujifilm, Tokyo, Japan) was performed under general anaesthesia by an experimented gastroenterologist to investigate internal fistula orifice closure, with a systematic attempt at catheterization, and its inflammation, scored as described in </w:t>
      </w:r>
      <w:r w:rsidRPr="724A2AEA">
        <w:rPr>
          <w:rFonts w:ascii="Times New Roman" w:hAnsi="Times New Roman" w:cs="Times New Roman"/>
          <w:b/>
          <w:bCs/>
          <w:lang w:val="en-GB"/>
        </w:rPr>
        <w:t>Supplementary Table 1.</w:t>
      </w:r>
    </w:p>
    <w:p w14:paraId="2393D277" w14:textId="77777777" w:rsidR="0048307C" w:rsidRPr="009C6A85" w:rsidRDefault="0048307C" w:rsidP="002D0FB2">
      <w:pPr>
        <w:spacing w:line="276" w:lineRule="auto"/>
        <w:jc w:val="both"/>
        <w:rPr>
          <w:rFonts w:ascii="Times New Roman" w:hAnsi="Times New Roman" w:cs="Times New Roman"/>
          <w:lang w:val="en-GB"/>
        </w:rPr>
      </w:pPr>
    </w:p>
    <w:p w14:paraId="2393D278" w14:textId="77777777" w:rsidR="0048307C" w:rsidRPr="009C6A85" w:rsidRDefault="724A2AEA" w:rsidP="002D0FB2">
      <w:pPr>
        <w:pStyle w:val="Paragraphedeliste"/>
        <w:numPr>
          <w:ilvl w:val="0"/>
          <w:numId w:val="6"/>
        </w:numPr>
        <w:spacing w:after="200" w:line="276" w:lineRule="auto"/>
        <w:jc w:val="both"/>
        <w:rPr>
          <w:rFonts w:ascii="Times New Roman" w:hAnsi="Times New Roman" w:cs="Times New Roman"/>
          <w:lang w:val="en-GB"/>
        </w:rPr>
      </w:pPr>
      <w:r w:rsidRPr="724A2AEA">
        <w:rPr>
          <w:rFonts w:ascii="Times New Roman" w:hAnsi="Times New Roman" w:cs="Times New Roman"/>
          <w:b/>
          <w:bCs/>
          <w:lang w:val="en-GB"/>
        </w:rPr>
        <w:t>Histology</w:t>
      </w:r>
    </w:p>
    <w:p w14:paraId="2393D279" w14:textId="7B11CDD5" w:rsidR="0048307C" w:rsidRPr="00BE26F4" w:rsidRDefault="724A2AEA" w:rsidP="002D0FB2">
      <w:pPr>
        <w:spacing w:line="276" w:lineRule="auto"/>
        <w:jc w:val="both"/>
        <w:rPr>
          <w:rFonts w:ascii="Times New Roman" w:hAnsi="Times New Roman" w:cs="Times New Roman"/>
          <w:lang w:val="en-US"/>
        </w:rPr>
      </w:pPr>
      <w:r w:rsidRPr="724A2AEA">
        <w:rPr>
          <w:rFonts w:ascii="Times New Roman" w:hAnsi="Times New Roman" w:cs="Times New Roman"/>
          <w:lang w:val="en-US"/>
        </w:rPr>
        <w:t>After fixation in formol for 24 hours, specimens</w:t>
      </w:r>
      <w:r w:rsidR="00281054">
        <w:rPr>
          <w:rFonts w:ascii="Times New Roman" w:hAnsi="Times New Roman" w:cs="Times New Roman"/>
          <w:lang w:val="en-US"/>
        </w:rPr>
        <w:t xml:space="preserve"> </w:t>
      </w:r>
      <w:r w:rsidRPr="724A2AEA">
        <w:rPr>
          <w:rFonts w:ascii="Times New Roman" w:hAnsi="Times New Roman" w:cs="Times New Roman"/>
          <w:lang w:val="en-US"/>
        </w:rPr>
        <w:t>were</w:t>
      </w:r>
      <w:r w:rsidR="00281054">
        <w:rPr>
          <w:rFonts w:ascii="Times New Roman" w:hAnsi="Times New Roman" w:cs="Times New Roman"/>
          <w:lang w:val="en-US"/>
        </w:rPr>
        <w:t xml:space="preserve"> </w:t>
      </w:r>
      <w:r w:rsidRPr="724A2AEA">
        <w:rPr>
          <w:rFonts w:ascii="Times New Roman" w:hAnsi="Times New Roman" w:cs="Times New Roman"/>
          <w:lang w:val="en-US"/>
        </w:rPr>
        <w:t>cut</w:t>
      </w:r>
      <w:r w:rsidR="00281054">
        <w:rPr>
          <w:rFonts w:ascii="Times New Roman" w:hAnsi="Times New Roman" w:cs="Times New Roman"/>
          <w:lang w:val="en-US"/>
        </w:rPr>
        <w:t xml:space="preserve"> </w:t>
      </w:r>
      <w:r w:rsidRPr="724A2AEA">
        <w:rPr>
          <w:rFonts w:ascii="Times New Roman" w:hAnsi="Times New Roman" w:cs="Times New Roman"/>
          <w:lang w:val="en-US"/>
        </w:rPr>
        <w:t>into</w:t>
      </w:r>
      <w:r w:rsidR="00281054">
        <w:rPr>
          <w:rFonts w:ascii="Times New Roman" w:hAnsi="Times New Roman" w:cs="Times New Roman"/>
          <w:lang w:val="en-US"/>
        </w:rPr>
        <w:t xml:space="preserve"> </w:t>
      </w:r>
      <w:r w:rsidRPr="724A2AEA">
        <w:rPr>
          <w:rFonts w:ascii="Times New Roman" w:hAnsi="Times New Roman" w:cs="Times New Roman"/>
          <w:lang w:val="en-US"/>
        </w:rPr>
        <w:t>two fragments perpendicularly to the center of the fistula. Both fragments were</w:t>
      </w:r>
      <w:r w:rsidR="00281054">
        <w:rPr>
          <w:rFonts w:ascii="Times New Roman" w:hAnsi="Times New Roman" w:cs="Times New Roman"/>
          <w:lang w:val="en-US"/>
        </w:rPr>
        <w:t xml:space="preserve"> </w:t>
      </w:r>
      <w:r w:rsidRPr="724A2AEA">
        <w:rPr>
          <w:rFonts w:ascii="Times New Roman" w:hAnsi="Times New Roman" w:cs="Times New Roman"/>
          <w:lang w:val="en-US"/>
        </w:rPr>
        <w:t>then</w:t>
      </w:r>
      <w:r w:rsidR="00281054">
        <w:rPr>
          <w:rFonts w:ascii="Times New Roman" w:hAnsi="Times New Roman" w:cs="Times New Roman"/>
          <w:lang w:val="en-US"/>
        </w:rPr>
        <w:t xml:space="preserve"> </w:t>
      </w:r>
      <w:r w:rsidRPr="724A2AEA">
        <w:rPr>
          <w:rFonts w:ascii="Times New Roman" w:hAnsi="Times New Roman" w:cs="Times New Roman"/>
          <w:lang w:val="en-US"/>
        </w:rPr>
        <w:t>embedded in paraffin and fully</w:t>
      </w:r>
      <w:r w:rsidR="00281054">
        <w:rPr>
          <w:rFonts w:ascii="Times New Roman" w:hAnsi="Times New Roman" w:cs="Times New Roman"/>
          <w:lang w:val="en-US"/>
        </w:rPr>
        <w:t xml:space="preserve"> </w:t>
      </w:r>
      <w:r w:rsidRPr="724A2AEA">
        <w:rPr>
          <w:rFonts w:ascii="Times New Roman" w:hAnsi="Times New Roman" w:cs="Times New Roman"/>
          <w:lang w:val="en-US"/>
        </w:rPr>
        <w:t xml:space="preserve">sectioned in </w:t>
      </w:r>
      <w:r w:rsidR="00D67513">
        <w:rPr>
          <w:rFonts w:ascii="Times New Roman" w:hAnsi="Times New Roman" w:cs="Times New Roman"/>
          <w:lang w:val="en-US"/>
        </w:rPr>
        <w:t>4</w:t>
      </w:r>
      <w:r w:rsidRPr="724A2AEA">
        <w:rPr>
          <w:rFonts w:ascii="Times New Roman" w:hAnsi="Times New Roman" w:cs="Times New Roman"/>
          <w:lang w:val="en-US"/>
        </w:rPr>
        <w:t>µm slices using a microtome and tissue sections were</w:t>
      </w:r>
      <w:r w:rsidR="00281054">
        <w:rPr>
          <w:rFonts w:ascii="Times New Roman" w:hAnsi="Times New Roman" w:cs="Times New Roman"/>
          <w:lang w:val="en-US"/>
        </w:rPr>
        <w:t xml:space="preserve"> </w:t>
      </w:r>
      <w:r w:rsidRPr="724A2AEA">
        <w:rPr>
          <w:rFonts w:ascii="Times New Roman" w:hAnsi="Times New Roman" w:cs="Times New Roman"/>
          <w:lang w:val="en-US"/>
        </w:rPr>
        <w:t>then</w:t>
      </w:r>
      <w:r w:rsidR="00281054">
        <w:rPr>
          <w:rFonts w:ascii="Times New Roman" w:hAnsi="Times New Roman" w:cs="Times New Roman"/>
          <w:lang w:val="en-US"/>
        </w:rPr>
        <w:t xml:space="preserve"> </w:t>
      </w:r>
      <w:r w:rsidRPr="724A2AEA">
        <w:rPr>
          <w:rFonts w:ascii="Times New Roman" w:hAnsi="Times New Roman" w:cs="Times New Roman"/>
          <w:lang w:val="en-US"/>
        </w:rPr>
        <w:t xml:space="preserve">mounted on glass slides. </w:t>
      </w:r>
      <w:proofErr w:type="spellStart"/>
      <w:r w:rsidRPr="724A2AEA">
        <w:rPr>
          <w:rFonts w:ascii="Times New Roman" w:hAnsi="Times New Roman" w:cs="Times New Roman"/>
          <w:lang w:val="en-US"/>
        </w:rPr>
        <w:t>H</w:t>
      </w:r>
      <w:r w:rsidR="00281054">
        <w:rPr>
          <w:rFonts w:ascii="Times New Roman" w:hAnsi="Times New Roman" w:cs="Times New Roman"/>
          <w:lang w:val="en-US"/>
        </w:rPr>
        <w:t>a</w:t>
      </w:r>
      <w:r w:rsidRPr="724A2AEA">
        <w:rPr>
          <w:rFonts w:ascii="Times New Roman" w:hAnsi="Times New Roman" w:cs="Times New Roman"/>
          <w:lang w:val="en-US"/>
        </w:rPr>
        <w:t>ematoxylin</w:t>
      </w:r>
      <w:proofErr w:type="spellEnd"/>
      <w:r w:rsidR="00281054">
        <w:rPr>
          <w:rFonts w:ascii="Times New Roman" w:hAnsi="Times New Roman" w:cs="Times New Roman"/>
          <w:lang w:val="en-US"/>
        </w:rPr>
        <w:t xml:space="preserve"> </w:t>
      </w:r>
      <w:r w:rsidRPr="724A2AEA">
        <w:rPr>
          <w:rFonts w:ascii="Times New Roman" w:hAnsi="Times New Roman" w:cs="Times New Roman"/>
          <w:lang w:val="en-US"/>
        </w:rPr>
        <w:t>Eosin, Periodic</w:t>
      </w:r>
      <w:r w:rsidR="00281054">
        <w:rPr>
          <w:rFonts w:ascii="Times New Roman" w:hAnsi="Times New Roman" w:cs="Times New Roman"/>
          <w:lang w:val="en-US"/>
        </w:rPr>
        <w:t xml:space="preserve"> </w:t>
      </w:r>
      <w:r w:rsidRPr="724A2AEA">
        <w:rPr>
          <w:rFonts w:ascii="Times New Roman" w:hAnsi="Times New Roman" w:cs="Times New Roman"/>
          <w:lang w:val="en-US"/>
        </w:rPr>
        <w:t>acid-Schiff, and Sirius Red staining</w:t>
      </w:r>
      <w:r w:rsidR="00281054">
        <w:rPr>
          <w:rFonts w:ascii="Times New Roman" w:hAnsi="Times New Roman" w:cs="Times New Roman"/>
          <w:lang w:val="en-US"/>
        </w:rPr>
        <w:t xml:space="preserve"> </w:t>
      </w:r>
      <w:r w:rsidRPr="724A2AEA">
        <w:rPr>
          <w:rFonts w:ascii="Times New Roman" w:hAnsi="Times New Roman" w:cs="Times New Roman"/>
          <w:lang w:val="en-US"/>
        </w:rPr>
        <w:t>were</w:t>
      </w:r>
      <w:r w:rsidR="00281054">
        <w:rPr>
          <w:rFonts w:ascii="Times New Roman" w:hAnsi="Times New Roman" w:cs="Times New Roman"/>
          <w:lang w:val="en-US"/>
        </w:rPr>
        <w:t xml:space="preserve"> </w:t>
      </w:r>
      <w:r w:rsidRPr="724A2AEA">
        <w:rPr>
          <w:rFonts w:ascii="Times New Roman" w:hAnsi="Times New Roman" w:cs="Times New Roman"/>
          <w:lang w:val="en-US"/>
        </w:rPr>
        <w:t>performed, and the following</w:t>
      </w:r>
      <w:r w:rsidR="00281054">
        <w:rPr>
          <w:rFonts w:ascii="Times New Roman" w:hAnsi="Times New Roman" w:cs="Times New Roman"/>
          <w:lang w:val="en-US"/>
        </w:rPr>
        <w:t xml:space="preserve"> </w:t>
      </w:r>
      <w:r w:rsidRPr="724A2AEA">
        <w:rPr>
          <w:rFonts w:ascii="Times New Roman" w:hAnsi="Times New Roman" w:cs="Times New Roman"/>
          <w:lang w:val="en-US"/>
        </w:rPr>
        <w:t>parameters</w:t>
      </w:r>
      <w:r w:rsidR="00281054">
        <w:rPr>
          <w:rFonts w:ascii="Times New Roman" w:hAnsi="Times New Roman" w:cs="Times New Roman"/>
          <w:lang w:val="en-US"/>
        </w:rPr>
        <w:t xml:space="preserve"> </w:t>
      </w:r>
      <w:r w:rsidRPr="724A2AEA">
        <w:rPr>
          <w:rFonts w:ascii="Times New Roman" w:hAnsi="Times New Roman" w:cs="Times New Roman"/>
          <w:lang w:val="en-US"/>
        </w:rPr>
        <w:t>were</w:t>
      </w:r>
      <w:r w:rsidR="00281054">
        <w:rPr>
          <w:rFonts w:ascii="Times New Roman" w:hAnsi="Times New Roman" w:cs="Times New Roman"/>
          <w:lang w:val="en-US"/>
        </w:rPr>
        <w:t xml:space="preserve"> </w:t>
      </w:r>
      <w:r w:rsidRPr="724A2AEA">
        <w:rPr>
          <w:rFonts w:ascii="Times New Roman" w:hAnsi="Times New Roman" w:cs="Times New Roman"/>
          <w:lang w:val="en-US"/>
        </w:rPr>
        <w:t>assessed by an experienced</w:t>
      </w:r>
      <w:r w:rsidR="00281054">
        <w:rPr>
          <w:rFonts w:ascii="Times New Roman" w:hAnsi="Times New Roman" w:cs="Times New Roman"/>
          <w:lang w:val="en-US"/>
        </w:rPr>
        <w:t xml:space="preserve"> </w:t>
      </w:r>
      <w:r w:rsidRPr="724A2AEA">
        <w:rPr>
          <w:rFonts w:ascii="Times New Roman" w:hAnsi="Times New Roman" w:cs="Times New Roman"/>
          <w:lang w:val="en-US"/>
        </w:rPr>
        <w:t>pathologist blinded to treatment allocation:</w:t>
      </w:r>
      <w:r w:rsidR="00281054">
        <w:rPr>
          <w:rFonts w:ascii="Times New Roman" w:hAnsi="Times New Roman" w:cs="Times New Roman"/>
          <w:lang w:val="en-US"/>
        </w:rPr>
        <w:t xml:space="preserve"> </w:t>
      </w:r>
      <w:r w:rsidRPr="724A2AEA">
        <w:rPr>
          <w:rFonts w:ascii="Times New Roman" w:hAnsi="Times New Roman" w:cs="Times New Roman"/>
          <w:lang w:val="en-US"/>
        </w:rPr>
        <w:t>presence of a fistula</w:t>
      </w:r>
      <w:r w:rsidR="00281054">
        <w:rPr>
          <w:rFonts w:ascii="Times New Roman" w:hAnsi="Times New Roman" w:cs="Times New Roman"/>
          <w:lang w:val="en-US"/>
        </w:rPr>
        <w:t xml:space="preserve"> tract</w:t>
      </w:r>
      <w:r w:rsidR="009658D1">
        <w:rPr>
          <w:rFonts w:ascii="Times New Roman" w:hAnsi="Times New Roman" w:cs="Times New Roman"/>
          <w:lang w:val="en-US"/>
        </w:rPr>
        <w:t xml:space="preserve"> and its maximal diameter</w:t>
      </w:r>
      <w:r w:rsidRPr="724A2AEA">
        <w:rPr>
          <w:rFonts w:ascii="Times New Roman" w:hAnsi="Times New Roman" w:cs="Times New Roman"/>
          <w:lang w:val="en-US"/>
        </w:rPr>
        <w:t>;</w:t>
      </w:r>
      <w:r w:rsidR="00281054">
        <w:rPr>
          <w:rFonts w:ascii="Times New Roman" w:hAnsi="Times New Roman" w:cs="Times New Roman"/>
          <w:lang w:val="en-US"/>
        </w:rPr>
        <w:t xml:space="preserve"> </w:t>
      </w:r>
      <w:r w:rsidRPr="724A2AEA">
        <w:rPr>
          <w:rFonts w:ascii="Times New Roman" w:hAnsi="Times New Roman" w:cs="Times New Roman"/>
          <w:lang w:val="en-US"/>
        </w:rPr>
        <w:t xml:space="preserve">presence, </w:t>
      </w:r>
      <w:r w:rsidR="00281054" w:rsidRPr="724A2AEA">
        <w:rPr>
          <w:rFonts w:ascii="Times New Roman" w:hAnsi="Times New Roman" w:cs="Times New Roman"/>
          <w:lang w:val="en-US"/>
        </w:rPr>
        <w:t>localization</w:t>
      </w:r>
      <w:r w:rsidRPr="724A2AEA">
        <w:rPr>
          <w:rFonts w:ascii="Times New Roman" w:hAnsi="Times New Roman" w:cs="Times New Roman"/>
          <w:lang w:val="en-US"/>
        </w:rPr>
        <w:t xml:space="preserve"> and maximum thickness of fibrosis</w:t>
      </w:r>
      <w:r w:rsidR="00281054">
        <w:rPr>
          <w:rFonts w:ascii="Times New Roman" w:hAnsi="Times New Roman" w:cs="Times New Roman"/>
          <w:lang w:val="en-US"/>
        </w:rPr>
        <w:t xml:space="preserve"> </w:t>
      </w:r>
      <w:r w:rsidRPr="724A2AEA">
        <w:rPr>
          <w:rFonts w:ascii="Times New Roman" w:hAnsi="Times New Roman" w:cs="Times New Roman"/>
          <w:lang w:val="en-US"/>
        </w:rPr>
        <w:t>around the fistula tract. Inflammation was</w:t>
      </w:r>
      <w:r w:rsidR="00281054">
        <w:rPr>
          <w:rFonts w:ascii="Times New Roman" w:hAnsi="Times New Roman" w:cs="Times New Roman"/>
          <w:lang w:val="en-US"/>
        </w:rPr>
        <w:t xml:space="preserve"> </w:t>
      </w:r>
      <w:r w:rsidRPr="724A2AEA">
        <w:rPr>
          <w:rFonts w:ascii="Times New Roman" w:hAnsi="Times New Roman" w:cs="Times New Roman"/>
          <w:lang w:val="en-US"/>
        </w:rPr>
        <w:t>also</w:t>
      </w:r>
      <w:r w:rsidR="00281054">
        <w:rPr>
          <w:rFonts w:ascii="Times New Roman" w:hAnsi="Times New Roman" w:cs="Times New Roman"/>
          <w:lang w:val="en-US"/>
        </w:rPr>
        <w:t xml:space="preserve"> </w:t>
      </w:r>
      <w:r w:rsidRPr="724A2AEA">
        <w:rPr>
          <w:rFonts w:ascii="Times New Roman" w:hAnsi="Times New Roman" w:cs="Times New Roman"/>
          <w:lang w:val="en-US"/>
        </w:rPr>
        <w:t>evaluated</w:t>
      </w:r>
      <w:r w:rsidR="00281054">
        <w:rPr>
          <w:rFonts w:ascii="Times New Roman" w:hAnsi="Times New Roman" w:cs="Times New Roman"/>
          <w:lang w:val="en-US"/>
        </w:rPr>
        <w:t xml:space="preserve"> </w:t>
      </w:r>
      <w:r w:rsidRPr="724A2AEA">
        <w:rPr>
          <w:rFonts w:ascii="Times New Roman" w:hAnsi="Times New Roman" w:cs="Times New Roman"/>
          <w:lang w:val="en-US"/>
        </w:rPr>
        <w:t>through the semi-quantitative analysis of the inflammatory</w:t>
      </w:r>
      <w:r w:rsidR="00281054">
        <w:rPr>
          <w:rFonts w:ascii="Times New Roman" w:hAnsi="Times New Roman" w:cs="Times New Roman"/>
          <w:lang w:val="en-US"/>
        </w:rPr>
        <w:t xml:space="preserve"> </w:t>
      </w:r>
      <w:r w:rsidRPr="724A2AEA">
        <w:rPr>
          <w:rFonts w:ascii="Times New Roman" w:hAnsi="Times New Roman" w:cs="Times New Roman"/>
          <w:lang w:val="en-US"/>
        </w:rPr>
        <w:t>infiltrate (</w:t>
      </w:r>
      <w:r w:rsidRPr="724A2AEA">
        <w:rPr>
          <w:rFonts w:ascii="Times New Roman" w:hAnsi="Times New Roman" w:cs="Times New Roman"/>
          <w:b/>
          <w:bCs/>
          <w:lang w:val="en-US"/>
        </w:rPr>
        <w:t>Supplementary Table 3</w:t>
      </w:r>
      <w:r w:rsidR="009658D1">
        <w:rPr>
          <w:rFonts w:ascii="Times New Roman" w:hAnsi="Times New Roman" w:cs="Times New Roman"/>
          <w:lang w:val="en-US"/>
        </w:rPr>
        <w:t>).</w:t>
      </w:r>
      <w:r w:rsidR="00E02E5F">
        <w:rPr>
          <w:rFonts w:ascii="Times New Roman" w:hAnsi="Times New Roman" w:cs="Times New Roman"/>
          <w:lang w:val="en-US"/>
        </w:rPr>
        <w:t xml:space="preserve"> </w:t>
      </w:r>
      <w:r w:rsidR="00E02E5F" w:rsidRPr="00E02E5F">
        <w:rPr>
          <w:rFonts w:ascii="Times New Roman" w:hAnsi="Times New Roman" w:cs="Times New Roman"/>
          <w:lang w:val="en-US"/>
        </w:rPr>
        <w:t>The immunohistochemistry protocol involve</w:t>
      </w:r>
      <w:r w:rsidR="00764CB5">
        <w:rPr>
          <w:rFonts w:ascii="Times New Roman" w:hAnsi="Times New Roman" w:cs="Times New Roman"/>
          <w:lang w:val="en-US"/>
        </w:rPr>
        <w:t>d</w:t>
      </w:r>
      <w:r w:rsidR="00E02E5F" w:rsidRPr="00E02E5F">
        <w:rPr>
          <w:rFonts w:ascii="Times New Roman" w:hAnsi="Times New Roman" w:cs="Times New Roman"/>
          <w:lang w:val="en-US"/>
        </w:rPr>
        <w:t xml:space="preserve"> deparaffinization with xylene (2 × 5 min), rehydration through graded alcohols (100%, 95%, 70%) to water, and antigen retrieval using EDTA pH 9 </w:t>
      </w:r>
      <w:proofErr w:type="gramStart"/>
      <w:r w:rsidR="00E02E5F" w:rsidRPr="00E02E5F">
        <w:rPr>
          <w:rFonts w:ascii="Times New Roman" w:hAnsi="Times New Roman" w:cs="Times New Roman"/>
          <w:lang w:val="en-US"/>
        </w:rPr>
        <w:t>buffer</w:t>
      </w:r>
      <w:proofErr w:type="gramEnd"/>
      <w:r w:rsidR="00E02E5F" w:rsidRPr="00E02E5F">
        <w:rPr>
          <w:rFonts w:ascii="Times New Roman" w:hAnsi="Times New Roman" w:cs="Times New Roman"/>
          <w:lang w:val="en-US"/>
        </w:rPr>
        <w:t xml:space="preserve"> at 95°C for 20 minutes in a pressure cooker. Slides </w:t>
      </w:r>
      <w:r w:rsidR="00764CB5">
        <w:rPr>
          <w:rFonts w:ascii="Times New Roman" w:hAnsi="Times New Roman" w:cs="Times New Roman"/>
          <w:lang w:val="en-US"/>
        </w:rPr>
        <w:t xml:space="preserve">were </w:t>
      </w:r>
      <w:r w:rsidR="00E02E5F" w:rsidRPr="00E02E5F">
        <w:rPr>
          <w:rFonts w:ascii="Times New Roman" w:hAnsi="Times New Roman" w:cs="Times New Roman"/>
          <w:lang w:val="en-US"/>
        </w:rPr>
        <w:t>then blocked for 1 hour with Smart Block (</w:t>
      </w:r>
      <w:proofErr w:type="spellStart"/>
      <w:r w:rsidR="00E02E5F" w:rsidRPr="00E02E5F">
        <w:rPr>
          <w:rFonts w:ascii="Times New Roman" w:hAnsi="Times New Roman" w:cs="Times New Roman"/>
          <w:lang w:val="en-US"/>
        </w:rPr>
        <w:t>Cliniscience</w:t>
      </w:r>
      <w:proofErr w:type="spellEnd"/>
      <w:r w:rsidR="00E02E5F" w:rsidRPr="00E02E5F">
        <w:rPr>
          <w:rFonts w:ascii="Times New Roman" w:hAnsi="Times New Roman" w:cs="Times New Roman"/>
          <w:lang w:val="en-US"/>
        </w:rPr>
        <w:t xml:space="preserve"> 113 500). Staining </w:t>
      </w:r>
      <w:r w:rsidR="00764CB5">
        <w:rPr>
          <w:rFonts w:ascii="Times New Roman" w:hAnsi="Times New Roman" w:cs="Times New Roman"/>
          <w:lang w:val="en-US"/>
        </w:rPr>
        <w:t>was</w:t>
      </w:r>
      <w:r w:rsidR="00E02E5F" w:rsidRPr="00E02E5F">
        <w:rPr>
          <w:rFonts w:ascii="Times New Roman" w:hAnsi="Times New Roman" w:cs="Times New Roman"/>
          <w:lang w:val="en-US"/>
        </w:rPr>
        <w:t xml:space="preserve"> performed on the Leica Bond RX system using anti-DC31 antibody (ab281583) diluted 1:50 (0.26 µg/mL) and the Leica Bond Polymer Refine Detection Kit (DS9800), followed by hematoxylin counterstaining. Finally, slides </w:t>
      </w:r>
      <w:r w:rsidR="00764CB5">
        <w:rPr>
          <w:rFonts w:ascii="Times New Roman" w:hAnsi="Times New Roman" w:cs="Times New Roman"/>
          <w:lang w:val="en-US"/>
        </w:rPr>
        <w:t>were</w:t>
      </w:r>
      <w:r w:rsidR="00E02E5F" w:rsidRPr="00E02E5F">
        <w:rPr>
          <w:rFonts w:ascii="Times New Roman" w:hAnsi="Times New Roman" w:cs="Times New Roman"/>
          <w:lang w:val="en-US"/>
        </w:rPr>
        <w:t xml:space="preserve"> mounted with </w:t>
      </w:r>
      <w:proofErr w:type="spellStart"/>
      <w:r w:rsidR="00E02E5F" w:rsidRPr="00E02E5F">
        <w:rPr>
          <w:rFonts w:ascii="Times New Roman" w:hAnsi="Times New Roman" w:cs="Times New Roman"/>
          <w:lang w:val="en-US"/>
        </w:rPr>
        <w:t>Pertex</w:t>
      </w:r>
      <w:proofErr w:type="spellEnd"/>
      <w:r w:rsidR="00E02E5F" w:rsidRPr="00E02E5F">
        <w:rPr>
          <w:rFonts w:ascii="Times New Roman" w:hAnsi="Times New Roman" w:cs="Times New Roman"/>
          <w:lang w:val="en-US"/>
        </w:rPr>
        <w:t>.</w:t>
      </w:r>
      <w:r w:rsidR="00E02E5F">
        <w:rPr>
          <w:rFonts w:ascii="Times New Roman" w:hAnsi="Times New Roman" w:cs="Times New Roman"/>
          <w:lang w:val="en-US"/>
        </w:rPr>
        <w:t xml:space="preserve"> </w:t>
      </w:r>
      <w:r w:rsidR="00812CE8">
        <w:rPr>
          <w:rFonts w:ascii="Times New Roman" w:hAnsi="Times New Roman" w:cs="Times New Roman"/>
          <w:lang w:val="en-US"/>
        </w:rPr>
        <w:t>The density of CD31 and smooth muscle actin were then assessed from 0 (none) to 3 (important) by an experienced pathologist blinded to treatment allocation.</w:t>
      </w:r>
      <w:r w:rsidRPr="724A2AEA">
        <w:rPr>
          <w:rFonts w:ascii="Times New Roman" w:hAnsi="Times New Roman" w:cs="Times New Roman"/>
          <w:lang w:val="en-US"/>
        </w:rPr>
        <w:t xml:space="preserve"> </w:t>
      </w:r>
    </w:p>
    <w:p w14:paraId="11C8FBAB" w14:textId="77777777" w:rsidR="0072438B" w:rsidRDefault="0072438B" w:rsidP="002D0FB2">
      <w:pPr>
        <w:spacing w:after="200" w:line="276" w:lineRule="auto"/>
        <w:jc w:val="both"/>
        <w:rPr>
          <w:rFonts w:ascii="Times New Roman" w:hAnsi="Times New Roman" w:cs="Times New Roman"/>
          <w:lang w:val="en-GB"/>
        </w:rPr>
      </w:pPr>
    </w:p>
    <w:p w14:paraId="23DDB700" w14:textId="77777777" w:rsidR="00915EB1" w:rsidRDefault="00915EB1" w:rsidP="002D0FB2">
      <w:pPr>
        <w:spacing w:after="200" w:line="276" w:lineRule="auto"/>
        <w:jc w:val="both"/>
        <w:rPr>
          <w:rFonts w:ascii="Times New Roman" w:hAnsi="Times New Roman" w:cs="Times New Roman"/>
          <w:lang w:val="en-GB"/>
        </w:rPr>
      </w:pPr>
    </w:p>
    <w:p w14:paraId="2393D27B" w14:textId="77777777" w:rsidR="00C40D05" w:rsidRDefault="00083E6F" w:rsidP="002D0FB2">
      <w:pPr>
        <w:spacing w:line="276" w:lineRule="auto"/>
        <w:jc w:val="both"/>
        <w:rPr>
          <w:rFonts w:ascii="Times New Roman" w:hAnsi="Times New Roman" w:cs="Times New Roman"/>
          <w:b/>
          <w:lang w:val="en-GB"/>
        </w:rPr>
      </w:pPr>
      <w:r>
        <w:rPr>
          <w:rFonts w:ascii="Times New Roman" w:hAnsi="Times New Roman" w:cs="Times New Roman"/>
          <w:b/>
          <w:lang w:val="en-GB"/>
        </w:rPr>
        <w:t>References</w:t>
      </w:r>
    </w:p>
    <w:p w14:paraId="2393D27C" w14:textId="77777777" w:rsidR="0010346F" w:rsidRPr="00014528" w:rsidRDefault="0010346F" w:rsidP="002D0FB2">
      <w:pPr>
        <w:pStyle w:val="Bibliographie"/>
        <w:jc w:val="both"/>
        <w:rPr>
          <w:rFonts w:ascii="Times New Roman" w:hAnsi="Times New Roman" w:cs="Times New Roman"/>
          <w:lang w:val="en-US"/>
        </w:rPr>
      </w:pPr>
      <w:r>
        <w:rPr>
          <w:b/>
          <w:lang w:val="en-GB"/>
        </w:rPr>
        <w:fldChar w:fldCharType="begin"/>
      </w:r>
      <w:r>
        <w:rPr>
          <w:b/>
          <w:lang w:val="en-GB"/>
        </w:rPr>
        <w:instrText xml:space="preserve"> ADDIN ZOTERO_BIBL {"uncited":[],"omitted":[],"custom":[]} CSL_BIBLIOGRAPHY </w:instrText>
      </w:r>
      <w:r>
        <w:rPr>
          <w:b/>
          <w:lang w:val="en-GB"/>
        </w:rPr>
        <w:fldChar w:fldCharType="separate"/>
      </w:r>
      <w:r w:rsidRPr="00014528">
        <w:rPr>
          <w:rFonts w:ascii="Times New Roman" w:hAnsi="Times New Roman" w:cs="Times New Roman"/>
          <w:lang w:val="en-US"/>
        </w:rPr>
        <w:t>1.</w:t>
      </w:r>
      <w:r w:rsidRPr="00014528">
        <w:rPr>
          <w:rFonts w:ascii="Times New Roman" w:hAnsi="Times New Roman" w:cs="Times New Roman"/>
          <w:lang w:val="en-US"/>
        </w:rPr>
        <w:tab/>
        <w:t xml:space="preserve">Zühlke HV, Lorenz EM, Straub EM, Savvas V. [Pathophysiology and classification of adhesions]. Langenbecks Arch Chir Suppl II Verh Dtsch Ges Chir. 1990;1009‑16. </w:t>
      </w:r>
    </w:p>
    <w:p w14:paraId="2393D27D" w14:textId="77777777" w:rsidR="0010346F" w:rsidRPr="0010346F" w:rsidRDefault="0010346F" w:rsidP="002D0FB2">
      <w:pPr>
        <w:pStyle w:val="Bibliographie"/>
        <w:jc w:val="both"/>
        <w:rPr>
          <w:rFonts w:ascii="Times New Roman" w:hAnsi="Times New Roman" w:cs="Times New Roman"/>
        </w:rPr>
      </w:pPr>
      <w:r w:rsidRPr="00014528">
        <w:rPr>
          <w:rFonts w:ascii="Times New Roman" w:hAnsi="Times New Roman" w:cs="Times New Roman"/>
          <w:lang w:val="en-US"/>
        </w:rPr>
        <w:t>2.</w:t>
      </w:r>
      <w:r w:rsidRPr="00014528">
        <w:rPr>
          <w:rFonts w:ascii="Times New Roman" w:hAnsi="Times New Roman" w:cs="Times New Roman"/>
          <w:lang w:val="en-US"/>
        </w:rPr>
        <w:tab/>
        <w:t xml:space="preserve">Bültmann O, Philipp C, Ladeburg M, Berlien HP. Creation of a caecostoma in mice as a model of an enterocutaneous fistula. </w:t>
      </w:r>
      <w:r w:rsidRPr="0010346F">
        <w:rPr>
          <w:rFonts w:ascii="Times New Roman" w:hAnsi="Times New Roman" w:cs="Times New Roman"/>
        </w:rPr>
        <w:t xml:space="preserve">Res Exp Med (Berl). déc 1998;198(4):215‑28. </w:t>
      </w:r>
    </w:p>
    <w:p w14:paraId="2393D27E" w14:textId="77777777" w:rsidR="0010346F" w:rsidRPr="00014528" w:rsidRDefault="0010346F" w:rsidP="002D0FB2">
      <w:pPr>
        <w:pStyle w:val="Bibliographie"/>
        <w:jc w:val="both"/>
        <w:rPr>
          <w:rFonts w:ascii="Times New Roman" w:hAnsi="Times New Roman" w:cs="Times New Roman"/>
          <w:lang w:val="en-US"/>
        </w:rPr>
      </w:pPr>
      <w:r w:rsidRPr="0010346F">
        <w:rPr>
          <w:rFonts w:ascii="Times New Roman" w:hAnsi="Times New Roman" w:cs="Times New Roman"/>
        </w:rPr>
        <w:t>3.</w:t>
      </w:r>
      <w:r w:rsidRPr="0010346F">
        <w:rPr>
          <w:rFonts w:ascii="Times New Roman" w:hAnsi="Times New Roman" w:cs="Times New Roman"/>
        </w:rPr>
        <w:tab/>
        <w:t xml:space="preserve">Rahmi G, Pidial L, Silva AKA, Blondiaux E, Meresse B, Gazeau F, et al. </w:t>
      </w:r>
      <w:r w:rsidRPr="00014528">
        <w:rPr>
          <w:rFonts w:ascii="Times New Roman" w:hAnsi="Times New Roman" w:cs="Times New Roman"/>
          <w:lang w:val="en-US"/>
        </w:rPr>
        <w:t xml:space="preserve">Designing 3D Mesenchymal Stem Cell Sheets Merging Magnetic and Fluorescent Features: When Cell Sheet Technology Meets Image-Guided Cell Therapy. Theranostics. 2016;6(5):739‑51. </w:t>
      </w:r>
    </w:p>
    <w:p w14:paraId="2393D27F"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4.</w:t>
      </w:r>
      <w:r w:rsidRPr="00014528">
        <w:rPr>
          <w:rFonts w:ascii="Times New Roman" w:hAnsi="Times New Roman" w:cs="Times New Roman"/>
          <w:lang w:val="en-US"/>
        </w:rPr>
        <w:tab/>
        <w:t xml:space="preserve">Ryska O, Serclova Z, Mestak O, Matouskova E, Vesely P, Mrazova I. Local application of adipose-derived mesenchymal stem cells supports the healing of fistula: prospective randomised study on rat model of fistulising Crohn’s disease. Scandinavian Journal of Gastroenterology. 4 mai 2017;52(5):543‑50. </w:t>
      </w:r>
    </w:p>
    <w:p w14:paraId="2393D280"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5.</w:t>
      </w:r>
      <w:r w:rsidRPr="00014528">
        <w:rPr>
          <w:rFonts w:ascii="Times New Roman" w:hAnsi="Times New Roman" w:cs="Times New Roman"/>
          <w:lang w:val="en-US"/>
        </w:rPr>
        <w:tab/>
        <w:t xml:space="preserve">Volpe BB, Duarte A da SS, Ribeiro TB, Stocchero I, Kharmandayan P, Saad STO, et al. Mesenchymal stromal cells from adipose tissue attached to suture material enhance the closure of enterocutaneous fistulas in a rat model. Cytotherapy. 1 déc 2014;16(12):1709‑19. </w:t>
      </w:r>
    </w:p>
    <w:p w14:paraId="2393D281"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lastRenderedPageBreak/>
        <w:t>6.</w:t>
      </w:r>
      <w:r w:rsidRPr="00014528">
        <w:rPr>
          <w:rFonts w:ascii="Times New Roman" w:hAnsi="Times New Roman" w:cs="Times New Roman"/>
          <w:lang w:val="en-US"/>
        </w:rPr>
        <w:tab/>
        <w:t xml:space="preserve">Mok KT. Hepatobiliary complications in healthy, intra-abdominally infected, and high-output fistula rats receiving total parenteral nutrition. JPEN J Parenter Enteral Nutr. oct 1993;17(5):449‑53. </w:t>
      </w:r>
    </w:p>
    <w:p w14:paraId="2393D282"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7.</w:t>
      </w:r>
      <w:r w:rsidRPr="00014528">
        <w:rPr>
          <w:rFonts w:ascii="Times New Roman" w:hAnsi="Times New Roman" w:cs="Times New Roman"/>
          <w:lang w:val="en-US"/>
        </w:rPr>
        <w:tab/>
        <w:t xml:space="preserve">Yurtçu M, Arbag H, Cağlayan O, Abasiyanik A, Oz M. The effect of cyanoacrylate in esophagocutaneous leakages occurring after esophageal anastomosis. Int J Pediatr Otorhinolaryngol. juill 2009;73(7):1053‑5. </w:t>
      </w:r>
    </w:p>
    <w:p w14:paraId="2393D283"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8.</w:t>
      </w:r>
      <w:r w:rsidRPr="00014528">
        <w:rPr>
          <w:rFonts w:ascii="Times New Roman" w:hAnsi="Times New Roman" w:cs="Times New Roman"/>
          <w:lang w:val="en-US"/>
        </w:rPr>
        <w:tab/>
        <w:t xml:space="preserve">Rahmi G, Perretta S, Pidial L, Vanbiervliet G, Halvax P, Legner A, et al. A Newly Designed Enterocutaneous Esophageal Fistula Model in the Pig. Surg Innov. juin 2016;23(3):221‑8. </w:t>
      </w:r>
    </w:p>
    <w:p w14:paraId="2393D284"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9.</w:t>
      </w:r>
      <w:r w:rsidRPr="00014528">
        <w:rPr>
          <w:rFonts w:ascii="Times New Roman" w:hAnsi="Times New Roman" w:cs="Times New Roman"/>
          <w:lang w:val="en-US"/>
        </w:rPr>
        <w:tab/>
        <w:t xml:space="preserve">Banerjee AK, Chadwick SJ, Peters TJ. Adaptation of jejunal to colonic mucosal autografts in experimentally induced short bowel syndrome. Dig Dis Sci. mars 1990;35(3):340‑8. </w:t>
      </w:r>
    </w:p>
    <w:p w14:paraId="2393D285"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10.</w:t>
      </w:r>
      <w:r w:rsidRPr="00014528">
        <w:rPr>
          <w:rFonts w:ascii="Times New Roman" w:hAnsi="Times New Roman" w:cs="Times New Roman"/>
          <w:lang w:val="en-US"/>
        </w:rPr>
        <w:tab/>
        <w:t xml:space="preserve">Li Y, Bao Y, Jiang T, Tan L, Gao Y, Li J. Effect of the combination of fibrin glue and growth hormone on incomplete intestinal anastomoses in a rat model of intra-abdominal sepsis. J Surg Res. mars 2006;131(1):111‑7. </w:t>
      </w:r>
    </w:p>
    <w:p w14:paraId="2393D286"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11.</w:t>
      </w:r>
      <w:r w:rsidRPr="00014528">
        <w:rPr>
          <w:rFonts w:ascii="Times New Roman" w:hAnsi="Times New Roman" w:cs="Times New Roman"/>
          <w:lang w:val="en-US"/>
        </w:rPr>
        <w:tab/>
        <w:t xml:space="preserve">Gwozdziewicz Ł, Khan MAA, Adamczyk Ł, Hać S, Rzepko R. Fibrin glue with gentamicin as an alternative to conventional surgery in experimental treatment of duodenal fistula in rats. Surg Innov. sept 2012;19(3):275‑80. </w:t>
      </w:r>
    </w:p>
    <w:p w14:paraId="2393D287"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12.</w:t>
      </w:r>
      <w:r w:rsidRPr="00014528">
        <w:rPr>
          <w:rFonts w:ascii="Times New Roman" w:hAnsi="Times New Roman" w:cs="Times New Roman"/>
          <w:lang w:val="en-US"/>
        </w:rPr>
        <w:tab/>
        <w:t xml:space="preserve">Skorjanec S, Dolovski Z, Kocman I, Brcic L, Blagaic Boban A, Batelja L, et al. Therapy for unhealed gastrocutaneous fistulas in rats as a model for analogous healing of persistent skin wounds and persistent gastric ulcers: stable gastric pentadecapeptide BPC 157, atropine, ranitidine, and omeprazole. Dig Dis Sci. janv 2009;54(1):46‑56. </w:t>
      </w:r>
    </w:p>
    <w:p w14:paraId="2393D288"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13.</w:t>
      </w:r>
      <w:r w:rsidRPr="00014528">
        <w:rPr>
          <w:rFonts w:ascii="Times New Roman" w:hAnsi="Times New Roman" w:cs="Times New Roman"/>
          <w:lang w:val="en-US"/>
        </w:rPr>
        <w:tab/>
        <w:t xml:space="preserve">Aldaqal SM, Khayat MF, Bokhary RY, Wakka MM, Merdad AA, Merdad LA. Management of postoperative gastrointestinal leakage with autologous stromal vascular fraction. Int Surg. avr 2015;100(4):748‑54. </w:t>
      </w:r>
    </w:p>
    <w:p w14:paraId="2393D289"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14.</w:t>
      </w:r>
      <w:r w:rsidRPr="00014528">
        <w:rPr>
          <w:rFonts w:ascii="Times New Roman" w:hAnsi="Times New Roman" w:cs="Times New Roman"/>
          <w:lang w:val="en-US"/>
        </w:rPr>
        <w:tab/>
        <w:t xml:space="preserve">Moszkowicz D, Arienzo R, Khettab I, Rahmi G, Zinzindohoué F, Berger A, et al. Sleeve Gastrectomy Severe Complications: Is It Always a Reasonable Surgical Option? OBES SURG. mai 2013;23(5):676‑86. </w:t>
      </w:r>
    </w:p>
    <w:p w14:paraId="2393D28A"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15.</w:t>
      </w:r>
      <w:r w:rsidRPr="00014528">
        <w:rPr>
          <w:rFonts w:ascii="Times New Roman" w:hAnsi="Times New Roman" w:cs="Times New Roman"/>
          <w:lang w:val="en-US"/>
        </w:rPr>
        <w:tab/>
        <w:t xml:space="preserve">Aurora AR, Khaitan L, Saber AA. Sleeve gastrectomy and the risk of leak: a systematic analysis of 4,888 patients. Surg Endosc. juin 2012;26(6):1509‑15. </w:t>
      </w:r>
    </w:p>
    <w:p w14:paraId="2393D28B"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16.</w:t>
      </w:r>
      <w:r w:rsidRPr="00014528">
        <w:rPr>
          <w:rFonts w:ascii="Times New Roman" w:hAnsi="Times New Roman" w:cs="Times New Roman"/>
          <w:lang w:val="en-US"/>
        </w:rPr>
        <w:tab/>
        <w:t xml:space="preserve">Marie L, Masson C, Gaborit B, Berdah SV, Bège T. An Experimental Study of Intraluminal Hyperpressure Reproducing a Gastric Leak Following a Sleeve Gastrectomy. Obes Surg. sept 2019;29(9):2773‑80. </w:t>
      </w:r>
    </w:p>
    <w:p w14:paraId="2393D28C" w14:textId="77777777" w:rsidR="0010346F" w:rsidRPr="0010346F" w:rsidRDefault="0010346F" w:rsidP="002D0FB2">
      <w:pPr>
        <w:pStyle w:val="Bibliographie"/>
        <w:jc w:val="both"/>
        <w:rPr>
          <w:rFonts w:ascii="Times New Roman" w:hAnsi="Times New Roman" w:cs="Times New Roman"/>
        </w:rPr>
      </w:pPr>
      <w:r w:rsidRPr="00014528">
        <w:rPr>
          <w:rFonts w:ascii="Times New Roman" w:hAnsi="Times New Roman" w:cs="Times New Roman"/>
          <w:lang w:val="en-US"/>
        </w:rPr>
        <w:t>17.</w:t>
      </w:r>
      <w:r w:rsidRPr="00014528">
        <w:rPr>
          <w:rFonts w:ascii="Times New Roman" w:hAnsi="Times New Roman" w:cs="Times New Roman"/>
          <w:lang w:val="en-US"/>
        </w:rPr>
        <w:tab/>
        <w:t xml:space="preserve">Catchlove W, Liao S, Lim G, Brown W, Burton P. Mechanism of Staple Line Leak After Sleeve Gastrectomy via Isobaric Pressurisation Concentrating Stress Forces at the Proximal Staple Line. </w:t>
      </w:r>
      <w:r w:rsidRPr="0010346F">
        <w:rPr>
          <w:rFonts w:ascii="Times New Roman" w:hAnsi="Times New Roman" w:cs="Times New Roman"/>
        </w:rPr>
        <w:t xml:space="preserve">OBES SURG. août 2022;32(8):2525‑36. </w:t>
      </w:r>
    </w:p>
    <w:p w14:paraId="2393D28D" w14:textId="77777777" w:rsidR="0010346F" w:rsidRPr="0010346F" w:rsidRDefault="0010346F" w:rsidP="002D0FB2">
      <w:pPr>
        <w:pStyle w:val="Bibliographie"/>
        <w:jc w:val="both"/>
        <w:rPr>
          <w:rFonts w:ascii="Times New Roman" w:hAnsi="Times New Roman" w:cs="Times New Roman"/>
        </w:rPr>
      </w:pPr>
      <w:r w:rsidRPr="0010346F">
        <w:rPr>
          <w:rFonts w:ascii="Times New Roman" w:hAnsi="Times New Roman" w:cs="Times New Roman"/>
        </w:rPr>
        <w:t>18.</w:t>
      </w:r>
      <w:r w:rsidRPr="0010346F">
        <w:rPr>
          <w:rFonts w:ascii="Times New Roman" w:hAnsi="Times New Roman" w:cs="Times New Roman"/>
        </w:rPr>
        <w:tab/>
        <w:t xml:space="preserve">Basso N, Casella G, Rizzello M, Abbatini F, Soricelli E, Alessandri G, et al. </w:t>
      </w:r>
      <w:r w:rsidRPr="00014528">
        <w:rPr>
          <w:rFonts w:ascii="Times New Roman" w:hAnsi="Times New Roman" w:cs="Times New Roman"/>
          <w:lang w:val="en-US"/>
        </w:rPr>
        <w:t xml:space="preserve">Laparoscopic sleeve gastrectomy as first stage or definitive intent in 300 consecutive cases. </w:t>
      </w:r>
      <w:r w:rsidRPr="0010346F">
        <w:rPr>
          <w:rFonts w:ascii="Times New Roman" w:hAnsi="Times New Roman" w:cs="Times New Roman"/>
        </w:rPr>
        <w:t xml:space="preserve">Surg Endosc. févr 2011;25(2):444‑9. </w:t>
      </w:r>
    </w:p>
    <w:p w14:paraId="2393D28E" w14:textId="77777777" w:rsidR="0010346F" w:rsidRPr="00014528" w:rsidRDefault="0010346F" w:rsidP="002D0FB2">
      <w:pPr>
        <w:pStyle w:val="Bibliographie"/>
        <w:jc w:val="both"/>
        <w:rPr>
          <w:rFonts w:ascii="Times New Roman" w:hAnsi="Times New Roman" w:cs="Times New Roman"/>
          <w:lang w:val="en-US"/>
        </w:rPr>
      </w:pPr>
      <w:r w:rsidRPr="0010346F">
        <w:rPr>
          <w:rFonts w:ascii="Times New Roman" w:hAnsi="Times New Roman" w:cs="Times New Roman"/>
        </w:rPr>
        <w:t>19.</w:t>
      </w:r>
      <w:r w:rsidRPr="0010346F">
        <w:rPr>
          <w:rFonts w:ascii="Times New Roman" w:hAnsi="Times New Roman" w:cs="Times New Roman"/>
        </w:rPr>
        <w:tab/>
        <w:t xml:space="preserve">Tranchart H, Llouquet F, Derienne J, Gaillard M, Rafek G, Grassin A, et al. </w:t>
      </w:r>
      <w:r w:rsidRPr="00014528">
        <w:rPr>
          <w:rFonts w:ascii="Times New Roman" w:hAnsi="Times New Roman" w:cs="Times New Roman"/>
          <w:lang w:val="en-US"/>
        </w:rPr>
        <w:t xml:space="preserve">Computed tomography assessment of postoperative gastric vascular supply and staple-line leak </w:t>
      </w:r>
      <w:r w:rsidRPr="00014528">
        <w:rPr>
          <w:rFonts w:ascii="Times New Roman" w:hAnsi="Times New Roman" w:cs="Times New Roman"/>
          <w:lang w:val="en-US"/>
        </w:rPr>
        <w:lastRenderedPageBreak/>
        <w:t xml:space="preserve">development after sleeve gastrectomy. Surgery for Obesity and Related Diseases. juin 2022;18(6):812‑9. </w:t>
      </w:r>
    </w:p>
    <w:p w14:paraId="2393D28F" w14:textId="77777777" w:rsidR="0010346F" w:rsidRPr="00014528" w:rsidRDefault="0010346F" w:rsidP="002D0FB2">
      <w:pPr>
        <w:pStyle w:val="Bibliographie"/>
        <w:jc w:val="both"/>
        <w:rPr>
          <w:rFonts w:ascii="Times New Roman" w:hAnsi="Times New Roman" w:cs="Times New Roman"/>
          <w:lang w:val="en-US"/>
        </w:rPr>
      </w:pPr>
      <w:r w:rsidRPr="00014528">
        <w:rPr>
          <w:rFonts w:ascii="Times New Roman" w:hAnsi="Times New Roman" w:cs="Times New Roman"/>
          <w:lang w:val="en-US"/>
        </w:rPr>
        <w:t>20.</w:t>
      </w:r>
      <w:r w:rsidRPr="00014528">
        <w:rPr>
          <w:rFonts w:ascii="Times New Roman" w:hAnsi="Times New Roman" w:cs="Times New Roman"/>
          <w:lang w:val="en-US"/>
        </w:rPr>
        <w:tab/>
        <w:t xml:space="preserve">Saber AA, Azar N, Dekal M, Abdelbaki TN. Computed tomographic scan mapping of gastric wall perfusion and clinical implications. The American Journal of Surgery. juin 2015;209(6):999‑1006. </w:t>
      </w:r>
    </w:p>
    <w:p w14:paraId="2393D290" w14:textId="77777777" w:rsidR="0010346F" w:rsidRPr="0010346F" w:rsidRDefault="0010346F" w:rsidP="002D0FB2">
      <w:pPr>
        <w:pStyle w:val="Bibliographie"/>
        <w:jc w:val="both"/>
        <w:rPr>
          <w:rFonts w:ascii="Times New Roman" w:hAnsi="Times New Roman" w:cs="Times New Roman"/>
        </w:rPr>
      </w:pPr>
      <w:r w:rsidRPr="00014528">
        <w:rPr>
          <w:rFonts w:ascii="Times New Roman" w:hAnsi="Times New Roman" w:cs="Times New Roman"/>
          <w:lang w:val="en-US"/>
        </w:rPr>
        <w:t>21.</w:t>
      </w:r>
      <w:r w:rsidRPr="00014528">
        <w:rPr>
          <w:rFonts w:ascii="Times New Roman" w:hAnsi="Times New Roman" w:cs="Times New Roman"/>
          <w:lang w:val="en-US"/>
        </w:rPr>
        <w:tab/>
        <w:t xml:space="preserve">Berger A, Araújo-Filho I, Piffoux M, Nicolás-Boluda A, Grangier A, Boucenna I, et al. Local administration of stem cell-derived extracellular vesicles in a thermoresponsive hydrogel promotes a pro-healing effect in a rat model of colo-cutaneous post-surgical fistula. </w:t>
      </w:r>
      <w:r w:rsidRPr="0010346F">
        <w:rPr>
          <w:rFonts w:ascii="Times New Roman" w:hAnsi="Times New Roman" w:cs="Times New Roman"/>
        </w:rPr>
        <w:t xml:space="preserve">Nanoscale. 7 janv 2021;13(1):218‑32. </w:t>
      </w:r>
    </w:p>
    <w:p w14:paraId="2393D291" w14:textId="7155BCE9" w:rsidR="00083E6F" w:rsidRPr="00083E6F" w:rsidRDefault="0010346F" w:rsidP="002D0FB2">
      <w:pPr>
        <w:spacing w:line="276" w:lineRule="auto"/>
        <w:jc w:val="both"/>
        <w:rPr>
          <w:rFonts w:ascii="Times New Roman" w:hAnsi="Times New Roman" w:cs="Times New Roman"/>
          <w:b/>
          <w:lang w:val="en-GB"/>
        </w:rPr>
      </w:pPr>
      <w:r>
        <w:rPr>
          <w:rFonts w:ascii="Times New Roman" w:hAnsi="Times New Roman" w:cs="Times New Roman"/>
          <w:b/>
          <w:lang w:val="en-GB"/>
        </w:rPr>
        <w:fldChar w:fldCharType="end"/>
      </w:r>
    </w:p>
    <w:p w14:paraId="2393D292" w14:textId="77777777" w:rsidR="00C40D05" w:rsidRDefault="00C40D05" w:rsidP="002D0FB2">
      <w:pPr>
        <w:spacing w:line="276" w:lineRule="auto"/>
        <w:jc w:val="both"/>
        <w:rPr>
          <w:rFonts w:ascii="Times New Roman" w:hAnsi="Times New Roman" w:cs="Times New Roman"/>
          <w:lang w:val="en-GB"/>
        </w:rPr>
      </w:pPr>
    </w:p>
    <w:p w14:paraId="2393D293" w14:textId="77777777" w:rsidR="00C40D05" w:rsidRDefault="00C40D05" w:rsidP="002D0FB2">
      <w:pPr>
        <w:spacing w:line="276" w:lineRule="auto"/>
        <w:jc w:val="both"/>
        <w:rPr>
          <w:rFonts w:ascii="Times New Roman" w:hAnsi="Times New Roman" w:cs="Times New Roman"/>
          <w:lang w:val="en-GB"/>
        </w:rPr>
      </w:pPr>
    </w:p>
    <w:p w14:paraId="2393D294" w14:textId="77777777" w:rsidR="00FA3678" w:rsidRDefault="00FA3678" w:rsidP="002D0FB2">
      <w:pPr>
        <w:spacing w:after="200" w:line="276" w:lineRule="auto"/>
        <w:jc w:val="both"/>
        <w:rPr>
          <w:rFonts w:ascii="Times New Roman" w:hAnsi="Times New Roman" w:cs="Times New Roman"/>
          <w:lang w:val="en-GB"/>
        </w:rPr>
      </w:pPr>
    </w:p>
    <w:p w14:paraId="1BFCDDE6" w14:textId="77777777" w:rsidR="00872D48" w:rsidRDefault="00872D48" w:rsidP="002D0FB2">
      <w:pPr>
        <w:spacing w:after="200" w:line="276" w:lineRule="auto"/>
        <w:jc w:val="both"/>
        <w:rPr>
          <w:rFonts w:ascii="Times New Roman" w:hAnsi="Times New Roman" w:cs="Times New Roman"/>
          <w:lang w:val="en-GB"/>
        </w:rPr>
      </w:pPr>
    </w:p>
    <w:p w14:paraId="4A6CC5C2" w14:textId="77777777" w:rsidR="00872D48" w:rsidRDefault="00872D48" w:rsidP="002D0FB2">
      <w:pPr>
        <w:spacing w:after="200" w:line="276" w:lineRule="auto"/>
        <w:jc w:val="both"/>
        <w:rPr>
          <w:rFonts w:ascii="Times New Roman" w:hAnsi="Times New Roman" w:cs="Times New Roman"/>
          <w:lang w:val="en-GB"/>
        </w:rPr>
      </w:pPr>
    </w:p>
    <w:p w14:paraId="4BEFADC9" w14:textId="77777777" w:rsidR="00872D48" w:rsidRPr="00F0332A" w:rsidRDefault="00872D48" w:rsidP="00872D48">
      <w:pPr>
        <w:rPr>
          <w:rFonts w:ascii="Times New Roman" w:hAnsi="Times New Roman" w:cs="Times New Roman"/>
          <w:b/>
          <w:sz w:val="32"/>
        </w:rPr>
      </w:pPr>
      <w:proofErr w:type="spellStart"/>
      <w:r>
        <w:rPr>
          <w:rFonts w:ascii="Times New Roman" w:hAnsi="Times New Roman" w:cs="Times New Roman"/>
          <w:b/>
          <w:sz w:val="32"/>
        </w:rPr>
        <w:t>Supplementary</w:t>
      </w:r>
      <w:proofErr w:type="spellEnd"/>
      <w:r>
        <w:rPr>
          <w:rFonts w:ascii="Times New Roman" w:hAnsi="Times New Roman" w:cs="Times New Roman"/>
          <w:b/>
          <w:sz w:val="32"/>
        </w:rPr>
        <w:t xml:space="preserve"> Tables</w:t>
      </w:r>
    </w:p>
    <w:p w14:paraId="44EAC35C" w14:textId="77777777" w:rsidR="00872D48" w:rsidRDefault="00872D48" w:rsidP="00872D48">
      <w:pPr>
        <w:rPr>
          <w:rFonts w:ascii="Times New Roman" w:hAnsi="Times New Roman" w:cs="Times New Roman"/>
          <w:b/>
          <w:bCs/>
          <w:lang w:val="en-US"/>
        </w:rPr>
      </w:pPr>
    </w:p>
    <w:tbl>
      <w:tblPr>
        <w:tblStyle w:val="Grilledutableau"/>
        <w:tblpPr w:leftFromText="141" w:rightFromText="141" w:vertAnchor="page" w:horzAnchor="margin" w:tblpY="8965"/>
        <w:tblW w:w="0" w:type="auto"/>
        <w:tblCellMar>
          <w:top w:w="85" w:type="dxa"/>
          <w:bottom w:w="85" w:type="dxa"/>
        </w:tblCellMar>
        <w:tblLook w:val="04A0" w:firstRow="1" w:lastRow="0" w:firstColumn="1" w:lastColumn="0" w:noHBand="0" w:noVBand="1"/>
      </w:tblPr>
      <w:tblGrid>
        <w:gridCol w:w="1385"/>
        <w:gridCol w:w="1161"/>
        <w:gridCol w:w="1376"/>
        <w:gridCol w:w="1168"/>
        <w:gridCol w:w="1383"/>
        <w:gridCol w:w="1425"/>
        <w:gridCol w:w="1168"/>
      </w:tblGrid>
      <w:tr w:rsidR="00872D48" w:rsidRPr="005822C9" w14:paraId="1E84BBF1" w14:textId="77777777" w:rsidTr="00872D48">
        <w:tc>
          <w:tcPr>
            <w:tcW w:w="5090" w:type="dxa"/>
            <w:gridSpan w:val="4"/>
            <w:tcBorders>
              <w:left w:val="nil"/>
              <w:right w:val="single" w:sz="4" w:space="0" w:color="auto"/>
            </w:tcBorders>
            <w:shd w:val="clear" w:color="auto" w:fill="F2F2F2" w:themeFill="background1" w:themeFillShade="F2"/>
          </w:tcPr>
          <w:p w14:paraId="5C9D3D9A" w14:textId="77777777" w:rsidR="00872D48" w:rsidRPr="00A40D78" w:rsidRDefault="00872D48" w:rsidP="00872D48">
            <w:pPr>
              <w:jc w:val="center"/>
              <w:rPr>
                <w:rFonts w:ascii="Times New Roman" w:hAnsi="Times New Roman" w:cs="Times New Roman"/>
                <w:b/>
                <w:sz w:val="18"/>
                <w:szCs w:val="18"/>
                <w:lang w:val="en-US"/>
              </w:rPr>
            </w:pPr>
            <w:r w:rsidRPr="00A40D78">
              <w:rPr>
                <w:rFonts w:ascii="Times New Roman" w:hAnsi="Times New Roman" w:cs="Times New Roman"/>
                <w:b/>
                <w:sz w:val="18"/>
                <w:szCs w:val="18"/>
                <w:lang w:val="en-US"/>
              </w:rPr>
              <w:t>Peripheral skin inflammation score</w:t>
            </w:r>
          </w:p>
        </w:tc>
        <w:tc>
          <w:tcPr>
            <w:tcW w:w="3976" w:type="dxa"/>
            <w:gridSpan w:val="3"/>
            <w:vMerge w:val="restart"/>
            <w:tcBorders>
              <w:left w:val="single" w:sz="4" w:space="0" w:color="auto"/>
              <w:right w:val="nil"/>
            </w:tcBorders>
            <w:shd w:val="clear" w:color="auto" w:fill="F2F2F2" w:themeFill="background1" w:themeFillShade="F2"/>
            <w:vAlign w:val="center"/>
          </w:tcPr>
          <w:p w14:paraId="175121A7" w14:textId="77777777" w:rsidR="00872D48" w:rsidRPr="005822C9" w:rsidRDefault="00872D48" w:rsidP="00872D48">
            <w:pPr>
              <w:jc w:val="center"/>
              <w:rPr>
                <w:rFonts w:ascii="Times New Roman" w:hAnsi="Times New Roman" w:cs="Times New Roman"/>
                <w:b/>
                <w:sz w:val="18"/>
                <w:szCs w:val="18"/>
              </w:rPr>
            </w:pPr>
            <w:proofErr w:type="spellStart"/>
            <w:r w:rsidRPr="005822C9">
              <w:rPr>
                <w:rFonts w:ascii="Times New Roman" w:hAnsi="Times New Roman" w:cs="Times New Roman"/>
                <w:b/>
                <w:sz w:val="18"/>
                <w:szCs w:val="18"/>
              </w:rPr>
              <w:t>Endoscopic</w:t>
            </w:r>
            <w:proofErr w:type="spellEnd"/>
            <w:r w:rsidRPr="005822C9">
              <w:rPr>
                <w:rFonts w:ascii="Times New Roman" w:hAnsi="Times New Roman" w:cs="Times New Roman"/>
                <w:b/>
                <w:sz w:val="18"/>
                <w:szCs w:val="18"/>
              </w:rPr>
              <w:t xml:space="preserve"> inflammation score</w:t>
            </w:r>
          </w:p>
        </w:tc>
      </w:tr>
      <w:tr w:rsidR="00872D48" w:rsidRPr="005822C9" w14:paraId="630004BE" w14:textId="77777777" w:rsidTr="00872D48">
        <w:tc>
          <w:tcPr>
            <w:tcW w:w="1385" w:type="dxa"/>
            <w:tcBorders>
              <w:left w:val="nil"/>
              <w:right w:val="nil"/>
            </w:tcBorders>
            <w:shd w:val="clear" w:color="auto" w:fill="FFFFFF" w:themeFill="background1"/>
            <w:vAlign w:val="center"/>
          </w:tcPr>
          <w:p w14:paraId="652ACFD6" w14:textId="77777777" w:rsidR="00872D48" w:rsidRPr="005822C9" w:rsidRDefault="00872D48" w:rsidP="00872D48">
            <w:pPr>
              <w:jc w:val="center"/>
              <w:rPr>
                <w:rFonts w:ascii="Times New Roman" w:hAnsi="Times New Roman" w:cs="Times New Roman"/>
                <w:b/>
                <w:sz w:val="18"/>
                <w:szCs w:val="18"/>
              </w:rPr>
            </w:pPr>
          </w:p>
        </w:tc>
        <w:tc>
          <w:tcPr>
            <w:tcW w:w="1161" w:type="dxa"/>
            <w:tcBorders>
              <w:left w:val="nil"/>
              <w:right w:val="nil"/>
            </w:tcBorders>
          </w:tcPr>
          <w:p w14:paraId="367422EE" w14:textId="77777777" w:rsidR="00872D48" w:rsidRPr="00535C0E" w:rsidRDefault="00872D48" w:rsidP="00872D48">
            <w:pPr>
              <w:jc w:val="center"/>
              <w:rPr>
                <w:rFonts w:ascii="Times New Roman" w:hAnsi="Times New Roman" w:cs="Times New Roman"/>
                <w:b/>
                <w:bCs/>
                <w:sz w:val="18"/>
                <w:szCs w:val="18"/>
              </w:rPr>
            </w:pPr>
            <w:r w:rsidRPr="00535C0E">
              <w:rPr>
                <w:rFonts w:ascii="Times New Roman" w:hAnsi="Times New Roman" w:cs="Times New Roman"/>
                <w:b/>
                <w:bCs/>
                <w:sz w:val="18"/>
                <w:szCs w:val="18"/>
              </w:rPr>
              <w:t>Rat model</w:t>
            </w:r>
          </w:p>
        </w:tc>
        <w:tc>
          <w:tcPr>
            <w:tcW w:w="1376" w:type="dxa"/>
            <w:tcBorders>
              <w:left w:val="nil"/>
              <w:right w:val="nil"/>
            </w:tcBorders>
            <w:vAlign w:val="center"/>
          </w:tcPr>
          <w:p w14:paraId="206CC44D" w14:textId="77777777" w:rsidR="00872D48" w:rsidRPr="00535C0E" w:rsidRDefault="00872D48" w:rsidP="00872D48">
            <w:pPr>
              <w:jc w:val="center"/>
              <w:rPr>
                <w:rFonts w:ascii="Times New Roman" w:hAnsi="Times New Roman" w:cs="Times New Roman"/>
                <w:b/>
                <w:bCs/>
                <w:sz w:val="18"/>
                <w:szCs w:val="18"/>
              </w:rPr>
            </w:pPr>
            <w:proofErr w:type="spellStart"/>
            <w:r w:rsidRPr="00535C0E">
              <w:rPr>
                <w:rFonts w:ascii="Times New Roman" w:hAnsi="Times New Roman" w:cs="Times New Roman"/>
                <w:b/>
                <w:bCs/>
                <w:sz w:val="18"/>
                <w:szCs w:val="18"/>
              </w:rPr>
              <w:t>Pig</w:t>
            </w:r>
            <w:proofErr w:type="spellEnd"/>
            <w:r w:rsidRPr="00535C0E">
              <w:rPr>
                <w:rFonts w:ascii="Times New Roman" w:hAnsi="Times New Roman" w:cs="Times New Roman"/>
                <w:b/>
                <w:bCs/>
                <w:sz w:val="18"/>
                <w:szCs w:val="18"/>
              </w:rPr>
              <w:t xml:space="preserve"> model</w:t>
            </w:r>
          </w:p>
        </w:tc>
        <w:tc>
          <w:tcPr>
            <w:tcW w:w="1168" w:type="dxa"/>
            <w:tcBorders>
              <w:left w:val="nil"/>
              <w:right w:val="single" w:sz="4" w:space="0" w:color="auto"/>
            </w:tcBorders>
            <w:vAlign w:val="center"/>
          </w:tcPr>
          <w:p w14:paraId="07B38E86" w14:textId="77777777" w:rsidR="00872D48" w:rsidRPr="00535C0E" w:rsidRDefault="00872D48" w:rsidP="00872D48">
            <w:pPr>
              <w:jc w:val="center"/>
              <w:rPr>
                <w:rFonts w:ascii="Times New Roman" w:hAnsi="Times New Roman" w:cs="Times New Roman"/>
                <w:b/>
                <w:bCs/>
                <w:sz w:val="18"/>
                <w:szCs w:val="18"/>
              </w:rPr>
            </w:pPr>
          </w:p>
        </w:tc>
        <w:tc>
          <w:tcPr>
            <w:tcW w:w="3976" w:type="dxa"/>
            <w:gridSpan w:val="3"/>
            <w:vMerge/>
            <w:tcBorders>
              <w:left w:val="single" w:sz="4" w:space="0" w:color="auto"/>
              <w:bottom w:val="single" w:sz="4" w:space="0" w:color="auto"/>
              <w:right w:val="nil"/>
            </w:tcBorders>
            <w:shd w:val="clear" w:color="auto" w:fill="FFFFFF" w:themeFill="background1"/>
            <w:vAlign w:val="center"/>
          </w:tcPr>
          <w:p w14:paraId="0E6F6846" w14:textId="77777777" w:rsidR="00872D48" w:rsidRPr="005822C9" w:rsidRDefault="00872D48" w:rsidP="00872D48">
            <w:pPr>
              <w:jc w:val="center"/>
              <w:rPr>
                <w:rFonts w:ascii="Times New Roman" w:hAnsi="Times New Roman" w:cs="Times New Roman"/>
                <w:sz w:val="18"/>
                <w:szCs w:val="18"/>
              </w:rPr>
            </w:pPr>
          </w:p>
        </w:tc>
      </w:tr>
      <w:tr w:rsidR="00872D48" w:rsidRPr="005822C9" w14:paraId="5507E289" w14:textId="77777777" w:rsidTr="00872D48">
        <w:tc>
          <w:tcPr>
            <w:tcW w:w="1385" w:type="dxa"/>
            <w:vMerge w:val="restart"/>
            <w:tcBorders>
              <w:left w:val="nil"/>
              <w:right w:val="nil"/>
            </w:tcBorders>
            <w:shd w:val="clear" w:color="auto" w:fill="FFFFFF" w:themeFill="background1"/>
            <w:vAlign w:val="center"/>
          </w:tcPr>
          <w:p w14:paraId="12C2D986" w14:textId="77777777" w:rsidR="00872D48" w:rsidRPr="005822C9" w:rsidRDefault="00872D48" w:rsidP="00872D48">
            <w:pPr>
              <w:jc w:val="center"/>
              <w:rPr>
                <w:rFonts w:ascii="Times New Roman" w:hAnsi="Times New Roman" w:cs="Times New Roman"/>
                <w:b/>
                <w:sz w:val="18"/>
                <w:szCs w:val="18"/>
              </w:rPr>
            </w:pPr>
            <w:proofErr w:type="spellStart"/>
            <w:r w:rsidRPr="005822C9">
              <w:rPr>
                <w:rFonts w:ascii="Times New Roman" w:hAnsi="Times New Roman" w:cs="Times New Roman"/>
                <w:b/>
                <w:sz w:val="18"/>
                <w:szCs w:val="18"/>
              </w:rPr>
              <w:t>Peripheral</w:t>
            </w:r>
            <w:proofErr w:type="spellEnd"/>
            <w:r>
              <w:rPr>
                <w:rFonts w:ascii="Times New Roman" w:hAnsi="Times New Roman" w:cs="Times New Roman"/>
                <w:b/>
                <w:sz w:val="18"/>
                <w:szCs w:val="18"/>
              </w:rPr>
              <w:t xml:space="preserve"> </w:t>
            </w:r>
            <w:proofErr w:type="spellStart"/>
            <w:r w:rsidRPr="005822C9">
              <w:rPr>
                <w:rFonts w:ascii="Times New Roman" w:hAnsi="Times New Roman" w:cs="Times New Roman"/>
                <w:b/>
                <w:sz w:val="18"/>
                <w:szCs w:val="18"/>
              </w:rPr>
              <w:t>erythema</w:t>
            </w:r>
            <w:proofErr w:type="spellEnd"/>
          </w:p>
        </w:tc>
        <w:tc>
          <w:tcPr>
            <w:tcW w:w="1161" w:type="dxa"/>
            <w:tcBorders>
              <w:left w:val="nil"/>
              <w:right w:val="nil"/>
            </w:tcBorders>
          </w:tcPr>
          <w:p w14:paraId="581F9DC1"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Lessthan</w:t>
            </w:r>
            <w:proofErr w:type="spellEnd"/>
            <w:r>
              <w:rPr>
                <w:rFonts w:ascii="Times New Roman" w:hAnsi="Times New Roman" w:cs="Times New Roman"/>
                <w:sz w:val="18"/>
                <w:szCs w:val="18"/>
              </w:rPr>
              <w:t xml:space="preserve"> 2</w:t>
            </w:r>
            <w:r w:rsidRPr="005822C9">
              <w:rPr>
                <w:rFonts w:ascii="Times New Roman" w:hAnsi="Times New Roman" w:cs="Times New Roman"/>
                <w:sz w:val="18"/>
                <w:szCs w:val="18"/>
              </w:rPr>
              <w:t xml:space="preserve"> mm</w:t>
            </w:r>
          </w:p>
        </w:tc>
        <w:tc>
          <w:tcPr>
            <w:tcW w:w="1376" w:type="dxa"/>
            <w:tcBorders>
              <w:left w:val="nil"/>
              <w:right w:val="nil"/>
            </w:tcBorders>
            <w:vAlign w:val="center"/>
          </w:tcPr>
          <w:p w14:paraId="4FF3D82B"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Less</w:t>
            </w:r>
            <w:proofErr w:type="spellEnd"/>
            <w:r>
              <w:rPr>
                <w:rFonts w:ascii="Times New Roman" w:hAnsi="Times New Roman" w:cs="Times New Roman"/>
                <w:sz w:val="18"/>
                <w:szCs w:val="18"/>
              </w:rPr>
              <w:t xml:space="preserve"> </w:t>
            </w:r>
            <w:proofErr w:type="spellStart"/>
            <w:r w:rsidRPr="005822C9">
              <w:rPr>
                <w:rFonts w:ascii="Times New Roman" w:hAnsi="Times New Roman" w:cs="Times New Roman"/>
                <w:sz w:val="18"/>
                <w:szCs w:val="18"/>
              </w:rPr>
              <w:t>than</w:t>
            </w:r>
            <w:proofErr w:type="spellEnd"/>
            <w:r w:rsidRPr="005822C9">
              <w:rPr>
                <w:rFonts w:ascii="Times New Roman" w:hAnsi="Times New Roman" w:cs="Times New Roman"/>
                <w:sz w:val="18"/>
                <w:szCs w:val="18"/>
              </w:rPr>
              <w:t xml:space="preserve"> 5 mm</w:t>
            </w:r>
          </w:p>
        </w:tc>
        <w:tc>
          <w:tcPr>
            <w:tcW w:w="1168" w:type="dxa"/>
            <w:tcBorders>
              <w:left w:val="nil"/>
              <w:right w:val="single" w:sz="4" w:space="0" w:color="auto"/>
            </w:tcBorders>
            <w:vAlign w:val="center"/>
          </w:tcPr>
          <w:p w14:paraId="58B8C867"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0</w:t>
            </w:r>
          </w:p>
        </w:tc>
        <w:tc>
          <w:tcPr>
            <w:tcW w:w="1383" w:type="dxa"/>
            <w:vMerge w:val="restart"/>
            <w:tcBorders>
              <w:left w:val="single" w:sz="4" w:space="0" w:color="auto"/>
              <w:bottom w:val="single" w:sz="4" w:space="0" w:color="auto"/>
              <w:right w:val="nil"/>
            </w:tcBorders>
            <w:shd w:val="clear" w:color="auto" w:fill="FFFFFF" w:themeFill="background1"/>
            <w:vAlign w:val="center"/>
          </w:tcPr>
          <w:p w14:paraId="43ED0F01" w14:textId="77777777" w:rsidR="00872D48" w:rsidRPr="005822C9" w:rsidRDefault="00872D48" w:rsidP="00872D48">
            <w:pPr>
              <w:jc w:val="center"/>
              <w:rPr>
                <w:rFonts w:ascii="Times New Roman" w:hAnsi="Times New Roman" w:cs="Times New Roman"/>
                <w:b/>
                <w:sz w:val="18"/>
                <w:szCs w:val="18"/>
              </w:rPr>
            </w:pPr>
            <w:proofErr w:type="spellStart"/>
            <w:r w:rsidRPr="005822C9">
              <w:rPr>
                <w:rFonts w:ascii="Times New Roman" w:hAnsi="Times New Roman" w:cs="Times New Roman"/>
                <w:b/>
                <w:sz w:val="18"/>
                <w:szCs w:val="18"/>
              </w:rPr>
              <w:t>Ulceration</w:t>
            </w:r>
            <w:proofErr w:type="spellEnd"/>
          </w:p>
        </w:tc>
        <w:tc>
          <w:tcPr>
            <w:tcW w:w="1425" w:type="dxa"/>
            <w:tcBorders>
              <w:left w:val="nil"/>
              <w:right w:val="nil"/>
            </w:tcBorders>
            <w:vAlign w:val="center"/>
          </w:tcPr>
          <w:p w14:paraId="78656F4E"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 xml:space="preserve">No </w:t>
            </w:r>
            <w:proofErr w:type="spellStart"/>
            <w:r w:rsidRPr="005822C9">
              <w:rPr>
                <w:rFonts w:ascii="Times New Roman" w:hAnsi="Times New Roman" w:cs="Times New Roman"/>
                <w:sz w:val="18"/>
                <w:szCs w:val="18"/>
              </w:rPr>
              <w:t>ulceration</w:t>
            </w:r>
            <w:proofErr w:type="spellEnd"/>
          </w:p>
        </w:tc>
        <w:tc>
          <w:tcPr>
            <w:tcW w:w="1168" w:type="dxa"/>
            <w:tcBorders>
              <w:left w:val="nil"/>
              <w:right w:val="nil"/>
            </w:tcBorders>
            <w:vAlign w:val="center"/>
          </w:tcPr>
          <w:p w14:paraId="666BEA49"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0</w:t>
            </w:r>
          </w:p>
        </w:tc>
      </w:tr>
      <w:tr w:rsidR="00872D48" w:rsidRPr="005822C9" w14:paraId="57C59E71" w14:textId="77777777" w:rsidTr="00872D48">
        <w:tc>
          <w:tcPr>
            <w:tcW w:w="1385" w:type="dxa"/>
            <w:vMerge/>
            <w:tcBorders>
              <w:left w:val="nil"/>
              <w:right w:val="nil"/>
            </w:tcBorders>
            <w:shd w:val="clear" w:color="auto" w:fill="FFFFFF" w:themeFill="background1"/>
            <w:vAlign w:val="center"/>
          </w:tcPr>
          <w:p w14:paraId="2A8A90D1" w14:textId="77777777" w:rsidR="00872D48" w:rsidRPr="005822C9" w:rsidRDefault="00872D48" w:rsidP="00872D48">
            <w:pPr>
              <w:jc w:val="center"/>
              <w:rPr>
                <w:rFonts w:ascii="Times New Roman" w:hAnsi="Times New Roman" w:cs="Times New Roman"/>
                <w:b/>
                <w:sz w:val="18"/>
                <w:szCs w:val="18"/>
              </w:rPr>
            </w:pPr>
          </w:p>
        </w:tc>
        <w:tc>
          <w:tcPr>
            <w:tcW w:w="1161" w:type="dxa"/>
            <w:tcBorders>
              <w:left w:val="nil"/>
              <w:right w:val="nil"/>
            </w:tcBorders>
          </w:tcPr>
          <w:p w14:paraId="20E25CBF"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Between</w:t>
            </w:r>
            <w:proofErr w:type="spellEnd"/>
            <w:r>
              <w:rPr>
                <w:rFonts w:ascii="Times New Roman" w:hAnsi="Times New Roman" w:cs="Times New Roman"/>
                <w:sz w:val="18"/>
                <w:szCs w:val="18"/>
              </w:rPr>
              <w:t xml:space="preserve"> 2 and 3</w:t>
            </w:r>
            <w:r w:rsidRPr="005822C9">
              <w:rPr>
                <w:rFonts w:ascii="Times New Roman" w:hAnsi="Times New Roman" w:cs="Times New Roman"/>
                <w:sz w:val="18"/>
                <w:szCs w:val="18"/>
              </w:rPr>
              <w:t xml:space="preserve"> mm</w:t>
            </w:r>
          </w:p>
        </w:tc>
        <w:tc>
          <w:tcPr>
            <w:tcW w:w="1376" w:type="dxa"/>
            <w:tcBorders>
              <w:left w:val="nil"/>
              <w:right w:val="nil"/>
            </w:tcBorders>
            <w:vAlign w:val="center"/>
          </w:tcPr>
          <w:p w14:paraId="270CD56B"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Between</w:t>
            </w:r>
            <w:proofErr w:type="spellEnd"/>
            <w:r w:rsidRPr="005822C9">
              <w:rPr>
                <w:rFonts w:ascii="Times New Roman" w:hAnsi="Times New Roman" w:cs="Times New Roman"/>
                <w:sz w:val="18"/>
                <w:szCs w:val="18"/>
              </w:rPr>
              <w:t xml:space="preserve"> 5 and 10 mm</w:t>
            </w:r>
          </w:p>
        </w:tc>
        <w:tc>
          <w:tcPr>
            <w:tcW w:w="1168" w:type="dxa"/>
            <w:tcBorders>
              <w:left w:val="nil"/>
              <w:right w:val="single" w:sz="4" w:space="0" w:color="auto"/>
            </w:tcBorders>
            <w:vAlign w:val="center"/>
          </w:tcPr>
          <w:p w14:paraId="32642F08"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1</w:t>
            </w:r>
          </w:p>
        </w:tc>
        <w:tc>
          <w:tcPr>
            <w:tcW w:w="1383" w:type="dxa"/>
            <w:vMerge/>
            <w:tcBorders>
              <w:top w:val="single" w:sz="4" w:space="0" w:color="auto"/>
              <w:left w:val="single" w:sz="4" w:space="0" w:color="auto"/>
              <w:bottom w:val="single" w:sz="4" w:space="0" w:color="auto"/>
              <w:right w:val="nil"/>
            </w:tcBorders>
            <w:shd w:val="clear" w:color="auto" w:fill="FFFFFF" w:themeFill="background1"/>
            <w:vAlign w:val="center"/>
          </w:tcPr>
          <w:p w14:paraId="486D127C" w14:textId="77777777" w:rsidR="00872D48" w:rsidRPr="005822C9" w:rsidRDefault="00872D48" w:rsidP="00872D48">
            <w:pPr>
              <w:jc w:val="center"/>
              <w:rPr>
                <w:rFonts w:ascii="Times New Roman" w:hAnsi="Times New Roman" w:cs="Times New Roman"/>
                <w:b/>
                <w:sz w:val="18"/>
                <w:szCs w:val="18"/>
              </w:rPr>
            </w:pPr>
          </w:p>
        </w:tc>
        <w:tc>
          <w:tcPr>
            <w:tcW w:w="1425" w:type="dxa"/>
            <w:tcBorders>
              <w:left w:val="nil"/>
              <w:right w:val="nil"/>
            </w:tcBorders>
            <w:vAlign w:val="center"/>
          </w:tcPr>
          <w:p w14:paraId="1B6AEAF4"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Superficial</w:t>
            </w:r>
            <w:proofErr w:type="spellEnd"/>
            <w:r>
              <w:rPr>
                <w:rFonts w:ascii="Times New Roman" w:hAnsi="Times New Roman" w:cs="Times New Roman"/>
                <w:sz w:val="18"/>
                <w:szCs w:val="18"/>
              </w:rPr>
              <w:t xml:space="preserve"> </w:t>
            </w:r>
            <w:proofErr w:type="spellStart"/>
            <w:r w:rsidRPr="005822C9">
              <w:rPr>
                <w:rFonts w:ascii="Times New Roman" w:hAnsi="Times New Roman" w:cs="Times New Roman"/>
                <w:sz w:val="18"/>
                <w:szCs w:val="18"/>
              </w:rPr>
              <w:t>ulceration</w:t>
            </w:r>
            <w:proofErr w:type="spellEnd"/>
          </w:p>
        </w:tc>
        <w:tc>
          <w:tcPr>
            <w:tcW w:w="1168" w:type="dxa"/>
            <w:tcBorders>
              <w:left w:val="nil"/>
              <w:right w:val="nil"/>
            </w:tcBorders>
            <w:vAlign w:val="center"/>
          </w:tcPr>
          <w:p w14:paraId="6FC44630"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1</w:t>
            </w:r>
          </w:p>
        </w:tc>
      </w:tr>
      <w:tr w:rsidR="00872D48" w:rsidRPr="005822C9" w14:paraId="014BDABA" w14:textId="77777777" w:rsidTr="00872D48">
        <w:tc>
          <w:tcPr>
            <w:tcW w:w="1385" w:type="dxa"/>
            <w:vMerge/>
            <w:tcBorders>
              <w:left w:val="nil"/>
              <w:right w:val="nil"/>
            </w:tcBorders>
            <w:shd w:val="clear" w:color="auto" w:fill="FFFFFF" w:themeFill="background1"/>
            <w:vAlign w:val="center"/>
          </w:tcPr>
          <w:p w14:paraId="535C2A65" w14:textId="77777777" w:rsidR="00872D48" w:rsidRPr="005822C9" w:rsidRDefault="00872D48" w:rsidP="00872D48">
            <w:pPr>
              <w:jc w:val="center"/>
              <w:rPr>
                <w:rFonts w:ascii="Times New Roman" w:hAnsi="Times New Roman" w:cs="Times New Roman"/>
                <w:b/>
                <w:sz w:val="18"/>
                <w:szCs w:val="18"/>
              </w:rPr>
            </w:pPr>
          </w:p>
        </w:tc>
        <w:tc>
          <w:tcPr>
            <w:tcW w:w="1161" w:type="dxa"/>
            <w:tcBorders>
              <w:left w:val="nil"/>
              <w:right w:val="nil"/>
            </w:tcBorders>
          </w:tcPr>
          <w:p w14:paraId="11D33A43"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Above</w:t>
            </w:r>
            <w:proofErr w:type="spellEnd"/>
            <w:r>
              <w:rPr>
                <w:rFonts w:ascii="Times New Roman" w:hAnsi="Times New Roman" w:cs="Times New Roman"/>
                <w:sz w:val="18"/>
                <w:szCs w:val="18"/>
              </w:rPr>
              <w:t xml:space="preserve"> 3 </w:t>
            </w:r>
            <w:r w:rsidRPr="005822C9">
              <w:rPr>
                <w:rFonts w:ascii="Times New Roman" w:hAnsi="Times New Roman" w:cs="Times New Roman"/>
                <w:sz w:val="18"/>
                <w:szCs w:val="18"/>
              </w:rPr>
              <w:t>mm</w:t>
            </w:r>
          </w:p>
        </w:tc>
        <w:tc>
          <w:tcPr>
            <w:tcW w:w="1376" w:type="dxa"/>
            <w:tcBorders>
              <w:left w:val="nil"/>
              <w:right w:val="nil"/>
            </w:tcBorders>
            <w:vAlign w:val="center"/>
          </w:tcPr>
          <w:p w14:paraId="6F6EE072"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Above</w:t>
            </w:r>
            <w:proofErr w:type="spellEnd"/>
            <w:r w:rsidRPr="005822C9">
              <w:rPr>
                <w:rFonts w:ascii="Times New Roman" w:hAnsi="Times New Roman" w:cs="Times New Roman"/>
                <w:sz w:val="18"/>
                <w:szCs w:val="18"/>
              </w:rPr>
              <w:t xml:space="preserve"> 10 mm</w:t>
            </w:r>
          </w:p>
        </w:tc>
        <w:tc>
          <w:tcPr>
            <w:tcW w:w="1168" w:type="dxa"/>
            <w:tcBorders>
              <w:left w:val="nil"/>
              <w:right w:val="single" w:sz="4" w:space="0" w:color="auto"/>
            </w:tcBorders>
            <w:vAlign w:val="center"/>
          </w:tcPr>
          <w:p w14:paraId="0BA579E4"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2</w:t>
            </w:r>
          </w:p>
        </w:tc>
        <w:tc>
          <w:tcPr>
            <w:tcW w:w="1383" w:type="dxa"/>
            <w:vMerge/>
            <w:tcBorders>
              <w:top w:val="single" w:sz="4" w:space="0" w:color="auto"/>
              <w:left w:val="single" w:sz="4" w:space="0" w:color="auto"/>
              <w:bottom w:val="single" w:sz="4" w:space="0" w:color="auto"/>
              <w:right w:val="nil"/>
            </w:tcBorders>
            <w:shd w:val="clear" w:color="auto" w:fill="FFFFFF" w:themeFill="background1"/>
            <w:vAlign w:val="center"/>
          </w:tcPr>
          <w:p w14:paraId="6641D8B2" w14:textId="77777777" w:rsidR="00872D48" w:rsidRPr="005822C9" w:rsidRDefault="00872D48" w:rsidP="00872D48">
            <w:pPr>
              <w:jc w:val="center"/>
              <w:rPr>
                <w:rFonts w:ascii="Times New Roman" w:hAnsi="Times New Roman" w:cs="Times New Roman"/>
                <w:b/>
                <w:sz w:val="18"/>
                <w:szCs w:val="18"/>
              </w:rPr>
            </w:pPr>
          </w:p>
        </w:tc>
        <w:tc>
          <w:tcPr>
            <w:tcW w:w="1425" w:type="dxa"/>
            <w:tcBorders>
              <w:left w:val="nil"/>
              <w:right w:val="nil"/>
            </w:tcBorders>
            <w:vAlign w:val="center"/>
          </w:tcPr>
          <w:p w14:paraId="07231FB3" w14:textId="77777777" w:rsidR="00872D48" w:rsidRPr="00B561A1" w:rsidRDefault="00872D48" w:rsidP="00872D48">
            <w:pPr>
              <w:jc w:val="center"/>
              <w:rPr>
                <w:rFonts w:ascii="Times New Roman" w:hAnsi="Times New Roman" w:cs="Times New Roman"/>
                <w:sz w:val="18"/>
                <w:szCs w:val="18"/>
                <w:lang w:val="en-US"/>
              </w:rPr>
            </w:pPr>
            <w:r w:rsidRPr="00B561A1">
              <w:rPr>
                <w:rFonts w:ascii="Times New Roman" w:hAnsi="Times New Roman" w:cs="Times New Roman"/>
                <w:sz w:val="18"/>
                <w:szCs w:val="18"/>
                <w:lang w:val="en-US"/>
              </w:rPr>
              <w:t>Deep ulceration and/or necrosis</w:t>
            </w:r>
          </w:p>
        </w:tc>
        <w:tc>
          <w:tcPr>
            <w:tcW w:w="1168" w:type="dxa"/>
            <w:tcBorders>
              <w:left w:val="nil"/>
              <w:right w:val="nil"/>
            </w:tcBorders>
            <w:vAlign w:val="center"/>
          </w:tcPr>
          <w:p w14:paraId="6983D33E"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2</w:t>
            </w:r>
          </w:p>
        </w:tc>
      </w:tr>
      <w:tr w:rsidR="00872D48" w:rsidRPr="005822C9" w14:paraId="7E17BFCC" w14:textId="77777777" w:rsidTr="00872D48">
        <w:tc>
          <w:tcPr>
            <w:tcW w:w="1385" w:type="dxa"/>
            <w:vMerge w:val="restart"/>
            <w:tcBorders>
              <w:left w:val="nil"/>
              <w:right w:val="nil"/>
            </w:tcBorders>
            <w:shd w:val="clear" w:color="auto" w:fill="FFFFFF" w:themeFill="background1"/>
            <w:vAlign w:val="center"/>
          </w:tcPr>
          <w:p w14:paraId="5612C5F2" w14:textId="77777777" w:rsidR="00872D48" w:rsidRPr="005822C9" w:rsidRDefault="00872D48" w:rsidP="00872D48">
            <w:pPr>
              <w:jc w:val="center"/>
              <w:rPr>
                <w:rFonts w:ascii="Times New Roman" w:hAnsi="Times New Roman" w:cs="Times New Roman"/>
                <w:b/>
                <w:sz w:val="18"/>
                <w:szCs w:val="18"/>
              </w:rPr>
            </w:pPr>
            <w:proofErr w:type="spellStart"/>
            <w:r w:rsidRPr="005822C9">
              <w:rPr>
                <w:rFonts w:ascii="Times New Roman" w:hAnsi="Times New Roman" w:cs="Times New Roman"/>
                <w:b/>
                <w:sz w:val="18"/>
                <w:szCs w:val="18"/>
              </w:rPr>
              <w:t>Ulceration</w:t>
            </w:r>
            <w:proofErr w:type="spellEnd"/>
          </w:p>
        </w:tc>
        <w:tc>
          <w:tcPr>
            <w:tcW w:w="2537" w:type="dxa"/>
            <w:gridSpan w:val="2"/>
            <w:tcBorders>
              <w:left w:val="nil"/>
              <w:right w:val="nil"/>
            </w:tcBorders>
          </w:tcPr>
          <w:p w14:paraId="2940AD7B"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 xml:space="preserve">No </w:t>
            </w:r>
            <w:proofErr w:type="spellStart"/>
            <w:r w:rsidRPr="005822C9">
              <w:rPr>
                <w:rFonts w:ascii="Times New Roman" w:hAnsi="Times New Roman" w:cs="Times New Roman"/>
                <w:sz w:val="18"/>
                <w:szCs w:val="18"/>
              </w:rPr>
              <w:t>ulceration</w:t>
            </w:r>
            <w:proofErr w:type="spellEnd"/>
          </w:p>
        </w:tc>
        <w:tc>
          <w:tcPr>
            <w:tcW w:w="1168" w:type="dxa"/>
            <w:tcBorders>
              <w:left w:val="nil"/>
              <w:right w:val="single" w:sz="4" w:space="0" w:color="auto"/>
            </w:tcBorders>
            <w:vAlign w:val="center"/>
          </w:tcPr>
          <w:p w14:paraId="314C2173"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0</w:t>
            </w:r>
          </w:p>
        </w:tc>
        <w:tc>
          <w:tcPr>
            <w:tcW w:w="1383" w:type="dxa"/>
            <w:vMerge w:val="restart"/>
            <w:tcBorders>
              <w:top w:val="single" w:sz="4" w:space="0" w:color="auto"/>
              <w:left w:val="single" w:sz="4" w:space="0" w:color="auto"/>
              <w:bottom w:val="single" w:sz="4" w:space="0" w:color="auto"/>
              <w:right w:val="nil"/>
            </w:tcBorders>
            <w:shd w:val="clear" w:color="auto" w:fill="FFFFFF" w:themeFill="background1"/>
            <w:vAlign w:val="center"/>
          </w:tcPr>
          <w:p w14:paraId="50AC037B" w14:textId="77777777" w:rsidR="00872D48" w:rsidRPr="005822C9" w:rsidRDefault="00872D48" w:rsidP="00872D48">
            <w:pPr>
              <w:jc w:val="center"/>
              <w:rPr>
                <w:rFonts w:ascii="Times New Roman" w:hAnsi="Times New Roman" w:cs="Times New Roman"/>
                <w:b/>
                <w:sz w:val="18"/>
                <w:szCs w:val="18"/>
              </w:rPr>
            </w:pPr>
            <w:proofErr w:type="spellStart"/>
            <w:r w:rsidRPr="005822C9">
              <w:rPr>
                <w:rFonts w:ascii="Times New Roman" w:hAnsi="Times New Roman" w:cs="Times New Roman"/>
                <w:b/>
                <w:sz w:val="18"/>
                <w:szCs w:val="18"/>
              </w:rPr>
              <w:t>Bleeding</w:t>
            </w:r>
            <w:proofErr w:type="spellEnd"/>
          </w:p>
        </w:tc>
        <w:tc>
          <w:tcPr>
            <w:tcW w:w="1425" w:type="dxa"/>
            <w:tcBorders>
              <w:left w:val="nil"/>
              <w:right w:val="nil"/>
            </w:tcBorders>
            <w:vAlign w:val="center"/>
          </w:tcPr>
          <w:p w14:paraId="720E6331"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 xml:space="preserve">No </w:t>
            </w:r>
            <w:proofErr w:type="spellStart"/>
            <w:r w:rsidRPr="005822C9">
              <w:rPr>
                <w:rFonts w:ascii="Times New Roman" w:hAnsi="Times New Roman" w:cs="Times New Roman"/>
                <w:sz w:val="18"/>
                <w:szCs w:val="18"/>
              </w:rPr>
              <w:t>bleeding</w:t>
            </w:r>
            <w:proofErr w:type="spellEnd"/>
          </w:p>
        </w:tc>
        <w:tc>
          <w:tcPr>
            <w:tcW w:w="1168" w:type="dxa"/>
            <w:tcBorders>
              <w:left w:val="nil"/>
              <w:right w:val="nil"/>
            </w:tcBorders>
            <w:vAlign w:val="center"/>
          </w:tcPr>
          <w:p w14:paraId="2D004304"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0</w:t>
            </w:r>
          </w:p>
        </w:tc>
      </w:tr>
      <w:tr w:rsidR="00872D48" w:rsidRPr="005822C9" w14:paraId="3FF806C9" w14:textId="77777777" w:rsidTr="00872D48">
        <w:tc>
          <w:tcPr>
            <w:tcW w:w="1385" w:type="dxa"/>
            <w:vMerge/>
            <w:tcBorders>
              <w:left w:val="nil"/>
              <w:right w:val="nil"/>
            </w:tcBorders>
            <w:shd w:val="clear" w:color="auto" w:fill="FFFFFF" w:themeFill="background1"/>
            <w:vAlign w:val="center"/>
          </w:tcPr>
          <w:p w14:paraId="70260305" w14:textId="77777777" w:rsidR="00872D48" w:rsidRPr="005822C9" w:rsidRDefault="00872D48" w:rsidP="00872D48">
            <w:pPr>
              <w:jc w:val="center"/>
              <w:rPr>
                <w:rFonts w:ascii="Times New Roman" w:hAnsi="Times New Roman" w:cs="Times New Roman"/>
                <w:sz w:val="18"/>
                <w:szCs w:val="18"/>
              </w:rPr>
            </w:pPr>
          </w:p>
        </w:tc>
        <w:tc>
          <w:tcPr>
            <w:tcW w:w="2537" w:type="dxa"/>
            <w:gridSpan w:val="2"/>
            <w:tcBorders>
              <w:left w:val="nil"/>
              <w:right w:val="nil"/>
            </w:tcBorders>
          </w:tcPr>
          <w:p w14:paraId="7D4ED837"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Superficial</w:t>
            </w:r>
            <w:proofErr w:type="spellEnd"/>
            <w:r>
              <w:rPr>
                <w:rFonts w:ascii="Times New Roman" w:hAnsi="Times New Roman" w:cs="Times New Roman"/>
                <w:sz w:val="18"/>
                <w:szCs w:val="18"/>
              </w:rPr>
              <w:t xml:space="preserve"> </w:t>
            </w:r>
            <w:proofErr w:type="spellStart"/>
            <w:r w:rsidRPr="005822C9">
              <w:rPr>
                <w:rFonts w:ascii="Times New Roman" w:hAnsi="Times New Roman" w:cs="Times New Roman"/>
                <w:sz w:val="18"/>
                <w:szCs w:val="18"/>
              </w:rPr>
              <w:t>ulceration</w:t>
            </w:r>
            <w:proofErr w:type="spellEnd"/>
          </w:p>
        </w:tc>
        <w:tc>
          <w:tcPr>
            <w:tcW w:w="1168" w:type="dxa"/>
            <w:tcBorders>
              <w:left w:val="nil"/>
              <w:right w:val="single" w:sz="4" w:space="0" w:color="auto"/>
            </w:tcBorders>
            <w:vAlign w:val="center"/>
          </w:tcPr>
          <w:p w14:paraId="54C9AA7E"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1</w:t>
            </w:r>
          </w:p>
        </w:tc>
        <w:tc>
          <w:tcPr>
            <w:tcW w:w="1383" w:type="dxa"/>
            <w:vMerge/>
            <w:tcBorders>
              <w:top w:val="single" w:sz="4" w:space="0" w:color="auto"/>
              <w:left w:val="single" w:sz="4" w:space="0" w:color="auto"/>
              <w:bottom w:val="single" w:sz="4" w:space="0" w:color="auto"/>
              <w:right w:val="nil"/>
            </w:tcBorders>
            <w:shd w:val="clear" w:color="auto" w:fill="FFFFFF" w:themeFill="background1"/>
            <w:vAlign w:val="center"/>
          </w:tcPr>
          <w:p w14:paraId="579E8EFF" w14:textId="77777777" w:rsidR="00872D48" w:rsidRPr="005822C9" w:rsidRDefault="00872D48" w:rsidP="00872D48">
            <w:pPr>
              <w:jc w:val="center"/>
              <w:rPr>
                <w:rFonts w:ascii="Times New Roman" w:hAnsi="Times New Roman" w:cs="Times New Roman"/>
                <w:b/>
                <w:sz w:val="18"/>
                <w:szCs w:val="18"/>
              </w:rPr>
            </w:pPr>
          </w:p>
        </w:tc>
        <w:tc>
          <w:tcPr>
            <w:tcW w:w="1425" w:type="dxa"/>
            <w:tcBorders>
              <w:left w:val="nil"/>
              <w:bottom w:val="single" w:sz="4" w:space="0" w:color="auto"/>
              <w:right w:val="nil"/>
            </w:tcBorders>
            <w:vAlign w:val="center"/>
          </w:tcPr>
          <w:p w14:paraId="78E0A3B3"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Presence</w:t>
            </w:r>
            <w:proofErr w:type="spellEnd"/>
            <w:r w:rsidRPr="005822C9">
              <w:rPr>
                <w:rFonts w:ascii="Times New Roman" w:hAnsi="Times New Roman" w:cs="Times New Roman"/>
                <w:sz w:val="18"/>
                <w:szCs w:val="18"/>
              </w:rPr>
              <w:t xml:space="preserve"> of </w:t>
            </w:r>
            <w:proofErr w:type="spellStart"/>
            <w:r w:rsidRPr="005822C9">
              <w:rPr>
                <w:rFonts w:ascii="Times New Roman" w:hAnsi="Times New Roman" w:cs="Times New Roman"/>
                <w:sz w:val="18"/>
                <w:szCs w:val="18"/>
              </w:rPr>
              <w:t>bleeding</w:t>
            </w:r>
            <w:proofErr w:type="spellEnd"/>
          </w:p>
        </w:tc>
        <w:tc>
          <w:tcPr>
            <w:tcW w:w="1168" w:type="dxa"/>
            <w:tcBorders>
              <w:left w:val="nil"/>
              <w:bottom w:val="single" w:sz="4" w:space="0" w:color="auto"/>
              <w:right w:val="nil"/>
            </w:tcBorders>
            <w:vAlign w:val="center"/>
          </w:tcPr>
          <w:p w14:paraId="5CF50CC7"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1</w:t>
            </w:r>
          </w:p>
        </w:tc>
      </w:tr>
      <w:tr w:rsidR="00872D48" w:rsidRPr="005822C9" w14:paraId="4DFA7757" w14:textId="77777777" w:rsidTr="00872D48">
        <w:tc>
          <w:tcPr>
            <w:tcW w:w="1385" w:type="dxa"/>
            <w:vMerge/>
            <w:tcBorders>
              <w:left w:val="nil"/>
              <w:bottom w:val="single" w:sz="4" w:space="0" w:color="000000" w:themeColor="text1"/>
              <w:right w:val="nil"/>
            </w:tcBorders>
            <w:shd w:val="clear" w:color="auto" w:fill="FFFFFF" w:themeFill="background1"/>
            <w:vAlign w:val="center"/>
          </w:tcPr>
          <w:p w14:paraId="2929145A" w14:textId="77777777" w:rsidR="00872D48" w:rsidRPr="005822C9" w:rsidRDefault="00872D48" w:rsidP="00872D48">
            <w:pPr>
              <w:jc w:val="center"/>
              <w:rPr>
                <w:rFonts w:ascii="Times New Roman" w:hAnsi="Times New Roman" w:cs="Times New Roman"/>
                <w:sz w:val="18"/>
                <w:szCs w:val="18"/>
              </w:rPr>
            </w:pPr>
          </w:p>
        </w:tc>
        <w:tc>
          <w:tcPr>
            <w:tcW w:w="2537" w:type="dxa"/>
            <w:gridSpan w:val="2"/>
            <w:tcBorders>
              <w:left w:val="nil"/>
              <w:bottom w:val="single" w:sz="4" w:space="0" w:color="auto"/>
              <w:right w:val="nil"/>
            </w:tcBorders>
          </w:tcPr>
          <w:p w14:paraId="27FE978A" w14:textId="77777777" w:rsidR="00872D48" w:rsidRPr="00B561A1" w:rsidRDefault="00872D48" w:rsidP="00872D48">
            <w:pPr>
              <w:jc w:val="center"/>
              <w:rPr>
                <w:rFonts w:ascii="Times New Roman" w:hAnsi="Times New Roman" w:cs="Times New Roman"/>
                <w:sz w:val="18"/>
                <w:szCs w:val="18"/>
                <w:lang w:val="en-US"/>
              </w:rPr>
            </w:pPr>
            <w:r w:rsidRPr="00B561A1">
              <w:rPr>
                <w:rFonts w:ascii="Times New Roman" w:hAnsi="Times New Roman" w:cs="Times New Roman"/>
                <w:sz w:val="18"/>
                <w:szCs w:val="18"/>
                <w:lang w:val="en-US"/>
              </w:rPr>
              <w:t>Deep ulceration and/or necrosis</w:t>
            </w:r>
          </w:p>
        </w:tc>
        <w:tc>
          <w:tcPr>
            <w:tcW w:w="1168" w:type="dxa"/>
            <w:tcBorders>
              <w:left w:val="nil"/>
              <w:bottom w:val="single" w:sz="4" w:space="0" w:color="auto"/>
              <w:right w:val="single" w:sz="4" w:space="0" w:color="auto"/>
            </w:tcBorders>
            <w:vAlign w:val="center"/>
          </w:tcPr>
          <w:p w14:paraId="6D08509D"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2</w:t>
            </w:r>
          </w:p>
        </w:tc>
        <w:tc>
          <w:tcPr>
            <w:tcW w:w="1383" w:type="dxa"/>
            <w:vMerge w:val="restart"/>
            <w:tcBorders>
              <w:top w:val="single" w:sz="4" w:space="0" w:color="auto"/>
              <w:left w:val="single" w:sz="4" w:space="0" w:color="auto"/>
              <w:bottom w:val="single" w:sz="4" w:space="0" w:color="auto"/>
              <w:right w:val="nil"/>
            </w:tcBorders>
            <w:shd w:val="clear" w:color="auto" w:fill="FFFFFF" w:themeFill="background1"/>
            <w:vAlign w:val="center"/>
          </w:tcPr>
          <w:p w14:paraId="73097BD0" w14:textId="77777777" w:rsidR="00872D48" w:rsidRPr="005822C9" w:rsidRDefault="00872D48" w:rsidP="00872D48">
            <w:pPr>
              <w:jc w:val="center"/>
              <w:rPr>
                <w:rFonts w:ascii="Times New Roman" w:hAnsi="Times New Roman" w:cs="Times New Roman"/>
                <w:b/>
                <w:sz w:val="18"/>
                <w:szCs w:val="18"/>
              </w:rPr>
            </w:pPr>
            <w:r w:rsidRPr="005822C9">
              <w:rPr>
                <w:rFonts w:ascii="Times New Roman" w:hAnsi="Times New Roman" w:cs="Times New Roman"/>
                <w:b/>
                <w:sz w:val="18"/>
                <w:szCs w:val="18"/>
              </w:rPr>
              <w:t xml:space="preserve">Aspect of the </w:t>
            </w:r>
            <w:proofErr w:type="spellStart"/>
            <w:r w:rsidRPr="005822C9">
              <w:rPr>
                <w:rFonts w:ascii="Times New Roman" w:hAnsi="Times New Roman" w:cs="Times New Roman"/>
                <w:b/>
                <w:sz w:val="18"/>
                <w:szCs w:val="18"/>
              </w:rPr>
              <w:t>mucosa</w:t>
            </w:r>
            <w:proofErr w:type="spellEnd"/>
          </w:p>
        </w:tc>
        <w:tc>
          <w:tcPr>
            <w:tcW w:w="1425" w:type="dxa"/>
            <w:tcBorders>
              <w:top w:val="single" w:sz="4" w:space="0" w:color="auto"/>
              <w:left w:val="nil"/>
              <w:bottom w:val="single" w:sz="4" w:space="0" w:color="auto"/>
              <w:right w:val="nil"/>
            </w:tcBorders>
            <w:vAlign w:val="center"/>
          </w:tcPr>
          <w:p w14:paraId="4DDFC03D"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 xml:space="preserve">Normal </w:t>
            </w:r>
            <w:proofErr w:type="spellStart"/>
            <w:r w:rsidRPr="005822C9">
              <w:rPr>
                <w:rFonts w:ascii="Times New Roman" w:hAnsi="Times New Roman" w:cs="Times New Roman"/>
                <w:sz w:val="18"/>
                <w:szCs w:val="18"/>
              </w:rPr>
              <w:t>mucosa</w:t>
            </w:r>
            <w:proofErr w:type="spellEnd"/>
          </w:p>
        </w:tc>
        <w:tc>
          <w:tcPr>
            <w:tcW w:w="1168" w:type="dxa"/>
            <w:tcBorders>
              <w:top w:val="single" w:sz="4" w:space="0" w:color="auto"/>
              <w:left w:val="nil"/>
              <w:bottom w:val="single" w:sz="4" w:space="0" w:color="auto"/>
              <w:right w:val="nil"/>
            </w:tcBorders>
            <w:vAlign w:val="center"/>
          </w:tcPr>
          <w:p w14:paraId="1BDED0BC"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0</w:t>
            </w:r>
          </w:p>
        </w:tc>
      </w:tr>
      <w:tr w:rsidR="00872D48" w:rsidRPr="005822C9" w14:paraId="47373CDC" w14:textId="77777777" w:rsidTr="00872D48">
        <w:tc>
          <w:tcPr>
            <w:tcW w:w="5090" w:type="dxa"/>
            <w:gridSpan w:val="4"/>
            <w:tcBorders>
              <w:top w:val="single" w:sz="4" w:space="0" w:color="auto"/>
              <w:left w:val="nil"/>
              <w:bottom w:val="single" w:sz="4" w:space="0" w:color="auto"/>
              <w:right w:val="single" w:sz="4" w:space="0" w:color="auto"/>
            </w:tcBorders>
          </w:tcPr>
          <w:p w14:paraId="1CC1238B" w14:textId="77777777" w:rsidR="00872D48" w:rsidRPr="00B561A1" w:rsidRDefault="00872D48" w:rsidP="00872D48">
            <w:pPr>
              <w:jc w:val="center"/>
              <w:rPr>
                <w:rFonts w:ascii="Times New Roman" w:hAnsi="Times New Roman" w:cs="Times New Roman"/>
                <w:b/>
                <w:sz w:val="18"/>
                <w:szCs w:val="18"/>
                <w:lang w:val="en-US"/>
              </w:rPr>
            </w:pPr>
            <w:r w:rsidRPr="00B561A1">
              <w:rPr>
                <w:rFonts w:ascii="Times New Roman" w:hAnsi="Times New Roman" w:cs="Times New Roman"/>
                <w:b/>
                <w:sz w:val="18"/>
                <w:szCs w:val="18"/>
                <w:lang w:val="en-US"/>
              </w:rPr>
              <w:t>Final score (from 0 to 4</w:t>
            </w:r>
            <w:proofErr w:type="gramStart"/>
            <w:r w:rsidRPr="00B561A1">
              <w:rPr>
                <w:rFonts w:ascii="Times New Roman" w:hAnsi="Times New Roman" w:cs="Times New Roman"/>
                <w:b/>
                <w:sz w:val="18"/>
                <w:szCs w:val="18"/>
                <w:lang w:val="en-US"/>
              </w:rPr>
              <w:t>) :</w:t>
            </w:r>
            <w:proofErr w:type="gramEnd"/>
            <w:r w:rsidRPr="00B561A1">
              <w:rPr>
                <w:rFonts w:ascii="Times New Roman" w:hAnsi="Times New Roman" w:cs="Times New Roman"/>
                <w:b/>
                <w:sz w:val="18"/>
                <w:szCs w:val="18"/>
                <w:lang w:val="en-US"/>
              </w:rPr>
              <w:t xml:space="preserve"> sum of the 2 parameters</w:t>
            </w:r>
          </w:p>
        </w:tc>
        <w:tc>
          <w:tcPr>
            <w:tcW w:w="1383" w:type="dxa"/>
            <w:vMerge/>
            <w:tcBorders>
              <w:top w:val="single" w:sz="4" w:space="0" w:color="auto"/>
              <w:left w:val="single" w:sz="4" w:space="0" w:color="auto"/>
              <w:bottom w:val="single" w:sz="4" w:space="0" w:color="auto"/>
              <w:right w:val="nil"/>
            </w:tcBorders>
            <w:shd w:val="clear" w:color="auto" w:fill="FFFFFF" w:themeFill="background1"/>
            <w:vAlign w:val="center"/>
          </w:tcPr>
          <w:p w14:paraId="387D444B" w14:textId="77777777" w:rsidR="00872D48" w:rsidRPr="00B561A1" w:rsidRDefault="00872D48" w:rsidP="00872D48">
            <w:pPr>
              <w:jc w:val="center"/>
              <w:rPr>
                <w:rFonts w:ascii="Times New Roman" w:hAnsi="Times New Roman" w:cs="Times New Roman"/>
                <w:sz w:val="18"/>
                <w:szCs w:val="18"/>
                <w:lang w:val="en-US"/>
              </w:rPr>
            </w:pPr>
          </w:p>
        </w:tc>
        <w:tc>
          <w:tcPr>
            <w:tcW w:w="1425" w:type="dxa"/>
            <w:tcBorders>
              <w:top w:val="single" w:sz="4" w:space="0" w:color="auto"/>
              <w:left w:val="nil"/>
              <w:bottom w:val="single" w:sz="4" w:space="0" w:color="auto"/>
              <w:right w:val="nil"/>
            </w:tcBorders>
            <w:vAlign w:val="center"/>
          </w:tcPr>
          <w:p w14:paraId="38B1BEF3"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Eythematous</w:t>
            </w:r>
            <w:proofErr w:type="spellEnd"/>
            <w:r>
              <w:rPr>
                <w:rFonts w:ascii="Times New Roman" w:hAnsi="Times New Roman" w:cs="Times New Roman"/>
                <w:sz w:val="18"/>
                <w:szCs w:val="18"/>
              </w:rPr>
              <w:t xml:space="preserve"> </w:t>
            </w:r>
            <w:proofErr w:type="spellStart"/>
            <w:r w:rsidRPr="005822C9">
              <w:rPr>
                <w:rFonts w:ascii="Times New Roman" w:hAnsi="Times New Roman" w:cs="Times New Roman"/>
                <w:sz w:val="18"/>
                <w:szCs w:val="18"/>
              </w:rPr>
              <w:t>mucosa</w:t>
            </w:r>
            <w:proofErr w:type="spellEnd"/>
          </w:p>
        </w:tc>
        <w:tc>
          <w:tcPr>
            <w:tcW w:w="1168" w:type="dxa"/>
            <w:tcBorders>
              <w:top w:val="single" w:sz="4" w:space="0" w:color="auto"/>
              <w:left w:val="nil"/>
              <w:bottom w:val="single" w:sz="4" w:space="0" w:color="auto"/>
              <w:right w:val="nil"/>
            </w:tcBorders>
            <w:vAlign w:val="center"/>
          </w:tcPr>
          <w:p w14:paraId="15F7319E"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1</w:t>
            </w:r>
          </w:p>
        </w:tc>
      </w:tr>
      <w:tr w:rsidR="00872D48" w:rsidRPr="005822C9" w14:paraId="61EA05CF" w14:textId="77777777" w:rsidTr="00872D48">
        <w:tc>
          <w:tcPr>
            <w:tcW w:w="1385" w:type="dxa"/>
            <w:tcBorders>
              <w:top w:val="single" w:sz="4" w:space="0" w:color="auto"/>
              <w:left w:val="nil"/>
              <w:bottom w:val="nil"/>
              <w:right w:val="nil"/>
            </w:tcBorders>
          </w:tcPr>
          <w:p w14:paraId="2D26A22F" w14:textId="77777777" w:rsidR="00872D48" w:rsidRPr="005822C9" w:rsidRDefault="00872D48" w:rsidP="00872D48">
            <w:pPr>
              <w:rPr>
                <w:rFonts w:ascii="Times New Roman" w:hAnsi="Times New Roman" w:cs="Times New Roman"/>
                <w:sz w:val="18"/>
                <w:szCs w:val="18"/>
              </w:rPr>
            </w:pPr>
          </w:p>
        </w:tc>
        <w:tc>
          <w:tcPr>
            <w:tcW w:w="1161" w:type="dxa"/>
            <w:tcBorders>
              <w:top w:val="single" w:sz="4" w:space="0" w:color="auto"/>
              <w:left w:val="nil"/>
              <w:bottom w:val="nil"/>
              <w:right w:val="nil"/>
            </w:tcBorders>
          </w:tcPr>
          <w:p w14:paraId="3E28ABE2" w14:textId="77777777" w:rsidR="00872D48" w:rsidRPr="005822C9" w:rsidRDefault="00872D48" w:rsidP="00872D48">
            <w:pPr>
              <w:rPr>
                <w:rFonts w:ascii="Times New Roman" w:hAnsi="Times New Roman" w:cs="Times New Roman"/>
                <w:sz w:val="18"/>
                <w:szCs w:val="18"/>
              </w:rPr>
            </w:pPr>
          </w:p>
        </w:tc>
        <w:tc>
          <w:tcPr>
            <w:tcW w:w="1376" w:type="dxa"/>
            <w:tcBorders>
              <w:top w:val="single" w:sz="4" w:space="0" w:color="auto"/>
              <w:left w:val="nil"/>
              <w:bottom w:val="nil"/>
              <w:right w:val="nil"/>
            </w:tcBorders>
          </w:tcPr>
          <w:p w14:paraId="3956C987" w14:textId="77777777" w:rsidR="00872D48" w:rsidRPr="005822C9" w:rsidRDefault="00872D48" w:rsidP="00872D48">
            <w:pPr>
              <w:rPr>
                <w:rFonts w:ascii="Times New Roman" w:hAnsi="Times New Roman" w:cs="Times New Roman"/>
                <w:sz w:val="18"/>
                <w:szCs w:val="18"/>
              </w:rPr>
            </w:pPr>
          </w:p>
        </w:tc>
        <w:tc>
          <w:tcPr>
            <w:tcW w:w="1168" w:type="dxa"/>
            <w:tcBorders>
              <w:top w:val="single" w:sz="4" w:space="0" w:color="auto"/>
              <w:left w:val="nil"/>
              <w:bottom w:val="nil"/>
              <w:right w:val="single" w:sz="4" w:space="0" w:color="auto"/>
            </w:tcBorders>
          </w:tcPr>
          <w:p w14:paraId="517E245F" w14:textId="77777777" w:rsidR="00872D48" w:rsidRPr="005822C9" w:rsidRDefault="00872D48" w:rsidP="00872D48">
            <w:pPr>
              <w:rPr>
                <w:rFonts w:ascii="Times New Roman" w:hAnsi="Times New Roman" w:cs="Times New Roman"/>
                <w:sz w:val="18"/>
                <w:szCs w:val="18"/>
              </w:rPr>
            </w:pPr>
          </w:p>
        </w:tc>
        <w:tc>
          <w:tcPr>
            <w:tcW w:w="1383" w:type="dxa"/>
            <w:vMerge/>
            <w:tcBorders>
              <w:top w:val="single" w:sz="4" w:space="0" w:color="auto"/>
              <w:left w:val="single" w:sz="4" w:space="0" w:color="auto"/>
              <w:bottom w:val="single" w:sz="4" w:space="0" w:color="auto"/>
              <w:right w:val="nil"/>
            </w:tcBorders>
            <w:shd w:val="clear" w:color="auto" w:fill="FFFFFF" w:themeFill="background1"/>
            <w:vAlign w:val="center"/>
          </w:tcPr>
          <w:p w14:paraId="6F4632AA" w14:textId="77777777" w:rsidR="00872D48" w:rsidRPr="005822C9" w:rsidRDefault="00872D48" w:rsidP="00872D48">
            <w:pPr>
              <w:jc w:val="center"/>
              <w:rPr>
                <w:rFonts w:ascii="Times New Roman" w:hAnsi="Times New Roman" w:cs="Times New Roman"/>
                <w:sz w:val="18"/>
                <w:szCs w:val="18"/>
              </w:rPr>
            </w:pPr>
          </w:p>
        </w:tc>
        <w:tc>
          <w:tcPr>
            <w:tcW w:w="1425" w:type="dxa"/>
            <w:tcBorders>
              <w:top w:val="single" w:sz="4" w:space="0" w:color="auto"/>
              <w:left w:val="nil"/>
              <w:bottom w:val="single" w:sz="4" w:space="0" w:color="auto"/>
              <w:right w:val="nil"/>
            </w:tcBorders>
            <w:vAlign w:val="center"/>
          </w:tcPr>
          <w:p w14:paraId="7312A202" w14:textId="77777777" w:rsidR="00872D48" w:rsidRPr="005822C9" w:rsidRDefault="00872D48" w:rsidP="00872D48">
            <w:pPr>
              <w:jc w:val="center"/>
              <w:rPr>
                <w:rFonts w:ascii="Times New Roman" w:hAnsi="Times New Roman" w:cs="Times New Roman"/>
                <w:sz w:val="18"/>
                <w:szCs w:val="18"/>
              </w:rPr>
            </w:pPr>
            <w:proofErr w:type="spellStart"/>
            <w:r w:rsidRPr="005822C9">
              <w:rPr>
                <w:rFonts w:ascii="Times New Roman" w:hAnsi="Times New Roman" w:cs="Times New Roman"/>
                <w:sz w:val="18"/>
                <w:szCs w:val="18"/>
              </w:rPr>
              <w:t>Hemorrhagic</w:t>
            </w:r>
            <w:proofErr w:type="spellEnd"/>
            <w:r>
              <w:rPr>
                <w:rFonts w:ascii="Times New Roman" w:hAnsi="Times New Roman" w:cs="Times New Roman"/>
                <w:sz w:val="18"/>
                <w:szCs w:val="18"/>
              </w:rPr>
              <w:t xml:space="preserve"> </w:t>
            </w:r>
            <w:proofErr w:type="spellStart"/>
            <w:r w:rsidRPr="005822C9">
              <w:rPr>
                <w:rFonts w:ascii="Times New Roman" w:hAnsi="Times New Roman" w:cs="Times New Roman"/>
                <w:sz w:val="18"/>
                <w:szCs w:val="18"/>
              </w:rPr>
              <w:t>seeping</w:t>
            </w:r>
            <w:proofErr w:type="spellEnd"/>
          </w:p>
        </w:tc>
        <w:tc>
          <w:tcPr>
            <w:tcW w:w="1168" w:type="dxa"/>
            <w:tcBorders>
              <w:top w:val="single" w:sz="4" w:space="0" w:color="auto"/>
              <w:left w:val="nil"/>
              <w:bottom w:val="single" w:sz="4" w:space="0" w:color="auto"/>
              <w:right w:val="nil"/>
            </w:tcBorders>
            <w:vAlign w:val="center"/>
          </w:tcPr>
          <w:p w14:paraId="2CDE297A" w14:textId="77777777" w:rsidR="00872D48" w:rsidRPr="005822C9" w:rsidRDefault="00872D48" w:rsidP="00872D48">
            <w:pPr>
              <w:jc w:val="center"/>
              <w:rPr>
                <w:rFonts w:ascii="Times New Roman" w:hAnsi="Times New Roman" w:cs="Times New Roman"/>
                <w:sz w:val="18"/>
                <w:szCs w:val="18"/>
              </w:rPr>
            </w:pPr>
            <w:r w:rsidRPr="005822C9">
              <w:rPr>
                <w:rFonts w:ascii="Times New Roman" w:hAnsi="Times New Roman" w:cs="Times New Roman"/>
                <w:sz w:val="18"/>
                <w:szCs w:val="18"/>
              </w:rPr>
              <w:t>2</w:t>
            </w:r>
          </w:p>
        </w:tc>
      </w:tr>
      <w:tr w:rsidR="00872D48" w:rsidRPr="006314AB" w14:paraId="1E568879" w14:textId="77777777" w:rsidTr="00872D48">
        <w:tc>
          <w:tcPr>
            <w:tcW w:w="1385" w:type="dxa"/>
            <w:tcBorders>
              <w:top w:val="nil"/>
              <w:left w:val="nil"/>
              <w:bottom w:val="nil"/>
              <w:right w:val="nil"/>
            </w:tcBorders>
          </w:tcPr>
          <w:p w14:paraId="69EDC3E4" w14:textId="77777777" w:rsidR="00872D48" w:rsidRPr="005822C9" w:rsidRDefault="00872D48" w:rsidP="00872D48">
            <w:pPr>
              <w:rPr>
                <w:rFonts w:ascii="Times New Roman" w:hAnsi="Times New Roman" w:cs="Times New Roman"/>
                <w:sz w:val="18"/>
                <w:szCs w:val="18"/>
              </w:rPr>
            </w:pPr>
          </w:p>
        </w:tc>
        <w:tc>
          <w:tcPr>
            <w:tcW w:w="1161" w:type="dxa"/>
            <w:tcBorders>
              <w:top w:val="nil"/>
              <w:left w:val="nil"/>
              <w:bottom w:val="nil"/>
              <w:right w:val="nil"/>
            </w:tcBorders>
          </w:tcPr>
          <w:p w14:paraId="6180FF08" w14:textId="77777777" w:rsidR="00872D48" w:rsidRPr="005822C9" w:rsidRDefault="00872D48" w:rsidP="00872D48">
            <w:pPr>
              <w:rPr>
                <w:rFonts w:ascii="Times New Roman" w:hAnsi="Times New Roman" w:cs="Times New Roman"/>
                <w:sz w:val="18"/>
                <w:szCs w:val="18"/>
              </w:rPr>
            </w:pPr>
          </w:p>
        </w:tc>
        <w:tc>
          <w:tcPr>
            <w:tcW w:w="1376" w:type="dxa"/>
            <w:tcBorders>
              <w:top w:val="nil"/>
              <w:left w:val="nil"/>
              <w:bottom w:val="nil"/>
              <w:right w:val="nil"/>
            </w:tcBorders>
          </w:tcPr>
          <w:p w14:paraId="2CC4C3C1" w14:textId="77777777" w:rsidR="00872D48" w:rsidRPr="005822C9" w:rsidRDefault="00872D48" w:rsidP="00872D48">
            <w:pPr>
              <w:rPr>
                <w:rFonts w:ascii="Times New Roman" w:hAnsi="Times New Roman" w:cs="Times New Roman"/>
                <w:sz w:val="18"/>
                <w:szCs w:val="18"/>
              </w:rPr>
            </w:pPr>
          </w:p>
        </w:tc>
        <w:tc>
          <w:tcPr>
            <w:tcW w:w="1168" w:type="dxa"/>
            <w:tcBorders>
              <w:top w:val="nil"/>
              <w:left w:val="nil"/>
              <w:bottom w:val="nil"/>
              <w:right w:val="single" w:sz="4" w:space="0" w:color="auto"/>
            </w:tcBorders>
          </w:tcPr>
          <w:p w14:paraId="13968188" w14:textId="77777777" w:rsidR="00872D48" w:rsidRPr="005822C9" w:rsidRDefault="00872D48" w:rsidP="00872D48">
            <w:pPr>
              <w:rPr>
                <w:rFonts w:ascii="Times New Roman" w:hAnsi="Times New Roman" w:cs="Times New Roman"/>
                <w:sz w:val="18"/>
                <w:szCs w:val="18"/>
              </w:rPr>
            </w:pPr>
          </w:p>
        </w:tc>
        <w:tc>
          <w:tcPr>
            <w:tcW w:w="3976" w:type="dxa"/>
            <w:gridSpan w:val="3"/>
            <w:tcBorders>
              <w:top w:val="single" w:sz="4" w:space="0" w:color="auto"/>
              <w:left w:val="single" w:sz="4" w:space="0" w:color="auto"/>
              <w:bottom w:val="single" w:sz="4" w:space="0" w:color="auto"/>
              <w:right w:val="nil"/>
            </w:tcBorders>
            <w:vAlign w:val="center"/>
          </w:tcPr>
          <w:p w14:paraId="0FF3FDA6" w14:textId="77777777" w:rsidR="00872D48" w:rsidRPr="00B561A1" w:rsidRDefault="00872D48" w:rsidP="00872D48">
            <w:pPr>
              <w:jc w:val="center"/>
              <w:rPr>
                <w:rFonts w:ascii="Times New Roman" w:hAnsi="Times New Roman" w:cs="Times New Roman"/>
                <w:b/>
                <w:sz w:val="18"/>
                <w:szCs w:val="18"/>
                <w:lang w:val="en-US"/>
              </w:rPr>
            </w:pPr>
            <w:r w:rsidRPr="00B561A1">
              <w:rPr>
                <w:rFonts w:ascii="Times New Roman" w:hAnsi="Times New Roman" w:cs="Times New Roman"/>
                <w:b/>
                <w:sz w:val="18"/>
                <w:szCs w:val="18"/>
                <w:lang w:val="en-US"/>
              </w:rPr>
              <w:t>Final score (from 0 to 5</w:t>
            </w:r>
            <w:proofErr w:type="gramStart"/>
            <w:r w:rsidRPr="00B561A1">
              <w:rPr>
                <w:rFonts w:ascii="Times New Roman" w:hAnsi="Times New Roman" w:cs="Times New Roman"/>
                <w:b/>
                <w:sz w:val="18"/>
                <w:szCs w:val="18"/>
                <w:lang w:val="en-US"/>
              </w:rPr>
              <w:t>) :</w:t>
            </w:r>
            <w:proofErr w:type="gramEnd"/>
            <w:r w:rsidRPr="00B561A1">
              <w:rPr>
                <w:rFonts w:ascii="Times New Roman" w:hAnsi="Times New Roman" w:cs="Times New Roman"/>
                <w:b/>
                <w:sz w:val="18"/>
                <w:szCs w:val="18"/>
                <w:lang w:val="en-US"/>
              </w:rPr>
              <w:t xml:space="preserve"> sum of the 3 parameters</w:t>
            </w:r>
          </w:p>
        </w:tc>
      </w:tr>
    </w:tbl>
    <w:p w14:paraId="7D557F94" w14:textId="77777777" w:rsidR="00872D48" w:rsidRDefault="00872D48" w:rsidP="00872D48">
      <w:pPr>
        <w:rPr>
          <w:rFonts w:ascii="Times New Roman" w:hAnsi="Times New Roman" w:cs="Times New Roman"/>
          <w:lang w:val="en-US"/>
        </w:rPr>
      </w:pPr>
      <w:r w:rsidRPr="00B3EC7C">
        <w:rPr>
          <w:rFonts w:ascii="Times New Roman" w:hAnsi="Times New Roman" w:cs="Times New Roman"/>
          <w:b/>
          <w:bCs/>
          <w:lang w:val="en-US"/>
        </w:rPr>
        <w:t xml:space="preserve">Supplementary Table 1. Scores of </w:t>
      </w:r>
      <w:proofErr w:type="gramStart"/>
      <w:r w:rsidRPr="00B3EC7C">
        <w:rPr>
          <w:rFonts w:ascii="Times New Roman" w:hAnsi="Times New Roman" w:cs="Times New Roman"/>
          <w:b/>
          <w:bCs/>
          <w:lang w:val="en-US"/>
        </w:rPr>
        <w:t>inflammation</w:t>
      </w:r>
      <w:proofErr w:type="gramEnd"/>
      <w:r w:rsidRPr="00B3EC7C">
        <w:rPr>
          <w:rFonts w:ascii="Times New Roman" w:hAnsi="Times New Roman" w:cs="Times New Roman"/>
          <w:b/>
          <w:bCs/>
          <w:lang w:val="en-US"/>
        </w:rPr>
        <w:t>.</w:t>
      </w:r>
      <w:r w:rsidRPr="00B3EC7C">
        <w:rPr>
          <w:rFonts w:ascii="Times New Roman" w:hAnsi="Times New Roman" w:cs="Times New Roman"/>
          <w:lang w:val="en-US"/>
        </w:rPr>
        <w:t xml:space="preserve"> The peripheral skin inflammation was assessed clinically at the level of the external orifice and the endoscopic</w:t>
      </w:r>
      <w:r>
        <w:rPr>
          <w:rFonts w:ascii="Times New Roman" w:hAnsi="Times New Roman" w:cs="Times New Roman"/>
          <w:lang w:val="en-US"/>
        </w:rPr>
        <w:t xml:space="preserve"> </w:t>
      </w:r>
      <w:r w:rsidRPr="00B3EC7C">
        <w:rPr>
          <w:rFonts w:ascii="Times New Roman" w:hAnsi="Times New Roman" w:cs="Times New Roman"/>
          <w:lang w:val="en-US"/>
        </w:rPr>
        <w:t>inflammation score was assessed at the level of the internal orifice.</w:t>
      </w:r>
    </w:p>
    <w:p w14:paraId="540C44D4" w14:textId="77777777" w:rsidR="00872D48" w:rsidRPr="00F0332A" w:rsidRDefault="00872D48" w:rsidP="00872D48">
      <w:pPr>
        <w:rPr>
          <w:rFonts w:ascii="Times New Roman" w:hAnsi="Times New Roman" w:cs="Times New Roman"/>
          <w:lang w:val="en-US"/>
        </w:rPr>
      </w:pPr>
    </w:p>
    <w:p w14:paraId="75B960CA" w14:textId="77777777" w:rsidR="00872D48" w:rsidRDefault="00872D48" w:rsidP="00872D48">
      <w:pPr>
        <w:rPr>
          <w:lang w:val="en-US"/>
        </w:rPr>
      </w:pPr>
    </w:p>
    <w:p w14:paraId="6B897633" w14:textId="77777777" w:rsidR="00872D48" w:rsidRDefault="00872D48" w:rsidP="00872D48">
      <w:pPr>
        <w:pStyle w:val="Sansinterligne"/>
        <w:rPr>
          <w:rFonts w:ascii="Times New Roman" w:eastAsia="Times New Roman" w:hAnsi="Times New Roman" w:cs="Times New Roman"/>
          <w:b/>
          <w:bCs/>
          <w:color w:val="000000" w:themeColor="text1"/>
          <w:sz w:val="22"/>
          <w:szCs w:val="22"/>
          <w:lang w:val="en-US"/>
        </w:rPr>
      </w:pPr>
    </w:p>
    <w:p w14:paraId="138860B7" w14:textId="77777777" w:rsidR="00872D48" w:rsidRDefault="00872D48" w:rsidP="00872D48">
      <w:pPr>
        <w:pStyle w:val="Sansinterligne"/>
        <w:rPr>
          <w:rFonts w:ascii="Times New Roman" w:eastAsia="Times New Roman" w:hAnsi="Times New Roman" w:cs="Times New Roman"/>
          <w:b/>
          <w:bCs/>
          <w:color w:val="000000" w:themeColor="text1"/>
          <w:sz w:val="22"/>
          <w:szCs w:val="22"/>
          <w:lang w:val="en-US"/>
        </w:rPr>
      </w:pPr>
    </w:p>
    <w:p w14:paraId="71F30C64" w14:textId="77777777" w:rsidR="00872D48" w:rsidRPr="00F0332A" w:rsidRDefault="00872D48" w:rsidP="00872D48">
      <w:pPr>
        <w:rPr>
          <w:rFonts w:ascii="Times New Roman" w:hAnsi="Times New Roman" w:cs="Times New Roman"/>
          <w:lang w:val="en-US"/>
        </w:rPr>
      </w:pPr>
      <w:r>
        <w:rPr>
          <w:rFonts w:ascii="Times New Roman" w:hAnsi="Times New Roman" w:cs="Times New Roman"/>
          <w:b/>
          <w:bCs/>
          <w:lang w:val="en-US"/>
        </w:rPr>
        <w:t xml:space="preserve">Supplementary </w:t>
      </w:r>
      <w:r w:rsidRPr="2C802F27">
        <w:rPr>
          <w:rFonts w:ascii="Times New Roman" w:hAnsi="Times New Roman" w:cs="Times New Roman"/>
          <w:b/>
          <w:bCs/>
          <w:lang w:val="en-US"/>
        </w:rPr>
        <w:t xml:space="preserve">Table </w:t>
      </w:r>
      <w:r>
        <w:rPr>
          <w:rFonts w:ascii="Times New Roman" w:hAnsi="Times New Roman" w:cs="Times New Roman"/>
          <w:b/>
          <w:bCs/>
          <w:lang w:val="en-US"/>
        </w:rPr>
        <w:t>2</w:t>
      </w:r>
      <w:r w:rsidRPr="2C802F27">
        <w:rPr>
          <w:rFonts w:ascii="Times New Roman" w:hAnsi="Times New Roman" w:cs="Times New Roman"/>
          <w:b/>
          <w:bCs/>
          <w:lang w:val="en-US"/>
        </w:rPr>
        <w:t>. ADSC EV mean, modal and median size assessed by NTA.</w:t>
      </w:r>
      <w:r w:rsidRPr="2C802F27">
        <w:rPr>
          <w:rFonts w:ascii="Times New Roman" w:hAnsi="Times New Roman" w:cs="Times New Roman"/>
          <w:lang w:val="en-US"/>
        </w:rPr>
        <w:t xml:space="preserve"> Results are presented as mean ± SD of all 13 productions.</w:t>
      </w:r>
    </w:p>
    <w:tbl>
      <w:tblPr>
        <w:tblStyle w:val="Grilledutableau"/>
        <w:tblW w:w="0" w:type="auto"/>
        <w:tblCellMar>
          <w:top w:w="28" w:type="dxa"/>
          <w:bottom w:w="28" w:type="dxa"/>
        </w:tblCellMar>
        <w:tblLook w:val="04A0" w:firstRow="1" w:lastRow="0" w:firstColumn="1" w:lastColumn="0" w:noHBand="0" w:noVBand="1"/>
      </w:tblPr>
      <w:tblGrid>
        <w:gridCol w:w="1794"/>
        <w:gridCol w:w="1793"/>
        <w:gridCol w:w="1794"/>
        <w:gridCol w:w="1795"/>
        <w:gridCol w:w="1890"/>
      </w:tblGrid>
      <w:tr w:rsidR="00872D48" w14:paraId="2A1E801F" w14:textId="77777777" w:rsidTr="003D2273">
        <w:trPr>
          <w:trHeight w:val="300"/>
        </w:trPr>
        <w:tc>
          <w:tcPr>
            <w:tcW w:w="1842" w:type="dxa"/>
            <w:vMerge w:val="restart"/>
            <w:tcBorders>
              <w:top w:val="single" w:sz="4" w:space="0" w:color="auto"/>
              <w:left w:val="nil"/>
              <w:right w:val="nil"/>
            </w:tcBorders>
            <w:shd w:val="clear" w:color="auto" w:fill="F2F2F2" w:themeFill="background1" w:themeFillShade="F2"/>
            <w:vAlign w:val="center"/>
          </w:tcPr>
          <w:p w14:paraId="142F5636" w14:textId="77777777" w:rsidR="00872D48" w:rsidRDefault="00872D48" w:rsidP="003D2273">
            <w:pPr>
              <w:jc w:val="center"/>
              <w:rPr>
                <w:rFonts w:ascii="Times New Roman" w:hAnsi="Times New Roman" w:cs="Times New Roman"/>
                <w:sz w:val="18"/>
                <w:szCs w:val="18"/>
                <w:lang w:val="en-US"/>
              </w:rPr>
            </w:pPr>
          </w:p>
        </w:tc>
        <w:tc>
          <w:tcPr>
            <w:tcW w:w="5527" w:type="dxa"/>
            <w:gridSpan w:val="3"/>
            <w:tcBorders>
              <w:top w:val="single" w:sz="4" w:space="0" w:color="auto"/>
              <w:left w:val="nil"/>
              <w:bottom w:val="nil"/>
              <w:right w:val="nil"/>
            </w:tcBorders>
            <w:shd w:val="clear" w:color="auto" w:fill="F2F2F2" w:themeFill="background1" w:themeFillShade="F2"/>
            <w:vAlign w:val="bottom"/>
          </w:tcPr>
          <w:p w14:paraId="770B0F16"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Turbulence-</w:t>
            </w:r>
            <w:proofErr w:type="spellStart"/>
            <w:r w:rsidRPr="2C802F27">
              <w:rPr>
                <w:rFonts w:ascii="Times New Roman" w:hAnsi="Times New Roman" w:cs="Times New Roman"/>
                <w:sz w:val="18"/>
                <w:szCs w:val="18"/>
              </w:rPr>
              <w:t>triggered</w:t>
            </w:r>
            <w:proofErr w:type="spellEnd"/>
            <w:r w:rsidRPr="2C802F27">
              <w:rPr>
                <w:rFonts w:ascii="Times New Roman" w:hAnsi="Times New Roman" w:cs="Times New Roman"/>
                <w:sz w:val="18"/>
                <w:szCs w:val="18"/>
              </w:rPr>
              <w:t xml:space="preserve"> production</w:t>
            </w:r>
          </w:p>
        </w:tc>
        <w:tc>
          <w:tcPr>
            <w:tcW w:w="1905" w:type="dxa"/>
            <w:vMerge w:val="restart"/>
            <w:tcBorders>
              <w:top w:val="single" w:sz="4" w:space="0" w:color="auto"/>
              <w:left w:val="nil"/>
              <w:bottom w:val="single" w:sz="4" w:space="0" w:color="auto"/>
              <w:right w:val="nil"/>
            </w:tcBorders>
            <w:shd w:val="clear" w:color="auto" w:fill="F2F2F2" w:themeFill="background1" w:themeFillShade="F2"/>
            <w:vAlign w:val="center"/>
          </w:tcPr>
          <w:p w14:paraId="7E4EA50B" w14:textId="77777777" w:rsidR="00872D48" w:rsidRDefault="00872D48" w:rsidP="003D2273">
            <w:pPr>
              <w:jc w:val="center"/>
              <w:rPr>
                <w:rFonts w:ascii="Times New Roman" w:hAnsi="Times New Roman" w:cs="Times New Roman"/>
                <w:sz w:val="18"/>
                <w:szCs w:val="18"/>
              </w:rPr>
            </w:pPr>
            <w:proofErr w:type="spellStart"/>
            <w:r w:rsidRPr="2C802F27">
              <w:rPr>
                <w:rFonts w:ascii="Times New Roman" w:hAnsi="Times New Roman" w:cs="Times New Roman"/>
                <w:sz w:val="18"/>
                <w:szCs w:val="18"/>
              </w:rPr>
              <w:t>After</w:t>
            </w:r>
            <w:proofErr w:type="spellEnd"/>
            <w:r w:rsidRPr="2C802F27">
              <w:rPr>
                <w:rFonts w:ascii="Times New Roman" w:hAnsi="Times New Roman" w:cs="Times New Roman"/>
                <w:sz w:val="18"/>
                <w:szCs w:val="18"/>
              </w:rPr>
              <w:t xml:space="preserve"> ultracentrifugation</w:t>
            </w:r>
          </w:p>
        </w:tc>
      </w:tr>
      <w:tr w:rsidR="00872D48" w14:paraId="0F2FEFF8" w14:textId="77777777" w:rsidTr="003D2273">
        <w:trPr>
          <w:trHeight w:val="164"/>
        </w:trPr>
        <w:tc>
          <w:tcPr>
            <w:tcW w:w="1842" w:type="dxa"/>
            <w:vMerge/>
            <w:tcBorders>
              <w:top w:val="nil"/>
              <w:left w:val="nil"/>
              <w:right w:val="nil"/>
            </w:tcBorders>
            <w:shd w:val="clear" w:color="auto" w:fill="F2F2F2" w:themeFill="background1" w:themeFillShade="F2"/>
          </w:tcPr>
          <w:p w14:paraId="6F25F91B" w14:textId="77777777" w:rsidR="00872D48" w:rsidRDefault="00872D48" w:rsidP="003D2273"/>
        </w:tc>
        <w:tc>
          <w:tcPr>
            <w:tcW w:w="1842" w:type="dxa"/>
            <w:tcBorders>
              <w:top w:val="nil"/>
              <w:left w:val="nil"/>
              <w:bottom w:val="single" w:sz="4" w:space="0" w:color="auto"/>
              <w:right w:val="nil"/>
            </w:tcBorders>
            <w:shd w:val="clear" w:color="auto" w:fill="F2F2F2" w:themeFill="background1" w:themeFillShade="F2"/>
            <w:vAlign w:val="center"/>
          </w:tcPr>
          <w:p w14:paraId="1ED26477"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T0</w:t>
            </w:r>
          </w:p>
        </w:tc>
        <w:tc>
          <w:tcPr>
            <w:tcW w:w="1842" w:type="dxa"/>
            <w:tcBorders>
              <w:top w:val="nil"/>
              <w:left w:val="nil"/>
              <w:bottom w:val="single" w:sz="4" w:space="0" w:color="auto"/>
              <w:right w:val="nil"/>
            </w:tcBorders>
            <w:shd w:val="clear" w:color="auto" w:fill="F2F2F2" w:themeFill="background1" w:themeFillShade="F2"/>
            <w:vAlign w:val="center"/>
          </w:tcPr>
          <w:p w14:paraId="0864F330"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T2</w:t>
            </w:r>
          </w:p>
        </w:tc>
        <w:tc>
          <w:tcPr>
            <w:tcW w:w="1843" w:type="dxa"/>
            <w:tcBorders>
              <w:top w:val="nil"/>
              <w:left w:val="nil"/>
              <w:bottom w:val="single" w:sz="4" w:space="0" w:color="auto"/>
              <w:right w:val="nil"/>
            </w:tcBorders>
            <w:shd w:val="clear" w:color="auto" w:fill="F2F2F2" w:themeFill="background1" w:themeFillShade="F2"/>
            <w:vAlign w:val="center"/>
          </w:tcPr>
          <w:p w14:paraId="23D236A1"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T4</w:t>
            </w:r>
          </w:p>
        </w:tc>
        <w:tc>
          <w:tcPr>
            <w:tcW w:w="1905" w:type="dxa"/>
            <w:vMerge/>
            <w:tcBorders>
              <w:left w:val="nil"/>
              <w:right w:val="nil"/>
            </w:tcBorders>
          </w:tcPr>
          <w:p w14:paraId="52868F2F" w14:textId="77777777" w:rsidR="00872D48" w:rsidRDefault="00872D48" w:rsidP="003D2273"/>
        </w:tc>
      </w:tr>
      <w:tr w:rsidR="00872D48" w14:paraId="00842FC2" w14:textId="77777777" w:rsidTr="003D2273">
        <w:trPr>
          <w:trHeight w:val="300"/>
        </w:trPr>
        <w:tc>
          <w:tcPr>
            <w:tcW w:w="1842" w:type="dxa"/>
            <w:tcBorders>
              <w:left w:val="nil"/>
              <w:bottom w:val="nil"/>
              <w:right w:val="nil"/>
            </w:tcBorders>
            <w:vAlign w:val="center"/>
          </w:tcPr>
          <w:p w14:paraId="3D15B42B" w14:textId="77777777" w:rsidR="00872D48" w:rsidRDefault="00872D48" w:rsidP="003D2273">
            <w:pPr>
              <w:jc w:val="center"/>
              <w:rPr>
                <w:rFonts w:ascii="Times New Roman" w:hAnsi="Times New Roman" w:cs="Times New Roman"/>
                <w:sz w:val="18"/>
                <w:szCs w:val="18"/>
              </w:rPr>
            </w:pPr>
            <w:proofErr w:type="spellStart"/>
            <w:r w:rsidRPr="2C802F27">
              <w:rPr>
                <w:rFonts w:ascii="Times New Roman" w:hAnsi="Times New Roman" w:cs="Times New Roman"/>
                <w:sz w:val="18"/>
                <w:szCs w:val="18"/>
              </w:rPr>
              <w:t>Mean</w:t>
            </w:r>
            <w:proofErr w:type="spellEnd"/>
            <w:r w:rsidRPr="2C802F27">
              <w:rPr>
                <w:rFonts w:ascii="Times New Roman" w:hAnsi="Times New Roman" w:cs="Times New Roman"/>
                <w:sz w:val="18"/>
                <w:szCs w:val="18"/>
              </w:rPr>
              <w:t xml:space="preserve"> size (nm)</w:t>
            </w:r>
          </w:p>
        </w:tc>
        <w:tc>
          <w:tcPr>
            <w:tcW w:w="1842" w:type="dxa"/>
            <w:tcBorders>
              <w:top w:val="single" w:sz="4" w:space="0" w:color="auto"/>
              <w:left w:val="nil"/>
              <w:bottom w:val="nil"/>
              <w:right w:val="nil"/>
            </w:tcBorders>
            <w:vAlign w:val="center"/>
          </w:tcPr>
          <w:p w14:paraId="04AD9C82" w14:textId="77777777" w:rsidR="00872D48" w:rsidRDefault="00872D48" w:rsidP="003D2273">
            <w:pPr>
              <w:jc w:val="center"/>
              <w:rPr>
                <w:rFonts w:ascii="Times New Roman" w:hAnsi="Times New Roman" w:cs="Times New Roman"/>
                <w:sz w:val="18"/>
                <w:szCs w:val="18"/>
              </w:rPr>
            </w:pPr>
            <w:proofErr w:type="gramStart"/>
            <w:r w:rsidRPr="2C802F27">
              <w:rPr>
                <w:rFonts w:ascii="Times New Roman" w:hAnsi="Times New Roman" w:cs="Times New Roman"/>
                <w:sz w:val="18"/>
                <w:szCs w:val="18"/>
              </w:rPr>
              <w:t>150.91  (</w:t>
            </w:r>
            <w:proofErr w:type="gramEnd"/>
            <w:r w:rsidRPr="2C802F27">
              <w:rPr>
                <w:rFonts w:ascii="Times New Roman" w:hAnsi="Times New Roman" w:cs="Times New Roman"/>
                <w:sz w:val="18"/>
                <w:szCs w:val="18"/>
              </w:rPr>
              <w:t>21.99)</w:t>
            </w:r>
          </w:p>
        </w:tc>
        <w:tc>
          <w:tcPr>
            <w:tcW w:w="1842" w:type="dxa"/>
            <w:tcBorders>
              <w:top w:val="nil"/>
              <w:left w:val="nil"/>
              <w:bottom w:val="nil"/>
              <w:right w:val="nil"/>
            </w:tcBorders>
            <w:vAlign w:val="center"/>
          </w:tcPr>
          <w:p w14:paraId="1359D443"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164.71 (18.92)</w:t>
            </w:r>
          </w:p>
        </w:tc>
        <w:tc>
          <w:tcPr>
            <w:tcW w:w="1843" w:type="dxa"/>
            <w:tcBorders>
              <w:top w:val="nil"/>
              <w:left w:val="nil"/>
              <w:bottom w:val="nil"/>
              <w:right w:val="nil"/>
            </w:tcBorders>
            <w:vAlign w:val="center"/>
          </w:tcPr>
          <w:p w14:paraId="7830C82E"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159.36 (26.20)</w:t>
            </w:r>
          </w:p>
        </w:tc>
        <w:tc>
          <w:tcPr>
            <w:tcW w:w="1905" w:type="dxa"/>
            <w:tcBorders>
              <w:top w:val="single" w:sz="4" w:space="0" w:color="auto"/>
              <w:left w:val="nil"/>
              <w:bottom w:val="nil"/>
              <w:right w:val="nil"/>
            </w:tcBorders>
            <w:vAlign w:val="center"/>
          </w:tcPr>
          <w:p w14:paraId="027C959C"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179.70 (26.53)</w:t>
            </w:r>
          </w:p>
        </w:tc>
      </w:tr>
      <w:tr w:rsidR="00872D48" w14:paraId="7C110898" w14:textId="77777777" w:rsidTr="003D2273">
        <w:trPr>
          <w:trHeight w:val="300"/>
        </w:trPr>
        <w:tc>
          <w:tcPr>
            <w:tcW w:w="1842" w:type="dxa"/>
            <w:tcBorders>
              <w:top w:val="nil"/>
              <w:left w:val="nil"/>
              <w:bottom w:val="nil"/>
              <w:right w:val="nil"/>
            </w:tcBorders>
            <w:vAlign w:val="center"/>
          </w:tcPr>
          <w:p w14:paraId="6A28CDCA"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Modal size (nm)</w:t>
            </w:r>
          </w:p>
        </w:tc>
        <w:tc>
          <w:tcPr>
            <w:tcW w:w="1842" w:type="dxa"/>
            <w:tcBorders>
              <w:top w:val="nil"/>
              <w:left w:val="nil"/>
              <w:bottom w:val="nil"/>
              <w:right w:val="nil"/>
            </w:tcBorders>
            <w:vAlign w:val="center"/>
          </w:tcPr>
          <w:p w14:paraId="3A6BA494"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103.8 (15.45)</w:t>
            </w:r>
          </w:p>
        </w:tc>
        <w:tc>
          <w:tcPr>
            <w:tcW w:w="1842" w:type="dxa"/>
            <w:tcBorders>
              <w:top w:val="nil"/>
              <w:left w:val="nil"/>
              <w:bottom w:val="nil"/>
              <w:right w:val="nil"/>
            </w:tcBorders>
            <w:vAlign w:val="center"/>
          </w:tcPr>
          <w:p w14:paraId="4E95A592"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104.7 (9.30)</w:t>
            </w:r>
          </w:p>
        </w:tc>
        <w:tc>
          <w:tcPr>
            <w:tcW w:w="1843" w:type="dxa"/>
            <w:tcBorders>
              <w:top w:val="nil"/>
              <w:left w:val="nil"/>
              <w:bottom w:val="nil"/>
              <w:right w:val="nil"/>
            </w:tcBorders>
            <w:vAlign w:val="center"/>
          </w:tcPr>
          <w:p w14:paraId="5DFDA9C7"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103.73 (11.56)</w:t>
            </w:r>
          </w:p>
        </w:tc>
        <w:tc>
          <w:tcPr>
            <w:tcW w:w="1905" w:type="dxa"/>
            <w:tcBorders>
              <w:top w:val="nil"/>
              <w:left w:val="nil"/>
              <w:bottom w:val="nil"/>
              <w:right w:val="nil"/>
            </w:tcBorders>
            <w:vAlign w:val="center"/>
          </w:tcPr>
          <w:p w14:paraId="67672C07"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113.13 (12.17)</w:t>
            </w:r>
          </w:p>
        </w:tc>
      </w:tr>
      <w:tr w:rsidR="00872D48" w14:paraId="69A99296" w14:textId="77777777" w:rsidTr="003D2273">
        <w:trPr>
          <w:trHeight w:val="300"/>
        </w:trPr>
        <w:tc>
          <w:tcPr>
            <w:tcW w:w="1842" w:type="dxa"/>
            <w:tcBorders>
              <w:top w:val="nil"/>
              <w:left w:val="nil"/>
              <w:right w:val="nil"/>
            </w:tcBorders>
            <w:vAlign w:val="center"/>
          </w:tcPr>
          <w:p w14:paraId="34839951" w14:textId="77777777" w:rsidR="00872D48" w:rsidRDefault="00872D48" w:rsidP="003D2273">
            <w:pPr>
              <w:jc w:val="center"/>
              <w:rPr>
                <w:rFonts w:ascii="Times New Roman" w:hAnsi="Times New Roman" w:cs="Times New Roman"/>
                <w:sz w:val="18"/>
                <w:szCs w:val="18"/>
              </w:rPr>
            </w:pPr>
            <w:proofErr w:type="spellStart"/>
            <w:r w:rsidRPr="2C802F27">
              <w:rPr>
                <w:rFonts w:ascii="Times New Roman" w:hAnsi="Times New Roman" w:cs="Times New Roman"/>
                <w:sz w:val="18"/>
                <w:szCs w:val="18"/>
              </w:rPr>
              <w:t>Median</w:t>
            </w:r>
            <w:proofErr w:type="spellEnd"/>
            <w:r w:rsidRPr="2C802F27">
              <w:rPr>
                <w:rFonts w:ascii="Times New Roman" w:hAnsi="Times New Roman" w:cs="Times New Roman"/>
                <w:sz w:val="18"/>
                <w:szCs w:val="18"/>
              </w:rPr>
              <w:t xml:space="preserve"> size (nm)</w:t>
            </w:r>
          </w:p>
        </w:tc>
        <w:tc>
          <w:tcPr>
            <w:tcW w:w="1842" w:type="dxa"/>
            <w:tcBorders>
              <w:top w:val="nil"/>
              <w:left w:val="nil"/>
              <w:right w:val="nil"/>
            </w:tcBorders>
            <w:vAlign w:val="center"/>
          </w:tcPr>
          <w:p w14:paraId="379D9A0F"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156.68 (4.08)</w:t>
            </w:r>
          </w:p>
        </w:tc>
        <w:tc>
          <w:tcPr>
            <w:tcW w:w="1842" w:type="dxa"/>
            <w:tcBorders>
              <w:top w:val="nil"/>
              <w:left w:val="nil"/>
              <w:right w:val="nil"/>
            </w:tcBorders>
            <w:vAlign w:val="center"/>
          </w:tcPr>
          <w:p w14:paraId="342BFEED"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153.89 (14.06)</w:t>
            </w:r>
          </w:p>
        </w:tc>
        <w:tc>
          <w:tcPr>
            <w:tcW w:w="1843" w:type="dxa"/>
            <w:tcBorders>
              <w:top w:val="nil"/>
              <w:left w:val="nil"/>
              <w:right w:val="nil"/>
            </w:tcBorders>
            <w:vAlign w:val="center"/>
          </w:tcPr>
          <w:p w14:paraId="16DF9CE5"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150.1 (14.87)</w:t>
            </w:r>
          </w:p>
        </w:tc>
        <w:tc>
          <w:tcPr>
            <w:tcW w:w="1905" w:type="dxa"/>
            <w:tcBorders>
              <w:top w:val="nil"/>
              <w:left w:val="nil"/>
              <w:right w:val="nil"/>
            </w:tcBorders>
            <w:vAlign w:val="center"/>
          </w:tcPr>
          <w:p w14:paraId="1B92CC05" w14:textId="77777777" w:rsidR="00872D48" w:rsidRDefault="00872D48" w:rsidP="003D2273">
            <w:pPr>
              <w:jc w:val="center"/>
              <w:rPr>
                <w:rFonts w:ascii="Times New Roman" w:hAnsi="Times New Roman" w:cs="Times New Roman"/>
                <w:sz w:val="18"/>
                <w:szCs w:val="18"/>
              </w:rPr>
            </w:pPr>
            <w:r w:rsidRPr="2C802F27">
              <w:rPr>
                <w:rFonts w:ascii="Times New Roman" w:hAnsi="Times New Roman" w:cs="Times New Roman"/>
                <w:sz w:val="18"/>
                <w:szCs w:val="18"/>
              </w:rPr>
              <w:t>167.00 (2.13)</w:t>
            </w:r>
          </w:p>
        </w:tc>
      </w:tr>
    </w:tbl>
    <w:p w14:paraId="29697C3B" w14:textId="77777777" w:rsidR="00872D48" w:rsidRDefault="00872D48" w:rsidP="00872D48">
      <w:pPr>
        <w:rPr>
          <w:lang w:val="en-US"/>
        </w:rPr>
      </w:pPr>
    </w:p>
    <w:p w14:paraId="4ECFA0F3" w14:textId="77777777" w:rsidR="00872D48" w:rsidRDefault="00872D48" w:rsidP="00872D48">
      <w:pPr>
        <w:rPr>
          <w:lang w:val="en-US"/>
        </w:rPr>
      </w:pPr>
    </w:p>
    <w:p w14:paraId="0E5E68FD" w14:textId="77777777" w:rsidR="00872D48" w:rsidRPr="006B0EAF" w:rsidRDefault="00872D48" w:rsidP="00872D48">
      <w:pPr>
        <w:rPr>
          <w:rFonts w:ascii="Times New Roman" w:hAnsi="Times New Roman" w:cs="Times New Roman"/>
          <w:lang w:val="en-US"/>
        </w:rPr>
      </w:pPr>
      <w:r>
        <w:rPr>
          <w:rFonts w:ascii="Times New Roman" w:hAnsi="Times New Roman" w:cs="Times New Roman"/>
          <w:b/>
          <w:lang w:val="en-US"/>
        </w:rPr>
        <w:t xml:space="preserve">Supplementary </w:t>
      </w:r>
      <w:r w:rsidRPr="00FB24A2">
        <w:rPr>
          <w:rFonts w:ascii="Times New Roman" w:hAnsi="Times New Roman" w:cs="Times New Roman"/>
          <w:b/>
          <w:lang w:val="en-US"/>
        </w:rPr>
        <w:t xml:space="preserve">Table </w:t>
      </w:r>
      <w:r>
        <w:rPr>
          <w:rFonts w:ascii="Times New Roman" w:hAnsi="Times New Roman" w:cs="Times New Roman"/>
          <w:b/>
          <w:lang w:val="en-US"/>
        </w:rPr>
        <w:t>3</w:t>
      </w:r>
      <w:r>
        <w:rPr>
          <w:rFonts w:ascii="Times New Roman" w:hAnsi="Times New Roman" w:cs="Times New Roman"/>
          <w:lang w:val="en-US"/>
        </w:rPr>
        <w:t>.</w:t>
      </w:r>
      <w:r w:rsidRPr="00FB24A2">
        <w:rPr>
          <w:rFonts w:ascii="Times New Roman" w:hAnsi="Times New Roman" w:cs="Times New Roman"/>
          <w:lang w:val="en-US"/>
        </w:rPr>
        <w:t xml:space="preserve"> </w:t>
      </w:r>
      <w:r>
        <w:rPr>
          <w:rFonts w:ascii="Times New Roman" w:hAnsi="Times New Roman" w:cs="Times New Roman"/>
          <w:b/>
          <w:lang w:val="en-US"/>
        </w:rPr>
        <w:t xml:space="preserve">Histological scoring. </w:t>
      </w:r>
      <w:r>
        <w:rPr>
          <w:rFonts w:ascii="Times New Roman" w:hAnsi="Times New Roman" w:cs="Times New Roman"/>
          <w:lang w:val="en-US"/>
        </w:rPr>
        <w:t>The total histological score was calculated as the sum of all 3 parameters.</w:t>
      </w:r>
      <w:r w:rsidRPr="006B0EAF">
        <w:rPr>
          <w:rFonts w:ascii="Times New Roman" w:hAnsi="Times New Roman" w:cs="Times New Roman"/>
          <w:lang w:val="en-US"/>
        </w:rPr>
        <w:t xml:space="preserve"> </w:t>
      </w:r>
    </w:p>
    <w:tbl>
      <w:tblPr>
        <w:tblStyle w:val="Grilledutableau"/>
        <w:tblW w:w="8855" w:type="dxa"/>
        <w:jc w:val="center"/>
        <w:tblLayout w:type="fixed"/>
        <w:tblLook w:val="04A0" w:firstRow="1" w:lastRow="0" w:firstColumn="1" w:lastColumn="0" w:noHBand="0" w:noVBand="1"/>
      </w:tblPr>
      <w:tblGrid>
        <w:gridCol w:w="2551"/>
        <w:gridCol w:w="776"/>
        <w:gridCol w:w="1984"/>
        <w:gridCol w:w="1417"/>
        <w:gridCol w:w="1428"/>
        <w:gridCol w:w="699"/>
      </w:tblGrid>
      <w:tr w:rsidR="00872D48" w:rsidRPr="00FB24A2" w14:paraId="148E8DDF" w14:textId="77777777" w:rsidTr="003D2273">
        <w:trPr>
          <w:trHeight w:val="158"/>
          <w:jc w:val="center"/>
        </w:trPr>
        <w:tc>
          <w:tcPr>
            <w:tcW w:w="2551" w:type="dxa"/>
            <w:tcBorders>
              <w:top w:val="single" w:sz="4" w:space="0" w:color="auto"/>
              <w:left w:val="nil"/>
              <w:bottom w:val="single" w:sz="4" w:space="0" w:color="auto"/>
              <w:right w:val="nil"/>
            </w:tcBorders>
            <w:shd w:val="clear" w:color="auto" w:fill="F2F2F2" w:themeFill="background1" w:themeFillShade="F2"/>
            <w:vAlign w:val="center"/>
          </w:tcPr>
          <w:p w14:paraId="56EE7C2A" w14:textId="77777777" w:rsidR="00872D48" w:rsidRPr="00FB24A2" w:rsidRDefault="00872D48" w:rsidP="003D2273">
            <w:pPr>
              <w:jc w:val="center"/>
              <w:rPr>
                <w:rFonts w:ascii="Times New Roman" w:hAnsi="Times New Roman" w:cs="Times New Roman"/>
              </w:rPr>
            </w:pPr>
            <w:proofErr w:type="spellStart"/>
            <w:r w:rsidRPr="00FB24A2">
              <w:rPr>
                <w:rFonts w:ascii="Times New Roman" w:hAnsi="Times New Roman" w:cs="Times New Roman"/>
              </w:rPr>
              <w:t>Parameter</w:t>
            </w:r>
            <w:proofErr w:type="spellEnd"/>
          </w:p>
        </w:tc>
        <w:tc>
          <w:tcPr>
            <w:tcW w:w="776" w:type="dxa"/>
            <w:tcBorders>
              <w:top w:val="single" w:sz="4" w:space="0" w:color="auto"/>
              <w:left w:val="nil"/>
              <w:bottom w:val="single" w:sz="4" w:space="0" w:color="auto"/>
              <w:right w:val="nil"/>
            </w:tcBorders>
            <w:shd w:val="clear" w:color="auto" w:fill="F2F2F2" w:themeFill="background1" w:themeFillShade="F2"/>
            <w:vAlign w:val="center"/>
          </w:tcPr>
          <w:p w14:paraId="161E3153" w14:textId="77777777" w:rsidR="00872D48" w:rsidRPr="00FB24A2" w:rsidRDefault="00872D48" w:rsidP="003D2273">
            <w:pPr>
              <w:jc w:val="center"/>
              <w:rPr>
                <w:rFonts w:ascii="Times New Roman" w:hAnsi="Times New Roman" w:cs="Times New Roman"/>
              </w:rPr>
            </w:pPr>
            <w:r w:rsidRPr="00FB24A2">
              <w:rPr>
                <w:rFonts w:ascii="Times New Roman" w:hAnsi="Times New Roman" w:cs="Times New Roman"/>
              </w:rPr>
              <w:t>0</w:t>
            </w:r>
          </w:p>
        </w:tc>
        <w:tc>
          <w:tcPr>
            <w:tcW w:w="1984" w:type="dxa"/>
            <w:tcBorders>
              <w:top w:val="single" w:sz="4" w:space="0" w:color="auto"/>
              <w:left w:val="nil"/>
              <w:bottom w:val="single" w:sz="4" w:space="0" w:color="auto"/>
              <w:right w:val="nil"/>
            </w:tcBorders>
            <w:shd w:val="clear" w:color="auto" w:fill="F2F2F2" w:themeFill="background1" w:themeFillShade="F2"/>
            <w:vAlign w:val="center"/>
          </w:tcPr>
          <w:p w14:paraId="1F56FD5E" w14:textId="77777777" w:rsidR="00872D48" w:rsidRPr="00FB24A2" w:rsidRDefault="00872D48" w:rsidP="003D2273">
            <w:pPr>
              <w:jc w:val="center"/>
              <w:rPr>
                <w:rFonts w:ascii="Times New Roman" w:hAnsi="Times New Roman" w:cs="Times New Roman"/>
              </w:rPr>
            </w:pPr>
            <w:r w:rsidRPr="00FB24A2">
              <w:rPr>
                <w:rFonts w:ascii="Times New Roman" w:hAnsi="Times New Roman" w:cs="Times New Roman"/>
              </w:rPr>
              <w:t>1</w:t>
            </w:r>
          </w:p>
        </w:tc>
        <w:tc>
          <w:tcPr>
            <w:tcW w:w="1417" w:type="dxa"/>
            <w:tcBorders>
              <w:top w:val="single" w:sz="4" w:space="0" w:color="auto"/>
              <w:left w:val="nil"/>
              <w:bottom w:val="single" w:sz="4" w:space="0" w:color="auto"/>
              <w:right w:val="nil"/>
            </w:tcBorders>
            <w:shd w:val="clear" w:color="auto" w:fill="F2F2F2" w:themeFill="background1" w:themeFillShade="F2"/>
            <w:vAlign w:val="center"/>
          </w:tcPr>
          <w:p w14:paraId="6742CC2C" w14:textId="77777777" w:rsidR="00872D48" w:rsidRPr="00FB24A2" w:rsidRDefault="00872D48" w:rsidP="003D2273">
            <w:pPr>
              <w:jc w:val="center"/>
              <w:rPr>
                <w:rFonts w:ascii="Times New Roman" w:hAnsi="Times New Roman" w:cs="Times New Roman"/>
              </w:rPr>
            </w:pPr>
            <w:r w:rsidRPr="00FB24A2">
              <w:rPr>
                <w:rFonts w:ascii="Times New Roman" w:hAnsi="Times New Roman" w:cs="Times New Roman"/>
              </w:rPr>
              <w:t>2</w:t>
            </w:r>
          </w:p>
        </w:tc>
        <w:tc>
          <w:tcPr>
            <w:tcW w:w="1428" w:type="dxa"/>
            <w:tcBorders>
              <w:top w:val="single" w:sz="4" w:space="0" w:color="auto"/>
              <w:left w:val="nil"/>
              <w:bottom w:val="single" w:sz="4" w:space="0" w:color="auto"/>
              <w:right w:val="nil"/>
            </w:tcBorders>
            <w:shd w:val="clear" w:color="auto" w:fill="F2F2F2" w:themeFill="background1" w:themeFillShade="F2"/>
            <w:vAlign w:val="center"/>
          </w:tcPr>
          <w:p w14:paraId="089FA9B3" w14:textId="77777777" w:rsidR="00872D48" w:rsidRPr="00FB24A2" w:rsidRDefault="00872D48" w:rsidP="003D2273">
            <w:pPr>
              <w:jc w:val="center"/>
              <w:rPr>
                <w:rFonts w:ascii="Times New Roman" w:hAnsi="Times New Roman" w:cs="Times New Roman"/>
              </w:rPr>
            </w:pPr>
            <w:r w:rsidRPr="00FB24A2">
              <w:rPr>
                <w:rFonts w:ascii="Times New Roman" w:hAnsi="Times New Roman" w:cs="Times New Roman"/>
              </w:rPr>
              <w:t>3</w:t>
            </w:r>
          </w:p>
        </w:tc>
        <w:tc>
          <w:tcPr>
            <w:tcW w:w="699" w:type="dxa"/>
            <w:tcBorders>
              <w:top w:val="single" w:sz="4" w:space="0" w:color="auto"/>
              <w:left w:val="nil"/>
              <w:bottom w:val="single" w:sz="4" w:space="0" w:color="auto"/>
              <w:right w:val="nil"/>
            </w:tcBorders>
            <w:shd w:val="clear" w:color="auto" w:fill="F2F2F2" w:themeFill="background1" w:themeFillShade="F2"/>
            <w:vAlign w:val="center"/>
          </w:tcPr>
          <w:p w14:paraId="703DF936" w14:textId="77777777" w:rsidR="00872D48" w:rsidRPr="00FB24A2" w:rsidRDefault="00872D48" w:rsidP="003D2273">
            <w:pPr>
              <w:ind w:left="-121"/>
              <w:jc w:val="center"/>
              <w:rPr>
                <w:rFonts w:ascii="Times New Roman" w:hAnsi="Times New Roman" w:cs="Times New Roman"/>
              </w:rPr>
            </w:pPr>
            <w:r w:rsidRPr="00FB24A2">
              <w:rPr>
                <w:rFonts w:ascii="Times New Roman" w:hAnsi="Times New Roman" w:cs="Times New Roman"/>
              </w:rPr>
              <w:t>Total</w:t>
            </w:r>
          </w:p>
        </w:tc>
      </w:tr>
      <w:tr w:rsidR="00872D48" w:rsidRPr="00FB24A2" w14:paraId="2806BDB6" w14:textId="77777777" w:rsidTr="003D2273">
        <w:trPr>
          <w:trHeight w:val="1125"/>
          <w:jc w:val="center"/>
        </w:trPr>
        <w:tc>
          <w:tcPr>
            <w:tcW w:w="2551" w:type="dxa"/>
            <w:tcBorders>
              <w:top w:val="single" w:sz="4" w:space="0" w:color="auto"/>
              <w:left w:val="nil"/>
              <w:bottom w:val="nil"/>
              <w:right w:val="nil"/>
            </w:tcBorders>
            <w:vAlign w:val="center"/>
          </w:tcPr>
          <w:p w14:paraId="3BE5643A" w14:textId="77777777" w:rsidR="00872D48" w:rsidRPr="00FB24A2" w:rsidRDefault="00872D48" w:rsidP="003D2273">
            <w:pPr>
              <w:jc w:val="center"/>
              <w:rPr>
                <w:rFonts w:ascii="Times New Roman" w:hAnsi="Times New Roman" w:cs="Times New Roman"/>
              </w:rPr>
            </w:pPr>
            <w:proofErr w:type="spellStart"/>
            <w:r w:rsidRPr="00FB24A2">
              <w:rPr>
                <w:rFonts w:ascii="Times New Roman" w:hAnsi="Times New Roman" w:cs="Times New Roman"/>
              </w:rPr>
              <w:t>Epithelial</w:t>
            </w:r>
            <w:proofErr w:type="spellEnd"/>
            <w:r w:rsidRPr="00FB24A2">
              <w:rPr>
                <w:rFonts w:ascii="Times New Roman" w:hAnsi="Times New Roman" w:cs="Times New Roman"/>
              </w:rPr>
              <w:t xml:space="preserve"> damage</w:t>
            </w:r>
          </w:p>
        </w:tc>
        <w:tc>
          <w:tcPr>
            <w:tcW w:w="776" w:type="dxa"/>
            <w:tcBorders>
              <w:top w:val="single" w:sz="4" w:space="0" w:color="auto"/>
              <w:left w:val="nil"/>
              <w:bottom w:val="nil"/>
              <w:right w:val="nil"/>
            </w:tcBorders>
            <w:vAlign w:val="center"/>
          </w:tcPr>
          <w:p w14:paraId="6A42D218" w14:textId="77777777" w:rsidR="00872D48" w:rsidRPr="00914F3B" w:rsidRDefault="00872D48" w:rsidP="003D2273">
            <w:pPr>
              <w:jc w:val="center"/>
              <w:rPr>
                <w:rFonts w:ascii="Times New Roman" w:hAnsi="Times New Roman" w:cs="Times New Roman"/>
                <w:sz w:val="20"/>
              </w:rPr>
            </w:pPr>
            <w:r>
              <w:rPr>
                <w:rFonts w:ascii="Times New Roman" w:hAnsi="Times New Roman" w:cs="Times New Roman"/>
                <w:sz w:val="20"/>
              </w:rPr>
              <w:t>None</w:t>
            </w:r>
          </w:p>
        </w:tc>
        <w:tc>
          <w:tcPr>
            <w:tcW w:w="1984" w:type="dxa"/>
            <w:tcBorders>
              <w:top w:val="single" w:sz="4" w:space="0" w:color="auto"/>
              <w:left w:val="nil"/>
              <w:bottom w:val="nil"/>
              <w:right w:val="nil"/>
            </w:tcBorders>
            <w:vAlign w:val="center"/>
          </w:tcPr>
          <w:p w14:paraId="2082D86F" w14:textId="77777777" w:rsidR="00872D48" w:rsidRPr="00914F3B" w:rsidRDefault="00872D48" w:rsidP="003D2273">
            <w:pPr>
              <w:jc w:val="center"/>
              <w:rPr>
                <w:rFonts w:ascii="Times New Roman" w:hAnsi="Times New Roman" w:cs="Times New Roman"/>
                <w:sz w:val="20"/>
              </w:rPr>
            </w:pPr>
            <w:proofErr w:type="spellStart"/>
            <w:r w:rsidRPr="00914F3B">
              <w:rPr>
                <w:rFonts w:ascii="Times New Roman" w:hAnsi="Times New Roman" w:cs="Times New Roman"/>
                <w:sz w:val="20"/>
              </w:rPr>
              <w:t>Hyperproliferative</w:t>
            </w:r>
            <w:proofErr w:type="spellEnd"/>
          </w:p>
        </w:tc>
        <w:tc>
          <w:tcPr>
            <w:tcW w:w="1417" w:type="dxa"/>
            <w:tcBorders>
              <w:top w:val="single" w:sz="4" w:space="0" w:color="auto"/>
              <w:left w:val="nil"/>
              <w:bottom w:val="nil"/>
              <w:right w:val="nil"/>
            </w:tcBorders>
            <w:vAlign w:val="center"/>
          </w:tcPr>
          <w:p w14:paraId="56B5DB83" w14:textId="77777777" w:rsidR="00872D48" w:rsidRPr="00914F3B" w:rsidRDefault="00872D48" w:rsidP="003D2273">
            <w:pPr>
              <w:jc w:val="center"/>
              <w:rPr>
                <w:rFonts w:ascii="Times New Roman" w:hAnsi="Times New Roman" w:cs="Times New Roman"/>
                <w:sz w:val="20"/>
              </w:rPr>
            </w:pPr>
            <w:r>
              <w:rPr>
                <w:rFonts w:ascii="Times New Roman" w:hAnsi="Times New Roman" w:cs="Times New Roman"/>
                <w:sz w:val="20"/>
              </w:rPr>
              <w:t xml:space="preserve">&lt; 50% </w:t>
            </w:r>
            <w:proofErr w:type="spellStart"/>
            <w:r>
              <w:rPr>
                <w:rFonts w:ascii="Times New Roman" w:hAnsi="Times New Roman" w:cs="Times New Roman"/>
                <w:sz w:val="20"/>
              </w:rPr>
              <w:t>crypt</w:t>
            </w:r>
            <w:proofErr w:type="spellEnd"/>
            <w:r>
              <w:rPr>
                <w:rFonts w:ascii="Times New Roman" w:hAnsi="Times New Roman" w:cs="Times New Roman"/>
                <w:sz w:val="20"/>
              </w:rPr>
              <w:t xml:space="preserve"> </w:t>
            </w:r>
            <w:proofErr w:type="spellStart"/>
            <w:r w:rsidRPr="00914F3B">
              <w:rPr>
                <w:rFonts w:ascii="Times New Roman" w:hAnsi="Times New Roman" w:cs="Times New Roman"/>
                <w:sz w:val="20"/>
              </w:rPr>
              <w:t>loss</w:t>
            </w:r>
            <w:proofErr w:type="spellEnd"/>
          </w:p>
        </w:tc>
        <w:tc>
          <w:tcPr>
            <w:tcW w:w="1428" w:type="dxa"/>
            <w:tcBorders>
              <w:top w:val="single" w:sz="4" w:space="0" w:color="auto"/>
              <w:left w:val="nil"/>
              <w:bottom w:val="nil"/>
              <w:right w:val="nil"/>
            </w:tcBorders>
            <w:vAlign w:val="center"/>
          </w:tcPr>
          <w:p w14:paraId="19B30B7B" w14:textId="77777777" w:rsidR="00872D48" w:rsidRPr="006B0EAF" w:rsidRDefault="00872D48" w:rsidP="003D2273">
            <w:pPr>
              <w:jc w:val="center"/>
              <w:rPr>
                <w:rFonts w:ascii="Times New Roman" w:hAnsi="Times New Roman" w:cs="Times New Roman"/>
                <w:sz w:val="20"/>
                <w:lang w:val="en-US"/>
              </w:rPr>
            </w:pPr>
            <w:r>
              <w:rPr>
                <w:rFonts w:ascii="Times New Roman" w:hAnsi="Times New Roman" w:cs="Times New Roman"/>
                <w:sz w:val="20"/>
                <w:lang w:val="en-US"/>
              </w:rPr>
              <w:t>&gt; 50% crypt</w:t>
            </w:r>
            <w:r w:rsidRPr="006B0EAF">
              <w:rPr>
                <w:rFonts w:ascii="Times New Roman" w:hAnsi="Times New Roman" w:cs="Times New Roman"/>
                <w:sz w:val="20"/>
                <w:lang w:val="en-US"/>
              </w:rPr>
              <w:t xml:space="preserve"> loss, and/or ulceration</w:t>
            </w:r>
          </w:p>
        </w:tc>
        <w:tc>
          <w:tcPr>
            <w:tcW w:w="699" w:type="dxa"/>
            <w:tcBorders>
              <w:top w:val="single" w:sz="4" w:space="0" w:color="auto"/>
              <w:left w:val="nil"/>
              <w:bottom w:val="nil"/>
              <w:right w:val="nil"/>
            </w:tcBorders>
            <w:vAlign w:val="center"/>
          </w:tcPr>
          <w:p w14:paraId="04CC2DD3" w14:textId="77777777" w:rsidR="00872D48" w:rsidRPr="00914F3B" w:rsidRDefault="00872D48" w:rsidP="003D2273">
            <w:pPr>
              <w:jc w:val="center"/>
              <w:rPr>
                <w:rFonts w:ascii="Times New Roman" w:hAnsi="Times New Roman" w:cs="Times New Roman"/>
                <w:sz w:val="20"/>
              </w:rPr>
            </w:pPr>
            <w:r w:rsidRPr="00914F3B">
              <w:rPr>
                <w:rFonts w:ascii="Times New Roman" w:hAnsi="Times New Roman" w:cs="Times New Roman"/>
                <w:sz w:val="20"/>
              </w:rPr>
              <w:t>0-3</w:t>
            </w:r>
          </w:p>
        </w:tc>
      </w:tr>
      <w:tr w:rsidR="00872D48" w:rsidRPr="00FB24A2" w14:paraId="4200AAC9" w14:textId="77777777" w:rsidTr="003D2273">
        <w:trPr>
          <w:trHeight w:val="478"/>
          <w:jc w:val="center"/>
        </w:trPr>
        <w:tc>
          <w:tcPr>
            <w:tcW w:w="2551" w:type="dxa"/>
            <w:tcBorders>
              <w:top w:val="nil"/>
              <w:left w:val="nil"/>
              <w:bottom w:val="nil"/>
              <w:right w:val="nil"/>
            </w:tcBorders>
            <w:vAlign w:val="center"/>
          </w:tcPr>
          <w:p w14:paraId="25A8C297" w14:textId="77777777" w:rsidR="00872D48" w:rsidRPr="00FB24A2" w:rsidRDefault="00872D48" w:rsidP="003D2273">
            <w:pPr>
              <w:jc w:val="center"/>
              <w:rPr>
                <w:rFonts w:ascii="Times New Roman" w:hAnsi="Times New Roman" w:cs="Times New Roman"/>
              </w:rPr>
            </w:pPr>
            <w:proofErr w:type="spellStart"/>
            <w:r w:rsidRPr="00FB24A2">
              <w:rPr>
                <w:rFonts w:ascii="Times New Roman" w:hAnsi="Times New Roman" w:cs="Times New Roman"/>
              </w:rPr>
              <w:t>Mucosal</w:t>
            </w:r>
            <w:proofErr w:type="spellEnd"/>
            <w:r w:rsidRPr="00FB24A2">
              <w:rPr>
                <w:rFonts w:ascii="Times New Roman" w:hAnsi="Times New Roman" w:cs="Times New Roman"/>
              </w:rPr>
              <w:t xml:space="preserve"> inflammation</w:t>
            </w:r>
          </w:p>
        </w:tc>
        <w:tc>
          <w:tcPr>
            <w:tcW w:w="776" w:type="dxa"/>
            <w:tcBorders>
              <w:top w:val="nil"/>
              <w:left w:val="nil"/>
              <w:bottom w:val="nil"/>
              <w:right w:val="nil"/>
            </w:tcBorders>
            <w:vAlign w:val="center"/>
          </w:tcPr>
          <w:p w14:paraId="563DDBAB" w14:textId="77777777" w:rsidR="00872D48" w:rsidRPr="00914F3B" w:rsidRDefault="00872D48" w:rsidP="003D2273">
            <w:pPr>
              <w:jc w:val="center"/>
              <w:rPr>
                <w:rFonts w:ascii="Times New Roman" w:hAnsi="Times New Roman" w:cs="Times New Roman"/>
                <w:sz w:val="20"/>
              </w:rPr>
            </w:pPr>
            <w:r w:rsidRPr="00914F3B">
              <w:rPr>
                <w:rFonts w:ascii="Times New Roman" w:hAnsi="Times New Roman" w:cs="Times New Roman"/>
                <w:sz w:val="20"/>
              </w:rPr>
              <w:t>None</w:t>
            </w:r>
          </w:p>
        </w:tc>
        <w:tc>
          <w:tcPr>
            <w:tcW w:w="1984" w:type="dxa"/>
            <w:tcBorders>
              <w:top w:val="nil"/>
              <w:left w:val="nil"/>
              <w:bottom w:val="nil"/>
              <w:right w:val="nil"/>
            </w:tcBorders>
            <w:vAlign w:val="center"/>
          </w:tcPr>
          <w:p w14:paraId="1E210D88" w14:textId="77777777" w:rsidR="00872D48" w:rsidRPr="00914F3B" w:rsidRDefault="00872D48" w:rsidP="003D2273">
            <w:pPr>
              <w:jc w:val="center"/>
              <w:rPr>
                <w:rFonts w:ascii="Times New Roman" w:hAnsi="Times New Roman" w:cs="Times New Roman"/>
                <w:sz w:val="20"/>
              </w:rPr>
            </w:pPr>
            <w:proofErr w:type="spellStart"/>
            <w:r w:rsidRPr="00914F3B">
              <w:rPr>
                <w:rFonts w:ascii="Times New Roman" w:hAnsi="Times New Roman" w:cs="Times New Roman"/>
                <w:sz w:val="20"/>
              </w:rPr>
              <w:t>Mild</w:t>
            </w:r>
            <w:proofErr w:type="spellEnd"/>
          </w:p>
        </w:tc>
        <w:tc>
          <w:tcPr>
            <w:tcW w:w="1417" w:type="dxa"/>
            <w:tcBorders>
              <w:top w:val="nil"/>
              <w:left w:val="nil"/>
              <w:bottom w:val="nil"/>
              <w:right w:val="nil"/>
            </w:tcBorders>
            <w:vAlign w:val="center"/>
          </w:tcPr>
          <w:p w14:paraId="7510EF26" w14:textId="77777777" w:rsidR="00872D48" w:rsidRPr="00914F3B" w:rsidRDefault="00872D48" w:rsidP="003D2273">
            <w:pPr>
              <w:jc w:val="center"/>
              <w:rPr>
                <w:rFonts w:ascii="Times New Roman" w:hAnsi="Times New Roman" w:cs="Times New Roman"/>
                <w:sz w:val="20"/>
              </w:rPr>
            </w:pPr>
            <w:proofErr w:type="spellStart"/>
            <w:r w:rsidRPr="00914F3B">
              <w:rPr>
                <w:rFonts w:ascii="Times New Roman" w:hAnsi="Times New Roman" w:cs="Times New Roman"/>
                <w:sz w:val="20"/>
              </w:rPr>
              <w:t>Moderate</w:t>
            </w:r>
            <w:proofErr w:type="spellEnd"/>
          </w:p>
        </w:tc>
        <w:tc>
          <w:tcPr>
            <w:tcW w:w="1428" w:type="dxa"/>
            <w:tcBorders>
              <w:top w:val="nil"/>
              <w:left w:val="nil"/>
              <w:bottom w:val="nil"/>
              <w:right w:val="nil"/>
            </w:tcBorders>
            <w:vAlign w:val="center"/>
          </w:tcPr>
          <w:p w14:paraId="25B36F5B" w14:textId="77777777" w:rsidR="00872D48" w:rsidRPr="00914F3B" w:rsidRDefault="00872D48" w:rsidP="003D2273">
            <w:pPr>
              <w:jc w:val="center"/>
              <w:rPr>
                <w:rFonts w:ascii="Times New Roman" w:hAnsi="Times New Roman" w:cs="Times New Roman"/>
                <w:sz w:val="20"/>
              </w:rPr>
            </w:pPr>
            <w:proofErr w:type="spellStart"/>
            <w:r w:rsidRPr="00914F3B">
              <w:rPr>
                <w:rFonts w:ascii="Times New Roman" w:hAnsi="Times New Roman" w:cs="Times New Roman"/>
                <w:sz w:val="20"/>
              </w:rPr>
              <w:t>Severe</w:t>
            </w:r>
            <w:proofErr w:type="spellEnd"/>
          </w:p>
        </w:tc>
        <w:tc>
          <w:tcPr>
            <w:tcW w:w="699" w:type="dxa"/>
            <w:tcBorders>
              <w:top w:val="nil"/>
              <w:left w:val="nil"/>
              <w:bottom w:val="nil"/>
              <w:right w:val="nil"/>
            </w:tcBorders>
            <w:vAlign w:val="center"/>
          </w:tcPr>
          <w:p w14:paraId="6FC3B4EC" w14:textId="77777777" w:rsidR="00872D48" w:rsidRPr="00914F3B" w:rsidRDefault="00872D48" w:rsidP="003D2273">
            <w:pPr>
              <w:jc w:val="center"/>
              <w:rPr>
                <w:rFonts w:ascii="Times New Roman" w:hAnsi="Times New Roman" w:cs="Times New Roman"/>
                <w:sz w:val="20"/>
              </w:rPr>
            </w:pPr>
            <w:r w:rsidRPr="00914F3B">
              <w:rPr>
                <w:rFonts w:ascii="Times New Roman" w:hAnsi="Times New Roman" w:cs="Times New Roman"/>
                <w:sz w:val="20"/>
              </w:rPr>
              <w:t>0-3</w:t>
            </w:r>
          </w:p>
        </w:tc>
      </w:tr>
      <w:tr w:rsidR="00872D48" w:rsidRPr="00FB24A2" w14:paraId="47633D71" w14:textId="77777777" w:rsidTr="003D2273">
        <w:trPr>
          <w:trHeight w:val="486"/>
          <w:jc w:val="center"/>
        </w:trPr>
        <w:tc>
          <w:tcPr>
            <w:tcW w:w="2551" w:type="dxa"/>
            <w:tcBorders>
              <w:top w:val="nil"/>
              <w:left w:val="nil"/>
              <w:bottom w:val="single" w:sz="4" w:space="0" w:color="auto"/>
              <w:right w:val="nil"/>
            </w:tcBorders>
            <w:vAlign w:val="center"/>
          </w:tcPr>
          <w:p w14:paraId="2EA4ADF9" w14:textId="77777777" w:rsidR="00872D48" w:rsidRPr="00FB24A2" w:rsidRDefault="00872D48" w:rsidP="003D2273">
            <w:pPr>
              <w:tabs>
                <w:tab w:val="left" w:pos="2127"/>
              </w:tabs>
              <w:ind w:right="-108"/>
              <w:jc w:val="center"/>
              <w:rPr>
                <w:rFonts w:ascii="Times New Roman" w:hAnsi="Times New Roman" w:cs="Times New Roman"/>
              </w:rPr>
            </w:pPr>
            <w:proofErr w:type="spellStart"/>
            <w:r>
              <w:rPr>
                <w:rFonts w:ascii="Times New Roman" w:hAnsi="Times New Roman" w:cs="Times New Roman"/>
              </w:rPr>
              <w:t>Submucosal</w:t>
            </w:r>
            <w:proofErr w:type="spellEnd"/>
            <w:r>
              <w:rPr>
                <w:rFonts w:ascii="Times New Roman" w:hAnsi="Times New Roman" w:cs="Times New Roman"/>
              </w:rPr>
              <w:t xml:space="preserve"> inflammation</w:t>
            </w:r>
          </w:p>
        </w:tc>
        <w:tc>
          <w:tcPr>
            <w:tcW w:w="776" w:type="dxa"/>
            <w:tcBorders>
              <w:top w:val="nil"/>
              <w:left w:val="nil"/>
              <w:bottom w:val="single" w:sz="4" w:space="0" w:color="auto"/>
              <w:right w:val="nil"/>
            </w:tcBorders>
            <w:vAlign w:val="center"/>
          </w:tcPr>
          <w:p w14:paraId="7EB2F1D6" w14:textId="77777777" w:rsidR="00872D48" w:rsidRPr="00914F3B" w:rsidRDefault="00872D48" w:rsidP="003D2273">
            <w:pPr>
              <w:jc w:val="center"/>
              <w:rPr>
                <w:rFonts w:ascii="Times New Roman" w:hAnsi="Times New Roman" w:cs="Times New Roman"/>
                <w:sz w:val="20"/>
              </w:rPr>
            </w:pPr>
            <w:r w:rsidRPr="00914F3B">
              <w:rPr>
                <w:rFonts w:ascii="Times New Roman" w:hAnsi="Times New Roman" w:cs="Times New Roman"/>
                <w:sz w:val="20"/>
              </w:rPr>
              <w:t>None</w:t>
            </w:r>
          </w:p>
        </w:tc>
        <w:tc>
          <w:tcPr>
            <w:tcW w:w="1984" w:type="dxa"/>
            <w:tcBorders>
              <w:top w:val="nil"/>
              <w:left w:val="nil"/>
              <w:bottom w:val="single" w:sz="4" w:space="0" w:color="auto"/>
              <w:right w:val="nil"/>
            </w:tcBorders>
            <w:vAlign w:val="center"/>
          </w:tcPr>
          <w:p w14:paraId="31F48A6A" w14:textId="77777777" w:rsidR="00872D48" w:rsidRPr="00914F3B" w:rsidRDefault="00872D48" w:rsidP="003D2273">
            <w:pPr>
              <w:jc w:val="center"/>
              <w:rPr>
                <w:rFonts w:ascii="Times New Roman" w:hAnsi="Times New Roman" w:cs="Times New Roman"/>
                <w:sz w:val="20"/>
              </w:rPr>
            </w:pPr>
            <w:proofErr w:type="spellStart"/>
            <w:r w:rsidRPr="00914F3B">
              <w:rPr>
                <w:rFonts w:ascii="Times New Roman" w:hAnsi="Times New Roman" w:cs="Times New Roman"/>
                <w:sz w:val="20"/>
              </w:rPr>
              <w:t>Mild</w:t>
            </w:r>
            <w:proofErr w:type="spellEnd"/>
          </w:p>
        </w:tc>
        <w:tc>
          <w:tcPr>
            <w:tcW w:w="1417" w:type="dxa"/>
            <w:tcBorders>
              <w:top w:val="nil"/>
              <w:left w:val="nil"/>
              <w:bottom w:val="single" w:sz="4" w:space="0" w:color="auto"/>
              <w:right w:val="nil"/>
            </w:tcBorders>
            <w:vAlign w:val="center"/>
          </w:tcPr>
          <w:p w14:paraId="0D6EDF19" w14:textId="77777777" w:rsidR="00872D48" w:rsidRPr="00914F3B" w:rsidRDefault="00872D48" w:rsidP="003D2273">
            <w:pPr>
              <w:jc w:val="center"/>
              <w:rPr>
                <w:rFonts w:ascii="Times New Roman" w:hAnsi="Times New Roman" w:cs="Times New Roman"/>
                <w:sz w:val="20"/>
              </w:rPr>
            </w:pPr>
            <w:proofErr w:type="spellStart"/>
            <w:r w:rsidRPr="00914F3B">
              <w:rPr>
                <w:rFonts w:ascii="Times New Roman" w:hAnsi="Times New Roman" w:cs="Times New Roman"/>
                <w:sz w:val="20"/>
              </w:rPr>
              <w:t>Moderate</w:t>
            </w:r>
            <w:proofErr w:type="spellEnd"/>
          </w:p>
        </w:tc>
        <w:tc>
          <w:tcPr>
            <w:tcW w:w="1428" w:type="dxa"/>
            <w:tcBorders>
              <w:top w:val="nil"/>
              <w:left w:val="nil"/>
              <w:bottom w:val="single" w:sz="4" w:space="0" w:color="auto"/>
              <w:right w:val="nil"/>
            </w:tcBorders>
            <w:vAlign w:val="center"/>
          </w:tcPr>
          <w:p w14:paraId="71718CB5" w14:textId="77777777" w:rsidR="00872D48" w:rsidRPr="00914F3B" w:rsidRDefault="00872D48" w:rsidP="003D2273">
            <w:pPr>
              <w:jc w:val="center"/>
              <w:rPr>
                <w:rFonts w:ascii="Times New Roman" w:hAnsi="Times New Roman" w:cs="Times New Roman"/>
                <w:sz w:val="20"/>
              </w:rPr>
            </w:pPr>
            <w:proofErr w:type="spellStart"/>
            <w:r w:rsidRPr="00914F3B">
              <w:rPr>
                <w:rFonts w:ascii="Times New Roman" w:hAnsi="Times New Roman" w:cs="Times New Roman"/>
                <w:sz w:val="20"/>
              </w:rPr>
              <w:t>Severe</w:t>
            </w:r>
            <w:proofErr w:type="spellEnd"/>
          </w:p>
        </w:tc>
        <w:tc>
          <w:tcPr>
            <w:tcW w:w="699" w:type="dxa"/>
            <w:tcBorders>
              <w:top w:val="nil"/>
              <w:left w:val="nil"/>
              <w:bottom w:val="single" w:sz="4" w:space="0" w:color="auto"/>
              <w:right w:val="nil"/>
            </w:tcBorders>
            <w:vAlign w:val="center"/>
          </w:tcPr>
          <w:p w14:paraId="2C2FF8A9" w14:textId="77777777" w:rsidR="00872D48" w:rsidRPr="00914F3B" w:rsidRDefault="00872D48" w:rsidP="003D2273">
            <w:pPr>
              <w:jc w:val="center"/>
              <w:rPr>
                <w:rFonts w:ascii="Times New Roman" w:hAnsi="Times New Roman" w:cs="Times New Roman"/>
                <w:sz w:val="20"/>
              </w:rPr>
            </w:pPr>
            <w:r w:rsidRPr="00914F3B">
              <w:rPr>
                <w:rFonts w:ascii="Times New Roman" w:hAnsi="Times New Roman" w:cs="Times New Roman"/>
                <w:sz w:val="20"/>
              </w:rPr>
              <w:t>0-3</w:t>
            </w:r>
          </w:p>
        </w:tc>
      </w:tr>
    </w:tbl>
    <w:p w14:paraId="4538EDEB" w14:textId="77777777" w:rsidR="00872D48" w:rsidRDefault="00872D48" w:rsidP="00872D48">
      <w:pPr>
        <w:pStyle w:val="Sansinterligne"/>
        <w:rPr>
          <w:rFonts w:ascii="Times New Roman" w:eastAsia="Times New Roman" w:hAnsi="Times New Roman" w:cs="Times New Roman"/>
          <w:b/>
          <w:bCs/>
          <w:color w:val="000000" w:themeColor="text1"/>
          <w:sz w:val="22"/>
          <w:szCs w:val="22"/>
          <w:lang w:val="en-US"/>
        </w:rPr>
      </w:pPr>
    </w:p>
    <w:p w14:paraId="340C305B" w14:textId="77777777" w:rsidR="00872D48" w:rsidRDefault="00872D48" w:rsidP="00872D48">
      <w:pPr>
        <w:pStyle w:val="Sansinterligne"/>
        <w:rPr>
          <w:rFonts w:ascii="Times New Roman" w:hAnsi="Times New Roman" w:cs="Times New Roman"/>
          <w:lang w:val="en-US"/>
        </w:rPr>
      </w:pPr>
      <w:r>
        <w:rPr>
          <w:rFonts w:ascii="Times New Roman" w:hAnsi="Times New Roman" w:cs="Times New Roman"/>
          <w:b/>
          <w:bCs/>
          <w:lang w:val="en-US"/>
        </w:rPr>
        <w:t xml:space="preserve">Supplementary </w:t>
      </w:r>
      <w:proofErr w:type="gramStart"/>
      <w:r w:rsidRPr="2C802F27">
        <w:rPr>
          <w:rFonts w:ascii="Times New Roman" w:hAnsi="Times New Roman" w:cs="Times New Roman"/>
          <w:b/>
          <w:bCs/>
          <w:lang w:val="en-US"/>
        </w:rPr>
        <w:t xml:space="preserve">Table </w:t>
      </w:r>
      <w:r>
        <w:rPr>
          <w:rFonts w:ascii="Times New Roman" w:hAnsi="Times New Roman" w:cs="Times New Roman"/>
          <w:b/>
          <w:bCs/>
          <w:lang w:val="en-US"/>
        </w:rPr>
        <w:t xml:space="preserve"> 4</w:t>
      </w:r>
      <w:proofErr w:type="gramEnd"/>
      <w:r w:rsidRPr="2C802F27">
        <w:rPr>
          <w:rFonts w:ascii="Times New Roman" w:hAnsi="Times New Roman" w:cs="Times New Roman"/>
          <w:lang w:val="en-US"/>
        </w:rPr>
        <w:t xml:space="preserve">. </w:t>
      </w:r>
      <w:r>
        <w:rPr>
          <w:rFonts w:ascii="Times New Roman" w:hAnsi="Times New Roman" w:cs="Times New Roman"/>
          <w:lang w:val="en-US"/>
        </w:rPr>
        <w:t>FDG-</w:t>
      </w:r>
      <w:r w:rsidRPr="2C802F27">
        <w:rPr>
          <w:rFonts w:ascii="Times New Roman" w:hAnsi="Times New Roman" w:cs="Times New Roman"/>
          <w:b/>
          <w:bCs/>
          <w:lang w:val="en-US"/>
        </w:rPr>
        <w:t>PET-</w:t>
      </w:r>
      <w:r>
        <w:rPr>
          <w:rFonts w:ascii="Times New Roman" w:hAnsi="Times New Roman" w:cs="Times New Roman"/>
          <w:b/>
          <w:bCs/>
          <w:lang w:val="en-US"/>
        </w:rPr>
        <w:t>CT</w:t>
      </w:r>
      <w:r w:rsidRPr="2C802F27">
        <w:rPr>
          <w:rFonts w:ascii="Times New Roman" w:hAnsi="Times New Roman" w:cs="Times New Roman"/>
          <w:b/>
          <w:bCs/>
          <w:lang w:val="en-US"/>
        </w:rPr>
        <w:t xml:space="preserve"> assessment of inflammation in the control, gel, EV, EVG and ADSC groups in the rat model at postoperative day 44. </w:t>
      </w:r>
      <w:r w:rsidRPr="2C802F27">
        <w:rPr>
          <w:rFonts w:ascii="Times New Roman" w:hAnsi="Times New Roman" w:cs="Times New Roman"/>
          <w:lang w:val="en-US"/>
        </w:rPr>
        <w:t>EV: treatment with extracellular vesicles. EVG: treatment with extracellular vesicles + gel. ADSC: treatment with adipose-derived stromal cells. Results are expressed as mean ± standard error of the mean.</w:t>
      </w:r>
    </w:p>
    <w:tbl>
      <w:tblPr>
        <w:tblStyle w:val="TableauGrille1Clair1"/>
        <w:tblW w:w="0" w:type="auto"/>
        <w:tblCellMar>
          <w:top w:w="57" w:type="dxa"/>
          <w:bottom w:w="28" w:type="dxa"/>
        </w:tblCellMar>
        <w:tblLook w:val="04A0" w:firstRow="1" w:lastRow="0" w:firstColumn="1" w:lastColumn="0" w:noHBand="0" w:noVBand="1"/>
      </w:tblPr>
      <w:tblGrid>
        <w:gridCol w:w="1840"/>
        <w:gridCol w:w="816"/>
        <w:gridCol w:w="1207"/>
        <w:gridCol w:w="1206"/>
        <w:gridCol w:w="1208"/>
        <w:gridCol w:w="1489"/>
        <w:gridCol w:w="1300"/>
      </w:tblGrid>
      <w:tr w:rsidR="00872D48" w:rsidRPr="0021542B" w14:paraId="14837B0B" w14:textId="77777777" w:rsidTr="003D2273">
        <w:trPr>
          <w:cnfStyle w:val="100000000000" w:firstRow="1" w:lastRow="0" w:firstColumn="0" w:lastColumn="0" w:oddVBand="0" w:evenVBand="0" w:oddHBand="0" w:evenHBand="0" w:firstRowFirstColumn="0" w:firstRowLastColumn="0" w:lastRowFirstColumn="0" w:lastRowLastColumn="0"/>
          <w:trHeight w:val="751"/>
        </w:trPr>
        <w:tc>
          <w:tcPr>
            <w:cnfStyle w:val="001000000000" w:firstRow="0" w:lastRow="0" w:firstColumn="1" w:lastColumn="0" w:oddVBand="0" w:evenVBand="0" w:oddHBand="0" w:evenHBand="0" w:firstRowFirstColumn="0" w:firstRowLastColumn="0" w:lastRowFirstColumn="0" w:lastRowLastColumn="0"/>
            <w:tcW w:w="1951" w:type="dxa"/>
            <w:vMerge w:val="restart"/>
            <w:tcBorders>
              <w:top w:val="single" w:sz="4" w:space="0" w:color="auto"/>
              <w:left w:val="nil"/>
              <w:bottom w:val="single" w:sz="4" w:space="0" w:color="auto"/>
              <w:right w:val="nil"/>
            </w:tcBorders>
            <w:shd w:val="clear" w:color="auto" w:fill="F2F2F2" w:themeFill="background1" w:themeFillShade="F2"/>
          </w:tcPr>
          <w:p w14:paraId="52A7E0AF" w14:textId="77777777" w:rsidR="00872D48" w:rsidRPr="0021542B" w:rsidRDefault="00872D48" w:rsidP="003D2273">
            <w:pPr>
              <w:jc w:val="center"/>
              <w:rPr>
                <w:rFonts w:ascii="Times New Roman" w:hAnsi="Times New Roman" w:cs="Times New Roman"/>
                <w:sz w:val="18"/>
                <w:szCs w:val="18"/>
                <w:lang w:val="en-GB"/>
              </w:rPr>
            </w:pPr>
          </w:p>
        </w:tc>
        <w:tc>
          <w:tcPr>
            <w:tcW w:w="6260" w:type="dxa"/>
            <w:gridSpan w:val="5"/>
            <w:tcBorders>
              <w:top w:val="single" w:sz="4" w:space="0" w:color="auto"/>
              <w:left w:val="nil"/>
              <w:bottom w:val="single" w:sz="4" w:space="0" w:color="auto"/>
              <w:right w:val="nil"/>
            </w:tcBorders>
            <w:shd w:val="clear" w:color="auto" w:fill="F2F2F2" w:themeFill="background1" w:themeFillShade="F2"/>
            <w:vAlign w:val="center"/>
          </w:tcPr>
          <w:p w14:paraId="0D637A4F" w14:textId="77777777" w:rsidR="00872D48" w:rsidRPr="0021542B" w:rsidRDefault="00872D48" w:rsidP="003D22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Groups of treatment</w:t>
            </w:r>
          </w:p>
        </w:tc>
        <w:tc>
          <w:tcPr>
            <w:tcW w:w="1389" w:type="dxa"/>
            <w:vMerge w:val="restart"/>
            <w:tcBorders>
              <w:top w:val="single" w:sz="4" w:space="0" w:color="auto"/>
              <w:left w:val="nil"/>
              <w:bottom w:val="single" w:sz="4" w:space="0" w:color="auto"/>
              <w:right w:val="nil"/>
            </w:tcBorders>
            <w:shd w:val="clear" w:color="auto" w:fill="F2F2F2" w:themeFill="background1" w:themeFillShade="F2"/>
            <w:vAlign w:val="center"/>
          </w:tcPr>
          <w:p w14:paraId="3C57EF48" w14:textId="77777777" w:rsidR="00872D48" w:rsidRPr="0021542B" w:rsidRDefault="00872D48" w:rsidP="003D22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p-value</w:t>
            </w:r>
          </w:p>
        </w:tc>
      </w:tr>
      <w:tr w:rsidR="00872D48" w:rsidRPr="0021542B" w14:paraId="74459C38" w14:textId="77777777" w:rsidTr="003D2273">
        <w:trPr>
          <w:trHeight w:val="544"/>
        </w:trPr>
        <w:tc>
          <w:tcPr>
            <w:cnfStyle w:val="001000000000" w:firstRow="0" w:lastRow="0" w:firstColumn="1" w:lastColumn="0" w:oddVBand="0" w:evenVBand="0" w:oddHBand="0" w:evenHBand="0" w:firstRowFirstColumn="0" w:firstRowLastColumn="0" w:lastRowFirstColumn="0" w:lastRowLastColumn="0"/>
            <w:tcW w:w="1951" w:type="dxa"/>
            <w:vMerge/>
            <w:tcBorders>
              <w:top w:val="single" w:sz="4" w:space="0" w:color="auto"/>
              <w:left w:val="nil"/>
              <w:bottom w:val="single" w:sz="4" w:space="0" w:color="auto"/>
              <w:right w:val="nil"/>
            </w:tcBorders>
          </w:tcPr>
          <w:p w14:paraId="13141F54" w14:textId="77777777" w:rsidR="00872D48" w:rsidRPr="0021542B" w:rsidRDefault="00872D48" w:rsidP="003D2273">
            <w:pPr>
              <w:jc w:val="center"/>
              <w:rPr>
                <w:rFonts w:ascii="Times New Roman" w:hAnsi="Times New Roman" w:cs="Times New Roman"/>
                <w:sz w:val="18"/>
                <w:szCs w:val="18"/>
                <w:lang w:val="en-GB"/>
              </w:rPr>
            </w:pPr>
          </w:p>
        </w:tc>
        <w:tc>
          <w:tcPr>
            <w:tcW w:w="816" w:type="dxa"/>
            <w:tcBorders>
              <w:top w:val="single" w:sz="4" w:space="0" w:color="auto"/>
              <w:left w:val="nil"/>
              <w:bottom w:val="single" w:sz="4" w:space="0" w:color="auto"/>
              <w:right w:val="nil"/>
            </w:tcBorders>
            <w:shd w:val="clear" w:color="auto" w:fill="F2F2F2" w:themeFill="background1" w:themeFillShade="F2"/>
          </w:tcPr>
          <w:p w14:paraId="06029430" w14:textId="77777777" w:rsidR="00872D48"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21542B">
              <w:rPr>
                <w:rFonts w:ascii="Times New Roman" w:hAnsi="Times New Roman" w:cs="Times New Roman"/>
                <w:b/>
                <w:bCs/>
                <w:sz w:val="18"/>
                <w:szCs w:val="18"/>
                <w:lang w:val="en-GB"/>
              </w:rPr>
              <w:t>Control</w:t>
            </w:r>
          </w:p>
          <w:p w14:paraId="2BFBB188"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Pr>
                <w:rFonts w:ascii="Times New Roman" w:hAnsi="Times New Roman" w:cs="Times New Roman"/>
                <w:b/>
                <w:bCs/>
                <w:sz w:val="18"/>
                <w:szCs w:val="18"/>
                <w:lang w:val="en-GB"/>
              </w:rPr>
              <w:t>(n = 2)</w:t>
            </w:r>
          </w:p>
        </w:tc>
        <w:tc>
          <w:tcPr>
            <w:tcW w:w="1284" w:type="dxa"/>
            <w:tcBorders>
              <w:top w:val="single" w:sz="4" w:space="0" w:color="auto"/>
              <w:left w:val="nil"/>
              <w:bottom w:val="single" w:sz="4" w:space="0" w:color="auto"/>
              <w:right w:val="nil"/>
            </w:tcBorders>
            <w:shd w:val="clear" w:color="auto" w:fill="F2F2F2" w:themeFill="background1" w:themeFillShade="F2"/>
          </w:tcPr>
          <w:p w14:paraId="71D67BCE" w14:textId="77777777" w:rsidR="00872D48"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21542B">
              <w:rPr>
                <w:rFonts w:ascii="Times New Roman" w:hAnsi="Times New Roman" w:cs="Times New Roman"/>
                <w:b/>
                <w:bCs/>
                <w:sz w:val="18"/>
                <w:szCs w:val="18"/>
                <w:lang w:val="en-GB"/>
              </w:rPr>
              <w:t>Gel</w:t>
            </w:r>
          </w:p>
          <w:p w14:paraId="4C588007"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Pr>
                <w:rFonts w:ascii="Times New Roman" w:hAnsi="Times New Roman" w:cs="Times New Roman"/>
                <w:b/>
                <w:bCs/>
                <w:sz w:val="18"/>
                <w:szCs w:val="18"/>
                <w:lang w:val="en-GB"/>
              </w:rPr>
              <w:t>(</w:t>
            </w:r>
            <w:proofErr w:type="gramStart"/>
            <w:r>
              <w:rPr>
                <w:rFonts w:ascii="Times New Roman" w:hAnsi="Times New Roman" w:cs="Times New Roman"/>
                <w:b/>
                <w:bCs/>
                <w:sz w:val="18"/>
                <w:szCs w:val="18"/>
                <w:lang w:val="en-GB"/>
              </w:rPr>
              <w:t>n  =</w:t>
            </w:r>
            <w:proofErr w:type="gramEnd"/>
            <w:r>
              <w:rPr>
                <w:rFonts w:ascii="Times New Roman" w:hAnsi="Times New Roman" w:cs="Times New Roman"/>
                <w:b/>
                <w:bCs/>
                <w:sz w:val="18"/>
                <w:szCs w:val="18"/>
                <w:lang w:val="en-GB"/>
              </w:rPr>
              <w:t xml:space="preserve"> 3)</w:t>
            </w:r>
          </w:p>
        </w:tc>
        <w:tc>
          <w:tcPr>
            <w:tcW w:w="1283" w:type="dxa"/>
            <w:tcBorders>
              <w:top w:val="single" w:sz="4" w:space="0" w:color="auto"/>
              <w:left w:val="nil"/>
              <w:bottom w:val="single" w:sz="4" w:space="0" w:color="auto"/>
              <w:right w:val="nil"/>
            </w:tcBorders>
            <w:shd w:val="clear" w:color="auto" w:fill="F2F2F2" w:themeFill="background1" w:themeFillShade="F2"/>
          </w:tcPr>
          <w:p w14:paraId="7A345F7C" w14:textId="77777777" w:rsidR="00872D48"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21542B">
              <w:rPr>
                <w:rFonts w:ascii="Times New Roman" w:hAnsi="Times New Roman" w:cs="Times New Roman"/>
                <w:b/>
                <w:bCs/>
                <w:sz w:val="18"/>
                <w:szCs w:val="18"/>
                <w:lang w:val="en-GB"/>
              </w:rPr>
              <w:t>EV</w:t>
            </w:r>
          </w:p>
          <w:p w14:paraId="46401B2C"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Pr>
                <w:rFonts w:ascii="Times New Roman" w:hAnsi="Times New Roman" w:cs="Times New Roman"/>
                <w:b/>
                <w:bCs/>
                <w:sz w:val="18"/>
                <w:szCs w:val="18"/>
                <w:lang w:val="en-GB"/>
              </w:rPr>
              <w:t>(n = 5)</w:t>
            </w:r>
          </w:p>
        </w:tc>
        <w:tc>
          <w:tcPr>
            <w:tcW w:w="1285" w:type="dxa"/>
            <w:tcBorders>
              <w:top w:val="single" w:sz="4" w:space="0" w:color="auto"/>
              <w:left w:val="nil"/>
              <w:bottom w:val="single" w:sz="4" w:space="0" w:color="auto"/>
              <w:right w:val="nil"/>
            </w:tcBorders>
            <w:shd w:val="clear" w:color="auto" w:fill="F2F2F2" w:themeFill="background1" w:themeFillShade="F2"/>
          </w:tcPr>
          <w:p w14:paraId="245F3C08" w14:textId="77777777" w:rsidR="00872D48"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sidRPr="0021542B">
              <w:rPr>
                <w:rFonts w:ascii="Times New Roman" w:hAnsi="Times New Roman" w:cs="Times New Roman"/>
                <w:b/>
                <w:bCs/>
                <w:sz w:val="18"/>
                <w:szCs w:val="18"/>
                <w:lang w:val="en-GB"/>
              </w:rPr>
              <w:t>EVG</w:t>
            </w:r>
          </w:p>
          <w:p w14:paraId="748EB899"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Pr>
                <w:rFonts w:ascii="Times New Roman" w:hAnsi="Times New Roman" w:cs="Times New Roman"/>
                <w:b/>
                <w:bCs/>
                <w:sz w:val="18"/>
                <w:szCs w:val="18"/>
                <w:lang w:val="en-GB"/>
              </w:rPr>
              <w:t>(n = 5)</w:t>
            </w:r>
          </w:p>
        </w:tc>
        <w:tc>
          <w:tcPr>
            <w:tcW w:w="1592" w:type="dxa"/>
            <w:tcBorders>
              <w:top w:val="single" w:sz="4" w:space="0" w:color="auto"/>
              <w:left w:val="nil"/>
              <w:bottom w:val="single" w:sz="4" w:space="0" w:color="auto"/>
              <w:right w:val="nil"/>
            </w:tcBorders>
            <w:shd w:val="clear" w:color="auto" w:fill="F2F2F2" w:themeFill="background1" w:themeFillShade="F2"/>
          </w:tcPr>
          <w:p w14:paraId="224CC08B" w14:textId="77777777" w:rsidR="00872D48"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Pr>
                <w:rFonts w:ascii="Times New Roman" w:hAnsi="Times New Roman" w:cs="Times New Roman"/>
                <w:b/>
                <w:bCs/>
                <w:sz w:val="18"/>
                <w:szCs w:val="18"/>
                <w:lang w:val="en-GB"/>
              </w:rPr>
              <w:t>AD</w:t>
            </w:r>
            <w:r w:rsidRPr="0021542B">
              <w:rPr>
                <w:rFonts w:ascii="Times New Roman" w:hAnsi="Times New Roman" w:cs="Times New Roman"/>
                <w:b/>
                <w:bCs/>
                <w:sz w:val="18"/>
                <w:szCs w:val="18"/>
                <w:lang w:val="en-GB"/>
              </w:rPr>
              <w:t>SC</w:t>
            </w:r>
          </w:p>
          <w:p w14:paraId="75834AD1"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GB"/>
              </w:rPr>
            </w:pPr>
            <w:r>
              <w:rPr>
                <w:rFonts w:ascii="Times New Roman" w:hAnsi="Times New Roman" w:cs="Times New Roman"/>
                <w:b/>
                <w:bCs/>
                <w:sz w:val="18"/>
                <w:szCs w:val="18"/>
                <w:lang w:val="en-GB"/>
              </w:rPr>
              <w:t>(n = 4)</w:t>
            </w:r>
          </w:p>
        </w:tc>
        <w:tc>
          <w:tcPr>
            <w:tcW w:w="1389" w:type="dxa"/>
            <w:vMerge/>
            <w:tcBorders>
              <w:left w:val="nil"/>
              <w:bottom w:val="single" w:sz="4" w:space="0" w:color="auto"/>
              <w:right w:val="nil"/>
            </w:tcBorders>
          </w:tcPr>
          <w:p w14:paraId="48DA2837"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872D48" w:rsidRPr="0021542B" w14:paraId="2A62CD39" w14:textId="77777777" w:rsidTr="003D2273">
        <w:trPr>
          <w:trHeight w:val="1084"/>
        </w:trPr>
        <w:tc>
          <w:tcPr>
            <w:cnfStyle w:val="001000000000" w:firstRow="0" w:lastRow="0" w:firstColumn="1" w:lastColumn="0" w:oddVBand="0" w:evenVBand="0" w:oddHBand="0" w:evenHBand="0" w:firstRowFirstColumn="0" w:firstRowLastColumn="0" w:lastRowFirstColumn="0" w:lastRowLastColumn="0"/>
            <w:tcW w:w="1951" w:type="dxa"/>
            <w:tcBorders>
              <w:top w:val="single" w:sz="4" w:space="0" w:color="auto"/>
              <w:left w:val="nil"/>
              <w:bottom w:val="nil"/>
              <w:right w:val="nil"/>
            </w:tcBorders>
            <w:vAlign w:val="center"/>
          </w:tcPr>
          <w:p w14:paraId="2D87132C" w14:textId="77777777" w:rsidR="00872D48" w:rsidRPr="0021542B" w:rsidRDefault="00872D48" w:rsidP="003D2273">
            <w:pPr>
              <w:jc w:val="center"/>
              <w:rPr>
                <w:rFonts w:ascii="Times New Roman" w:hAnsi="Times New Roman" w:cs="Times New Roman"/>
                <w:sz w:val="18"/>
                <w:szCs w:val="18"/>
                <w:lang w:val="en-GB"/>
              </w:rPr>
            </w:pPr>
            <w:proofErr w:type="spellStart"/>
            <w:r>
              <w:rPr>
                <w:rFonts w:ascii="Times New Roman" w:hAnsi="Times New Roman" w:cs="Times New Roman"/>
                <w:sz w:val="18"/>
                <w:szCs w:val="18"/>
                <w:lang w:val="en-GB"/>
              </w:rPr>
              <w:t>SUV</w:t>
            </w:r>
            <w:r w:rsidRPr="0021542B">
              <w:rPr>
                <w:rFonts w:ascii="Times New Roman" w:hAnsi="Times New Roman" w:cs="Times New Roman"/>
                <w:szCs w:val="18"/>
                <w:vertAlign w:val="subscript"/>
                <w:lang w:val="en-GB"/>
              </w:rPr>
              <w:t>max</w:t>
            </w:r>
            <w:proofErr w:type="spellEnd"/>
          </w:p>
        </w:tc>
        <w:tc>
          <w:tcPr>
            <w:tcW w:w="816" w:type="dxa"/>
            <w:tcBorders>
              <w:top w:val="single" w:sz="4" w:space="0" w:color="auto"/>
              <w:left w:val="nil"/>
              <w:bottom w:val="nil"/>
              <w:right w:val="nil"/>
            </w:tcBorders>
            <w:vAlign w:val="center"/>
          </w:tcPr>
          <w:p w14:paraId="31F73828"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7.815</w:t>
            </w:r>
          </w:p>
          <w:p w14:paraId="743220B5"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+/- 0.44</w:t>
            </w:r>
          </w:p>
        </w:tc>
        <w:tc>
          <w:tcPr>
            <w:tcW w:w="1284" w:type="dxa"/>
            <w:tcBorders>
              <w:top w:val="single" w:sz="4" w:space="0" w:color="auto"/>
              <w:left w:val="nil"/>
              <w:bottom w:val="nil"/>
              <w:right w:val="nil"/>
            </w:tcBorders>
            <w:vAlign w:val="center"/>
          </w:tcPr>
          <w:p w14:paraId="421DB936"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9.103</w:t>
            </w:r>
          </w:p>
          <w:p w14:paraId="09573765"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+/- 7.89</w:t>
            </w:r>
          </w:p>
        </w:tc>
        <w:tc>
          <w:tcPr>
            <w:tcW w:w="1283" w:type="dxa"/>
            <w:tcBorders>
              <w:top w:val="single" w:sz="4" w:space="0" w:color="auto"/>
              <w:left w:val="nil"/>
              <w:bottom w:val="nil"/>
              <w:right w:val="nil"/>
            </w:tcBorders>
            <w:vAlign w:val="center"/>
          </w:tcPr>
          <w:p w14:paraId="71F4CAF2"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3.966</w:t>
            </w:r>
          </w:p>
          <w:p w14:paraId="571A9B07"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+/- 2.05</w:t>
            </w:r>
          </w:p>
        </w:tc>
        <w:tc>
          <w:tcPr>
            <w:tcW w:w="1285" w:type="dxa"/>
            <w:tcBorders>
              <w:top w:val="single" w:sz="4" w:space="0" w:color="auto"/>
              <w:left w:val="nil"/>
              <w:bottom w:val="nil"/>
              <w:right w:val="nil"/>
            </w:tcBorders>
            <w:vAlign w:val="center"/>
          </w:tcPr>
          <w:p w14:paraId="32BA31C9"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2.440</w:t>
            </w:r>
          </w:p>
          <w:p w14:paraId="2C14C87C"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+/- 0.56</w:t>
            </w:r>
          </w:p>
        </w:tc>
        <w:tc>
          <w:tcPr>
            <w:tcW w:w="1592" w:type="dxa"/>
            <w:tcBorders>
              <w:top w:val="single" w:sz="4" w:space="0" w:color="auto"/>
              <w:left w:val="nil"/>
              <w:bottom w:val="nil"/>
              <w:right w:val="nil"/>
            </w:tcBorders>
            <w:vAlign w:val="center"/>
          </w:tcPr>
          <w:p w14:paraId="345BF611"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4.718</w:t>
            </w:r>
          </w:p>
          <w:p w14:paraId="46FBCCC8"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+/- 1.15</w:t>
            </w:r>
          </w:p>
        </w:tc>
        <w:tc>
          <w:tcPr>
            <w:tcW w:w="1389" w:type="dxa"/>
            <w:tcBorders>
              <w:top w:val="single" w:sz="4" w:space="0" w:color="auto"/>
              <w:left w:val="nil"/>
              <w:bottom w:val="nil"/>
              <w:right w:val="nil"/>
            </w:tcBorders>
            <w:vAlign w:val="center"/>
          </w:tcPr>
          <w:p w14:paraId="44EBEFFE"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0.153</w:t>
            </w:r>
          </w:p>
        </w:tc>
      </w:tr>
      <w:tr w:rsidR="00872D48" w:rsidRPr="0021542B" w14:paraId="0CB146AE" w14:textId="77777777" w:rsidTr="003D2273">
        <w:trPr>
          <w:trHeight w:val="1000"/>
        </w:trPr>
        <w:tc>
          <w:tcPr>
            <w:cnfStyle w:val="001000000000" w:firstRow="0" w:lastRow="0" w:firstColumn="1" w:lastColumn="0" w:oddVBand="0" w:evenVBand="0" w:oddHBand="0" w:evenHBand="0" w:firstRowFirstColumn="0" w:firstRowLastColumn="0" w:lastRowFirstColumn="0" w:lastRowLastColumn="0"/>
            <w:tcW w:w="1951" w:type="dxa"/>
            <w:tcBorders>
              <w:top w:val="nil"/>
              <w:left w:val="nil"/>
              <w:bottom w:val="nil"/>
              <w:right w:val="nil"/>
            </w:tcBorders>
            <w:vAlign w:val="center"/>
          </w:tcPr>
          <w:p w14:paraId="2B67D767" w14:textId="77777777" w:rsidR="00872D48" w:rsidRDefault="00872D48" w:rsidP="003D2273">
            <w:pPr>
              <w:jc w:val="center"/>
              <w:rPr>
                <w:rFonts w:ascii="Times New Roman" w:hAnsi="Times New Roman" w:cs="Times New Roman"/>
                <w:sz w:val="18"/>
                <w:szCs w:val="18"/>
                <w:lang w:val="en-GB"/>
              </w:rPr>
            </w:pPr>
          </w:p>
          <w:p w14:paraId="49BF6023" w14:textId="77777777" w:rsidR="00872D48" w:rsidRPr="0021542B" w:rsidRDefault="00872D48" w:rsidP="003D2273">
            <w:pPr>
              <w:jc w:val="center"/>
              <w:rPr>
                <w:rFonts w:ascii="Times New Roman" w:hAnsi="Times New Roman" w:cs="Times New Roman"/>
                <w:sz w:val="18"/>
                <w:szCs w:val="18"/>
                <w:lang w:val="en-GB"/>
              </w:rPr>
            </w:pPr>
            <w:r w:rsidRPr="0021542B">
              <w:rPr>
                <w:rFonts w:ascii="Times New Roman" w:hAnsi="Times New Roman" w:cs="Times New Roman"/>
                <w:sz w:val="18"/>
                <w:szCs w:val="18"/>
                <w:lang w:val="en-GB"/>
              </w:rPr>
              <w:t>Hot average</w:t>
            </w:r>
          </w:p>
        </w:tc>
        <w:tc>
          <w:tcPr>
            <w:tcW w:w="816" w:type="dxa"/>
            <w:tcBorders>
              <w:top w:val="nil"/>
              <w:left w:val="nil"/>
              <w:bottom w:val="nil"/>
              <w:right w:val="nil"/>
            </w:tcBorders>
            <w:vAlign w:val="center"/>
          </w:tcPr>
          <w:p w14:paraId="4DD7F0C3"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7.591</w:t>
            </w:r>
          </w:p>
          <w:p w14:paraId="703C3EB4"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+/- 0.45</w:t>
            </w:r>
          </w:p>
        </w:tc>
        <w:tc>
          <w:tcPr>
            <w:tcW w:w="1284" w:type="dxa"/>
            <w:tcBorders>
              <w:top w:val="nil"/>
              <w:left w:val="nil"/>
              <w:bottom w:val="nil"/>
              <w:right w:val="nil"/>
            </w:tcBorders>
            <w:vAlign w:val="center"/>
          </w:tcPr>
          <w:p w14:paraId="523E85BC"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8.526</w:t>
            </w:r>
          </w:p>
          <w:p w14:paraId="439D715C"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+/- 7.45</w:t>
            </w:r>
          </w:p>
        </w:tc>
        <w:tc>
          <w:tcPr>
            <w:tcW w:w="1283" w:type="dxa"/>
            <w:tcBorders>
              <w:top w:val="nil"/>
              <w:left w:val="nil"/>
              <w:bottom w:val="nil"/>
              <w:right w:val="nil"/>
            </w:tcBorders>
            <w:vAlign w:val="center"/>
          </w:tcPr>
          <w:p w14:paraId="0A12BE20"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3.782</w:t>
            </w:r>
          </w:p>
          <w:p w14:paraId="0C149417"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+/- 1.98</w:t>
            </w:r>
          </w:p>
        </w:tc>
        <w:tc>
          <w:tcPr>
            <w:tcW w:w="1285" w:type="dxa"/>
            <w:tcBorders>
              <w:top w:val="nil"/>
              <w:left w:val="nil"/>
              <w:bottom w:val="nil"/>
              <w:right w:val="nil"/>
            </w:tcBorders>
            <w:vAlign w:val="center"/>
          </w:tcPr>
          <w:p w14:paraId="0C81EE41"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2.368</w:t>
            </w:r>
          </w:p>
          <w:p w14:paraId="6F9DFA6B"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+/- 0.52</w:t>
            </w:r>
          </w:p>
        </w:tc>
        <w:tc>
          <w:tcPr>
            <w:tcW w:w="1592" w:type="dxa"/>
            <w:tcBorders>
              <w:top w:val="nil"/>
              <w:left w:val="nil"/>
              <w:bottom w:val="nil"/>
              <w:right w:val="nil"/>
            </w:tcBorders>
            <w:vAlign w:val="center"/>
          </w:tcPr>
          <w:p w14:paraId="1A9CCDAA"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4.426</w:t>
            </w:r>
          </w:p>
          <w:p w14:paraId="0C8AB0BA"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+/- 1.15</w:t>
            </w:r>
          </w:p>
        </w:tc>
        <w:tc>
          <w:tcPr>
            <w:tcW w:w="1389" w:type="dxa"/>
            <w:tcBorders>
              <w:top w:val="nil"/>
              <w:left w:val="nil"/>
              <w:bottom w:val="nil"/>
              <w:right w:val="nil"/>
            </w:tcBorders>
            <w:vAlign w:val="center"/>
          </w:tcPr>
          <w:p w14:paraId="3FAA8B5D"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0.152</w:t>
            </w:r>
          </w:p>
        </w:tc>
      </w:tr>
      <w:tr w:rsidR="00872D48" w:rsidRPr="0021542B" w14:paraId="775A4C24" w14:textId="77777777" w:rsidTr="003D2273">
        <w:trPr>
          <w:trHeight w:val="855"/>
        </w:trPr>
        <w:tc>
          <w:tcPr>
            <w:cnfStyle w:val="001000000000" w:firstRow="0" w:lastRow="0" w:firstColumn="1" w:lastColumn="0" w:oddVBand="0" w:evenVBand="0" w:oddHBand="0" w:evenHBand="0" w:firstRowFirstColumn="0" w:firstRowLastColumn="0" w:lastRowFirstColumn="0" w:lastRowLastColumn="0"/>
            <w:tcW w:w="1951" w:type="dxa"/>
            <w:tcBorders>
              <w:top w:val="nil"/>
              <w:left w:val="nil"/>
              <w:bottom w:val="single" w:sz="4" w:space="0" w:color="auto"/>
              <w:right w:val="nil"/>
            </w:tcBorders>
            <w:vAlign w:val="center"/>
          </w:tcPr>
          <w:p w14:paraId="07F1372A" w14:textId="77777777" w:rsidR="00872D48" w:rsidRPr="0021542B" w:rsidRDefault="00872D48" w:rsidP="003D2273">
            <w:pPr>
              <w:jc w:val="center"/>
              <w:rPr>
                <w:rFonts w:ascii="Times New Roman" w:hAnsi="Times New Roman" w:cs="Times New Roman"/>
                <w:sz w:val="18"/>
                <w:szCs w:val="18"/>
                <w:lang w:val="en-GB"/>
              </w:rPr>
            </w:pPr>
            <w:r w:rsidRPr="0021542B">
              <w:rPr>
                <w:rFonts w:ascii="Times New Roman" w:hAnsi="Times New Roman" w:cs="Times New Roman"/>
                <w:sz w:val="18"/>
                <w:szCs w:val="18"/>
                <w:lang w:val="en-GB"/>
              </w:rPr>
              <w:t>Total Lesion Glycolysis (TLG)</w:t>
            </w:r>
          </w:p>
        </w:tc>
        <w:tc>
          <w:tcPr>
            <w:tcW w:w="816" w:type="dxa"/>
            <w:tcBorders>
              <w:top w:val="nil"/>
              <w:left w:val="nil"/>
              <w:bottom w:val="single" w:sz="4" w:space="0" w:color="auto"/>
              <w:right w:val="nil"/>
            </w:tcBorders>
            <w:vAlign w:val="center"/>
          </w:tcPr>
          <w:p w14:paraId="4BDDF157"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0.202</w:t>
            </w:r>
          </w:p>
          <w:p w14:paraId="1C808175"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+/- 0.08</w:t>
            </w:r>
          </w:p>
        </w:tc>
        <w:tc>
          <w:tcPr>
            <w:tcW w:w="1284" w:type="dxa"/>
            <w:tcBorders>
              <w:top w:val="nil"/>
              <w:left w:val="nil"/>
              <w:bottom w:val="single" w:sz="4" w:space="0" w:color="auto"/>
              <w:right w:val="nil"/>
            </w:tcBorders>
            <w:vAlign w:val="center"/>
          </w:tcPr>
          <w:p w14:paraId="08F319BC"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0.136</w:t>
            </w:r>
          </w:p>
          <w:p w14:paraId="712EE58F"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+/- 0.09</w:t>
            </w:r>
          </w:p>
        </w:tc>
        <w:tc>
          <w:tcPr>
            <w:tcW w:w="1283" w:type="dxa"/>
            <w:tcBorders>
              <w:top w:val="nil"/>
              <w:left w:val="nil"/>
              <w:bottom w:val="single" w:sz="4" w:space="0" w:color="auto"/>
              <w:right w:val="nil"/>
            </w:tcBorders>
            <w:vAlign w:val="center"/>
          </w:tcPr>
          <w:p w14:paraId="2F299BDB"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0.068</w:t>
            </w:r>
          </w:p>
          <w:p w14:paraId="6A4CF29A"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+/- 0.052</w:t>
            </w:r>
          </w:p>
        </w:tc>
        <w:tc>
          <w:tcPr>
            <w:tcW w:w="1285" w:type="dxa"/>
            <w:tcBorders>
              <w:top w:val="nil"/>
              <w:left w:val="nil"/>
              <w:bottom w:val="single" w:sz="4" w:space="0" w:color="auto"/>
              <w:right w:val="nil"/>
            </w:tcBorders>
            <w:vAlign w:val="center"/>
          </w:tcPr>
          <w:p w14:paraId="2503FA2E"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0.099</w:t>
            </w:r>
          </w:p>
          <w:p w14:paraId="24A17055"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+/- 0.038</w:t>
            </w:r>
          </w:p>
        </w:tc>
        <w:tc>
          <w:tcPr>
            <w:tcW w:w="1592" w:type="dxa"/>
            <w:tcBorders>
              <w:top w:val="nil"/>
              <w:left w:val="nil"/>
              <w:bottom w:val="single" w:sz="4" w:space="0" w:color="auto"/>
              <w:right w:val="nil"/>
            </w:tcBorders>
            <w:vAlign w:val="center"/>
          </w:tcPr>
          <w:p w14:paraId="605F3A81"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0.122</w:t>
            </w:r>
          </w:p>
          <w:p w14:paraId="40544799"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+/- 0.10</w:t>
            </w:r>
          </w:p>
        </w:tc>
        <w:tc>
          <w:tcPr>
            <w:tcW w:w="1389" w:type="dxa"/>
            <w:tcBorders>
              <w:top w:val="nil"/>
              <w:left w:val="nil"/>
              <w:bottom w:val="single" w:sz="4" w:space="0" w:color="auto"/>
              <w:right w:val="nil"/>
            </w:tcBorders>
            <w:vAlign w:val="center"/>
          </w:tcPr>
          <w:p w14:paraId="7C4B7F29" w14:textId="77777777" w:rsidR="00872D48" w:rsidRPr="0021542B" w:rsidRDefault="00872D48" w:rsidP="003D22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1542B">
              <w:rPr>
                <w:rFonts w:ascii="Times New Roman" w:hAnsi="Times New Roman" w:cs="Times New Roman"/>
                <w:sz w:val="18"/>
                <w:szCs w:val="18"/>
                <w:lang w:val="en-GB"/>
              </w:rPr>
              <w:t>0.478</w:t>
            </w:r>
          </w:p>
        </w:tc>
      </w:tr>
    </w:tbl>
    <w:p w14:paraId="5E27F1D8" w14:textId="77777777" w:rsidR="00872D48" w:rsidRDefault="00872D48" w:rsidP="00872D48">
      <w:pPr>
        <w:spacing w:after="200" w:line="276" w:lineRule="auto"/>
        <w:rPr>
          <w:lang w:val="en-US"/>
        </w:rPr>
        <w:sectPr w:rsidR="00872D48" w:rsidSect="00872D48">
          <w:pgSz w:w="11900" w:h="16840"/>
          <w:pgMar w:top="1417" w:right="1417" w:bottom="1417" w:left="1417" w:header="708" w:footer="708" w:gutter="0"/>
          <w:cols w:space="708"/>
          <w:docGrid w:linePitch="360"/>
        </w:sectPr>
      </w:pPr>
    </w:p>
    <w:p w14:paraId="3D75D38B" w14:textId="77777777" w:rsidR="00872D48" w:rsidRDefault="00872D48" w:rsidP="00872D48">
      <w:pPr>
        <w:spacing w:after="200" w:line="276" w:lineRule="auto"/>
        <w:rPr>
          <w:lang w:val="en-US"/>
        </w:rPr>
      </w:pPr>
    </w:p>
    <w:p w14:paraId="6C4160CC" w14:textId="77777777" w:rsidR="00872D48" w:rsidRPr="00C501E1" w:rsidRDefault="00872D48" w:rsidP="00872D48">
      <w:pPr>
        <w:pStyle w:val="Sansinterligne"/>
        <w:rPr>
          <w:rFonts w:ascii="Times New Roman" w:eastAsia="Times New Roman" w:hAnsi="Times New Roman" w:cs="Times New Roman"/>
          <w:b/>
          <w:bCs/>
          <w:color w:val="000000" w:themeColor="text1"/>
          <w:lang w:val="en-US"/>
        </w:rPr>
      </w:pPr>
    </w:p>
    <w:p w14:paraId="232B6221" w14:textId="77777777" w:rsidR="00872D48" w:rsidRDefault="00872D48" w:rsidP="00872D48">
      <w:pPr>
        <w:pStyle w:val="Sansinterligne"/>
        <w:rPr>
          <w:rFonts w:ascii="Times New Roman" w:hAnsi="Times New Roman" w:cs="Times New Roman"/>
          <w:b/>
          <w:bCs/>
          <w:lang w:val="en-GB"/>
        </w:rPr>
      </w:pPr>
    </w:p>
    <w:p w14:paraId="526054BE" w14:textId="77777777" w:rsidR="00872D48" w:rsidRPr="00D17BE6" w:rsidRDefault="00872D48" w:rsidP="00872D48">
      <w:pPr>
        <w:pStyle w:val="Sansinterligne"/>
        <w:rPr>
          <w:rFonts w:ascii="Times New Roman" w:hAnsi="Times New Roman" w:cs="Times New Roman"/>
          <w:lang w:val="en-GB"/>
        </w:rPr>
      </w:pPr>
      <w:r>
        <w:rPr>
          <w:rFonts w:ascii="Times New Roman" w:hAnsi="Times New Roman" w:cs="Times New Roman"/>
          <w:b/>
          <w:bCs/>
          <w:lang w:val="en-GB"/>
        </w:rPr>
        <w:t xml:space="preserve">Supplementary </w:t>
      </w:r>
      <w:r w:rsidRPr="1F552D7C">
        <w:rPr>
          <w:rFonts w:ascii="Times New Roman" w:hAnsi="Times New Roman" w:cs="Times New Roman"/>
          <w:b/>
          <w:bCs/>
          <w:lang w:val="en-GB"/>
        </w:rPr>
        <w:t xml:space="preserve">Table </w:t>
      </w:r>
      <w:r>
        <w:rPr>
          <w:rFonts w:ascii="Times New Roman" w:hAnsi="Times New Roman" w:cs="Times New Roman"/>
          <w:b/>
          <w:bCs/>
          <w:lang w:val="en-GB"/>
        </w:rPr>
        <w:t>5</w:t>
      </w:r>
      <w:r w:rsidRPr="1F552D7C">
        <w:rPr>
          <w:rFonts w:ascii="Times New Roman" w:hAnsi="Times New Roman" w:cs="Times New Roman"/>
          <w:lang w:val="en-GB"/>
        </w:rPr>
        <w:t xml:space="preserve">. </w:t>
      </w:r>
      <w:r w:rsidRPr="1F552D7C">
        <w:rPr>
          <w:rFonts w:ascii="Times New Roman" w:hAnsi="Times New Roman" w:cs="Times New Roman"/>
          <w:b/>
          <w:bCs/>
          <w:lang w:val="en-GB"/>
        </w:rPr>
        <w:t xml:space="preserve">Comparison of </w:t>
      </w:r>
      <w:proofErr w:type="spellStart"/>
      <w:r w:rsidRPr="1F552D7C">
        <w:rPr>
          <w:rFonts w:ascii="Times New Roman" w:hAnsi="Times New Roman" w:cs="Times New Roman"/>
          <w:b/>
          <w:bCs/>
          <w:lang w:val="en-GB"/>
        </w:rPr>
        <w:t>gastrocutaneous</w:t>
      </w:r>
      <w:proofErr w:type="spellEnd"/>
      <w:r w:rsidRPr="1F552D7C">
        <w:rPr>
          <w:rFonts w:ascii="Times New Roman" w:hAnsi="Times New Roman" w:cs="Times New Roman"/>
          <w:b/>
          <w:bCs/>
          <w:lang w:val="en-GB"/>
        </w:rPr>
        <w:t xml:space="preserve"> fistula healing in the control, gel and EVG groups in the pig model according to clinical, endoscopic and radiologic outcomes at postoperative day 28. </w:t>
      </w:r>
    </w:p>
    <w:p w14:paraId="549FE52C" w14:textId="77777777" w:rsidR="00872D48" w:rsidRPr="00404F30" w:rsidRDefault="00872D48" w:rsidP="00872D48">
      <w:pPr>
        <w:pStyle w:val="Sansinterligne"/>
        <w:rPr>
          <w:rFonts w:ascii="Times New Roman" w:hAnsi="Times New Roman" w:cs="Times New Roman"/>
          <w:lang w:val="en-US"/>
        </w:rPr>
      </w:pPr>
    </w:p>
    <w:tbl>
      <w:tblPr>
        <w:tblStyle w:val="Grilledutableau"/>
        <w:tblW w:w="132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7"/>
        <w:gridCol w:w="1169"/>
        <w:gridCol w:w="18"/>
        <w:gridCol w:w="1181"/>
        <w:gridCol w:w="1134"/>
        <w:gridCol w:w="6"/>
        <w:gridCol w:w="1270"/>
        <w:gridCol w:w="1157"/>
        <w:gridCol w:w="1187"/>
        <w:gridCol w:w="1187"/>
        <w:gridCol w:w="1188"/>
      </w:tblGrid>
      <w:tr w:rsidR="00872D48" w:rsidRPr="00082A43" w14:paraId="728FE4B7" w14:textId="77777777" w:rsidTr="003D2273">
        <w:trPr>
          <w:trHeight w:val="340"/>
          <w:jc w:val="center"/>
        </w:trPr>
        <w:tc>
          <w:tcPr>
            <w:tcW w:w="3797" w:type="dxa"/>
            <w:tcBorders>
              <w:top w:val="single" w:sz="4" w:space="0" w:color="auto"/>
            </w:tcBorders>
            <w:shd w:val="clear" w:color="auto" w:fill="F2F2F2" w:themeFill="background1" w:themeFillShade="F2"/>
          </w:tcPr>
          <w:p w14:paraId="1527B542" w14:textId="77777777" w:rsidR="00872D48" w:rsidRPr="00082A43" w:rsidRDefault="00872D48" w:rsidP="003D2273">
            <w:pPr>
              <w:pStyle w:val="Sansinterligne"/>
              <w:spacing w:line="360" w:lineRule="auto"/>
              <w:rPr>
                <w:rFonts w:ascii="Times New Roman" w:hAnsi="Times New Roman" w:cs="Times New Roman"/>
                <w:sz w:val="18"/>
                <w:szCs w:val="18"/>
                <w:lang w:val="en-US"/>
              </w:rPr>
            </w:pPr>
          </w:p>
        </w:tc>
        <w:tc>
          <w:tcPr>
            <w:tcW w:w="1169" w:type="dxa"/>
            <w:tcBorders>
              <w:top w:val="single" w:sz="4" w:space="0" w:color="auto"/>
            </w:tcBorders>
            <w:shd w:val="clear" w:color="auto" w:fill="F2F2F2" w:themeFill="background1" w:themeFillShade="F2"/>
            <w:vAlign w:val="center"/>
          </w:tcPr>
          <w:p w14:paraId="2F616A83"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sidRPr="00082A43">
              <w:rPr>
                <w:rFonts w:ascii="Times New Roman" w:hAnsi="Times New Roman" w:cs="Times New Roman"/>
                <w:b/>
                <w:sz w:val="18"/>
                <w:szCs w:val="18"/>
                <w:lang w:val="en-US"/>
              </w:rPr>
              <w:t>All</w:t>
            </w:r>
          </w:p>
        </w:tc>
        <w:tc>
          <w:tcPr>
            <w:tcW w:w="1199" w:type="dxa"/>
            <w:gridSpan w:val="2"/>
            <w:tcBorders>
              <w:top w:val="single" w:sz="4" w:space="0" w:color="auto"/>
            </w:tcBorders>
            <w:shd w:val="clear" w:color="auto" w:fill="F2F2F2" w:themeFill="background1" w:themeFillShade="F2"/>
            <w:vAlign w:val="center"/>
          </w:tcPr>
          <w:p w14:paraId="473FECA5"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sidRPr="00082A43">
              <w:rPr>
                <w:rFonts w:ascii="Times New Roman" w:hAnsi="Times New Roman" w:cs="Times New Roman"/>
                <w:b/>
                <w:sz w:val="18"/>
                <w:szCs w:val="18"/>
                <w:lang w:val="en-US"/>
              </w:rPr>
              <w:t>Control</w:t>
            </w:r>
          </w:p>
        </w:tc>
        <w:tc>
          <w:tcPr>
            <w:tcW w:w="1140" w:type="dxa"/>
            <w:gridSpan w:val="2"/>
            <w:tcBorders>
              <w:top w:val="single" w:sz="4" w:space="0" w:color="auto"/>
            </w:tcBorders>
            <w:shd w:val="clear" w:color="auto" w:fill="F2F2F2" w:themeFill="background1" w:themeFillShade="F2"/>
            <w:vAlign w:val="center"/>
          </w:tcPr>
          <w:p w14:paraId="7A665399"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sidRPr="00082A43">
              <w:rPr>
                <w:rFonts w:ascii="Times New Roman" w:hAnsi="Times New Roman" w:cs="Times New Roman"/>
                <w:b/>
                <w:sz w:val="18"/>
                <w:szCs w:val="18"/>
                <w:lang w:val="en-US"/>
              </w:rPr>
              <w:t>Gel</w:t>
            </w:r>
          </w:p>
        </w:tc>
        <w:tc>
          <w:tcPr>
            <w:tcW w:w="1270" w:type="dxa"/>
            <w:tcBorders>
              <w:top w:val="single" w:sz="4" w:space="0" w:color="auto"/>
            </w:tcBorders>
            <w:shd w:val="clear" w:color="auto" w:fill="F2F2F2" w:themeFill="background1" w:themeFillShade="F2"/>
            <w:vAlign w:val="center"/>
          </w:tcPr>
          <w:p w14:paraId="42A216BC"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EVG</w:t>
            </w:r>
          </w:p>
        </w:tc>
        <w:tc>
          <w:tcPr>
            <w:tcW w:w="4719" w:type="dxa"/>
            <w:gridSpan w:val="4"/>
            <w:tcBorders>
              <w:top w:val="single" w:sz="4" w:space="0" w:color="auto"/>
              <w:bottom w:val="single" w:sz="4" w:space="0" w:color="auto"/>
            </w:tcBorders>
            <w:shd w:val="clear" w:color="auto" w:fill="F2F2F2" w:themeFill="background1" w:themeFillShade="F2"/>
          </w:tcPr>
          <w:p w14:paraId="5F4EF167" w14:textId="77777777" w:rsidR="00872D48" w:rsidRPr="00082A43" w:rsidRDefault="00872D48" w:rsidP="003D2273">
            <w:pPr>
              <w:pStyle w:val="Sansinterligne"/>
              <w:spacing w:line="360" w:lineRule="auto"/>
              <w:jc w:val="center"/>
              <w:rPr>
                <w:rFonts w:ascii="Times New Roman" w:hAnsi="Times New Roman" w:cs="Times New Roman"/>
                <w:b/>
                <w:i/>
                <w:sz w:val="18"/>
                <w:szCs w:val="18"/>
                <w:lang w:val="en-US"/>
              </w:rPr>
            </w:pPr>
            <w:r w:rsidRPr="00082A43">
              <w:rPr>
                <w:rFonts w:ascii="Times New Roman" w:hAnsi="Times New Roman" w:cs="Times New Roman"/>
                <w:b/>
                <w:i/>
                <w:sz w:val="18"/>
                <w:szCs w:val="18"/>
                <w:lang w:val="en-US"/>
              </w:rPr>
              <w:t>p</w:t>
            </w:r>
          </w:p>
        </w:tc>
      </w:tr>
      <w:tr w:rsidR="00872D48" w:rsidRPr="00082A43" w14:paraId="49D2A5AC" w14:textId="77777777" w:rsidTr="003D2273">
        <w:trPr>
          <w:trHeight w:val="354"/>
          <w:jc w:val="center"/>
        </w:trPr>
        <w:tc>
          <w:tcPr>
            <w:tcW w:w="3797" w:type="dxa"/>
            <w:tcBorders>
              <w:bottom w:val="single" w:sz="4" w:space="0" w:color="auto"/>
            </w:tcBorders>
            <w:shd w:val="clear" w:color="auto" w:fill="F2F2F2" w:themeFill="background1" w:themeFillShade="F2"/>
          </w:tcPr>
          <w:p w14:paraId="15463AB1" w14:textId="77777777" w:rsidR="00872D48" w:rsidRPr="00082A43" w:rsidRDefault="00872D48" w:rsidP="003D2273">
            <w:pPr>
              <w:pStyle w:val="Sansinterligne"/>
              <w:spacing w:line="360" w:lineRule="auto"/>
              <w:rPr>
                <w:rFonts w:ascii="Times New Roman" w:hAnsi="Times New Roman" w:cs="Times New Roman"/>
                <w:sz w:val="18"/>
                <w:szCs w:val="18"/>
                <w:lang w:val="en-US"/>
              </w:rPr>
            </w:pPr>
          </w:p>
        </w:tc>
        <w:tc>
          <w:tcPr>
            <w:tcW w:w="1187" w:type="dxa"/>
            <w:gridSpan w:val="2"/>
            <w:tcBorders>
              <w:bottom w:val="single" w:sz="4" w:space="0" w:color="auto"/>
            </w:tcBorders>
            <w:shd w:val="clear" w:color="auto" w:fill="F2F2F2" w:themeFill="background1" w:themeFillShade="F2"/>
            <w:vAlign w:val="center"/>
          </w:tcPr>
          <w:p w14:paraId="424655AB"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(n=24)</w:t>
            </w:r>
          </w:p>
        </w:tc>
        <w:tc>
          <w:tcPr>
            <w:tcW w:w="1181" w:type="dxa"/>
            <w:tcBorders>
              <w:bottom w:val="single" w:sz="4" w:space="0" w:color="auto"/>
            </w:tcBorders>
            <w:shd w:val="clear" w:color="auto" w:fill="F2F2F2" w:themeFill="background1" w:themeFillShade="F2"/>
            <w:vAlign w:val="center"/>
          </w:tcPr>
          <w:p w14:paraId="1F5151E5"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(n=8)</w:t>
            </w:r>
          </w:p>
        </w:tc>
        <w:tc>
          <w:tcPr>
            <w:tcW w:w="1134" w:type="dxa"/>
            <w:tcBorders>
              <w:bottom w:val="single" w:sz="4" w:space="0" w:color="auto"/>
            </w:tcBorders>
            <w:shd w:val="clear" w:color="auto" w:fill="F2F2F2" w:themeFill="background1" w:themeFillShade="F2"/>
            <w:vAlign w:val="center"/>
          </w:tcPr>
          <w:p w14:paraId="0DBF90B1"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(n=8)</w:t>
            </w:r>
          </w:p>
        </w:tc>
        <w:tc>
          <w:tcPr>
            <w:tcW w:w="1276" w:type="dxa"/>
            <w:gridSpan w:val="2"/>
            <w:tcBorders>
              <w:bottom w:val="single" w:sz="4" w:space="0" w:color="auto"/>
            </w:tcBorders>
            <w:shd w:val="clear" w:color="auto" w:fill="F2F2F2" w:themeFill="background1" w:themeFillShade="F2"/>
            <w:vAlign w:val="center"/>
          </w:tcPr>
          <w:p w14:paraId="091E8941"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(n=8)</w:t>
            </w:r>
          </w:p>
        </w:tc>
        <w:tc>
          <w:tcPr>
            <w:tcW w:w="1157" w:type="dxa"/>
            <w:tcBorders>
              <w:top w:val="single" w:sz="4" w:space="0" w:color="auto"/>
              <w:bottom w:val="single" w:sz="4" w:space="0" w:color="auto"/>
            </w:tcBorders>
            <w:shd w:val="clear" w:color="auto" w:fill="F2F2F2" w:themeFill="background1" w:themeFillShade="F2"/>
          </w:tcPr>
          <w:p w14:paraId="738449DE"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sidRPr="00082A43">
              <w:rPr>
                <w:rFonts w:ascii="Times New Roman" w:hAnsi="Times New Roman" w:cs="Times New Roman"/>
                <w:b/>
                <w:sz w:val="18"/>
                <w:szCs w:val="18"/>
                <w:lang w:val="en-US"/>
              </w:rPr>
              <w:t>All</w:t>
            </w:r>
          </w:p>
        </w:tc>
        <w:tc>
          <w:tcPr>
            <w:tcW w:w="1187" w:type="dxa"/>
            <w:tcBorders>
              <w:top w:val="single" w:sz="4" w:space="0" w:color="auto"/>
              <w:bottom w:val="single" w:sz="4" w:space="0" w:color="auto"/>
            </w:tcBorders>
            <w:shd w:val="clear" w:color="auto" w:fill="F2F2F2" w:themeFill="background1" w:themeFillShade="F2"/>
          </w:tcPr>
          <w:p w14:paraId="3512BFE3"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sidRPr="00082A43">
              <w:rPr>
                <w:rFonts w:ascii="Times New Roman" w:hAnsi="Times New Roman" w:cs="Times New Roman"/>
                <w:b/>
                <w:sz w:val="18"/>
                <w:szCs w:val="18"/>
                <w:lang w:val="en-US"/>
              </w:rPr>
              <w:t>C vs G</w:t>
            </w:r>
          </w:p>
        </w:tc>
        <w:tc>
          <w:tcPr>
            <w:tcW w:w="1187" w:type="dxa"/>
            <w:tcBorders>
              <w:top w:val="single" w:sz="4" w:space="0" w:color="auto"/>
              <w:bottom w:val="single" w:sz="4" w:space="0" w:color="auto"/>
            </w:tcBorders>
            <w:shd w:val="clear" w:color="auto" w:fill="F2F2F2" w:themeFill="background1" w:themeFillShade="F2"/>
          </w:tcPr>
          <w:p w14:paraId="2B583338" w14:textId="77777777" w:rsidR="00872D48" w:rsidRPr="00082A43" w:rsidRDefault="00872D48" w:rsidP="003D2273">
            <w:pPr>
              <w:pStyle w:val="Sansinterligne"/>
              <w:spacing w:line="360" w:lineRule="auto"/>
              <w:jc w:val="center"/>
              <w:rPr>
                <w:rFonts w:ascii="Times New Roman" w:hAnsi="Times New Roman" w:cs="Times New Roman"/>
                <w:b/>
                <w:sz w:val="18"/>
                <w:szCs w:val="18"/>
                <w:lang w:val="en-US"/>
              </w:rPr>
            </w:pPr>
            <w:r w:rsidRPr="00082A43">
              <w:rPr>
                <w:rFonts w:ascii="Times New Roman" w:hAnsi="Times New Roman" w:cs="Times New Roman"/>
                <w:b/>
                <w:sz w:val="18"/>
                <w:szCs w:val="18"/>
                <w:lang w:val="en-US"/>
              </w:rPr>
              <w:t>C vs E</w:t>
            </w:r>
            <w:r>
              <w:rPr>
                <w:rFonts w:ascii="Times New Roman" w:hAnsi="Times New Roman" w:cs="Times New Roman"/>
                <w:b/>
                <w:sz w:val="18"/>
                <w:szCs w:val="18"/>
                <w:lang w:val="en-US"/>
              </w:rPr>
              <w:t>VG</w:t>
            </w:r>
          </w:p>
        </w:tc>
        <w:tc>
          <w:tcPr>
            <w:tcW w:w="1188" w:type="dxa"/>
            <w:tcBorders>
              <w:top w:val="single" w:sz="4" w:space="0" w:color="auto"/>
              <w:bottom w:val="single" w:sz="4" w:space="0" w:color="auto"/>
            </w:tcBorders>
            <w:shd w:val="clear" w:color="auto" w:fill="F2F2F2" w:themeFill="background1" w:themeFillShade="F2"/>
          </w:tcPr>
          <w:p w14:paraId="71B1B751" w14:textId="77777777" w:rsidR="00872D48" w:rsidRPr="00082A43" w:rsidRDefault="00872D48" w:rsidP="003D2273">
            <w:pPr>
              <w:pStyle w:val="Sansinterligne"/>
              <w:spacing w:line="360" w:lineRule="auto"/>
              <w:jc w:val="center"/>
              <w:rPr>
                <w:rFonts w:ascii="Times New Roman" w:hAnsi="Times New Roman" w:cs="Times New Roman"/>
                <w:b/>
                <w:iCs/>
                <w:sz w:val="18"/>
                <w:szCs w:val="18"/>
                <w:lang w:val="en-US"/>
              </w:rPr>
            </w:pPr>
            <w:r w:rsidRPr="00082A43">
              <w:rPr>
                <w:rFonts w:ascii="Times New Roman" w:hAnsi="Times New Roman" w:cs="Times New Roman"/>
                <w:b/>
                <w:iCs/>
                <w:sz w:val="18"/>
                <w:szCs w:val="18"/>
                <w:lang w:val="en-US"/>
              </w:rPr>
              <w:t>G vs E</w:t>
            </w:r>
            <w:r>
              <w:rPr>
                <w:rFonts w:ascii="Times New Roman" w:hAnsi="Times New Roman" w:cs="Times New Roman"/>
                <w:b/>
                <w:iCs/>
                <w:sz w:val="18"/>
                <w:szCs w:val="18"/>
                <w:lang w:val="en-US"/>
              </w:rPr>
              <w:t>VG</w:t>
            </w:r>
          </w:p>
        </w:tc>
      </w:tr>
      <w:tr w:rsidR="00872D48" w:rsidRPr="00082A43" w14:paraId="5FE7A8FF" w14:textId="77777777" w:rsidTr="003D2273">
        <w:trPr>
          <w:trHeight w:val="180"/>
          <w:jc w:val="center"/>
        </w:trPr>
        <w:tc>
          <w:tcPr>
            <w:tcW w:w="3797" w:type="dxa"/>
            <w:vAlign w:val="center"/>
          </w:tcPr>
          <w:p w14:paraId="312A8C14" w14:textId="77777777" w:rsidR="00872D48" w:rsidRPr="00082A43" w:rsidRDefault="00872D48" w:rsidP="003D2273">
            <w:pPr>
              <w:pStyle w:val="Sansinterligne"/>
              <w:spacing w:line="360" w:lineRule="auto"/>
              <w:ind w:right="-250"/>
              <w:jc w:val="center"/>
              <w:rPr>
                <w:rFonts w:ascii="Times New Roman" w:hAnsi="Times New Roman" w:cs="Times New Roman"/>
                <w:sz w:val="18"/>
                <w:szCs w:val="18"/>
                <w:lang w:val="en-US"/>
              </w:rPr>
            </w:pPr>
            <w:r>
              <w:rPr>
                <w:rFonts w:ascii="Times New Roman" w:hAnsi="Times New Roman" w:cs="Times New Roman"/>
                <w:sz w:val="18"/>
                <w:szCs w:val="18"/>
                <w:lang w:val="en-US"/>
              </w:rPr>
              <w:t>Fistula output; n (%)</w:t>
            </w:r>
          </w:p>
        </w:tc>
        <w:tc>
          <w:tcPr>
            <w:tcW w:w="1187" w:type="dxa"/>
            <w:gridSpan w:val="2"/>
            <w:vAlign w:val="center"/>
          </w:tcPr>
          <w:p w14:paraId="484CB7E0"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14</w:t>
            </w:r>
            <w:r>
              <w:rPr>
                <w:rFonts w:ascii="Times New Roman" w:hAnsi="Times New Roman" w:cs="Times New Roman"/>
                <w:sz w:val="18"/>
                <w:szCs w:val="18"/>
                <w:lang w:val="en-US"/>
              </w:rPr>
              <w:t xml:space="preserve"> (58.3)</w:t>
            </w:r>
          </w:p>
        </w:tc>
        <w:tc>
          <w:tcPr>
            <w:tcW w:w="1181" w:type="dxa"/>
            <w:vAlign w:val="center"/>
          </w:tcPr>
          <w:p w14:paraId="4236F9B2"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7</w:t>
            </w:r>
            <w:r>
              <w:rPr>
                <w:rFonts w:ascii="Times New Roman" w:hAnsi="Times New Roman" w:cs="Times New Roman"/>
                <w:sz w:val="18"/>
                <w:szCs w:val="18"/>
                <w:lang w:val="en-US"/>
              </w:rPr>
              <w:t xml:space="preserve"> (87.5)</w:t>
            </w:r>
          </w:p>
        </w:tc>
        <w:tc>
          <w:tcPr>
            <w:tcW w:w="1134" w:type="dxa"/>
            <w:vAlign w:val="center"/>
          </w:tcPr>
          <w:p w14:paraId="5215FC07"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6</w:t>
            </w:r>
            <w:r>
              <w:rPr>
                <w:rFonts w:ascii="Times New Roman" w:hAnsi="Times New Roman" w:cs="Times New Roman"/>
                <w:sz w:val="18"/>
                <w:szCs w:val="18"/>
                <w:lang w:val="en-US"/>
              </w:rPr>
              <w:t xml:space="preserve"> (75.0)</w:t>
            </w:r>
          </w:p>
        </w:tc>
        <w:tc>
          <w:tcPr>
            <w:tcW w:w="1276" w:type="dxa"/>
            <w:gridSpan w:val="2"/>
            <w:vAlign w:val="center"/>
          </w:tcPr>
          <w:p w14:paraId="307274A2"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1</w:t>
            </w:r>
            <w:r>
              <w:rPr>
                <w:rFonts w:ascii="Times New Roman" w:hAnsi="Times New Roman" w:cs="Times New Roman"/>
                <w:sz w:val="18"/>
                <w:szCs w:val="18"/>
                <w:lang w:val="en-US"/>
              </w:rPr>
              <w:t xml:space="preserve"> (12.5)</w:t>
            </w:r>
          </w:p>
        </w:tc>
        <w:tc>
          <w:tcPr>
            <w:tcW w:w="1157" w:type="dxa"/>
            <w:vAlign w:val="center"/>
          </w:tcPr>
          <w:p w14:paraId="31F12765"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0.005</w:t>
            </w:r>
          </w:p>
        </w:tc>
        <w:tc>
          <w:tcPr>
            <w:tcW w:w="1187" w:type="dxa"/>
            <w:vAlign w:val="center"/>
          </w:tcPr>
          <w:p w14:paraId="0B811E8B"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1187" w:type="dxa"/>
            <w:vAlign w:val="center"/>
          </w:tcPr>
          <w:p w14:paraId="737D6D98"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0.010</w:t>
            </w:r>
          </w:p>
        </w:tc>
        <w:tc>
          <w:tcPr>
            <w:tcW w:w="1188" w:type="dxa"/>
            <w:vAlign w:val="center"/>
          </w:tcPr>
          <w:p w14:paraId="2DE25BC7"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0.041</w:t>
            </w:r>
          </w:p>
        </w:tc>
      </w:tr>
      <w:tr w:rsidR="00872D48" w:rsidRPr="00082A43" w14:paraId="4D5C7147" w14:textId="77777777" w:rsidTr="003D2273">
        <w:trPr>
          <w:trHeight w:val="340"/>
          <w:jc w:val="center"/>
        </w:trPr>
        <w:tc>
          <w:tcPr>
            <w:tcW w:w="3797" w:type="dxa"/>
            <w:vAlign w:val="center"/>
          </w:tcPr>
          <w:p w14:paraId="554B3852"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E</w:t>
            </w:r>
            <w:r w:rsidRPr="00082A43">
              <w:rPr>
                <w:rFonts w:ascii="Times New Roman" w:hAnsi="Times New Roman" w:cs="Times New Roman"/>
                <w:sz w:val="18"/>
                <w:szCs w:val="18"/>
                <w:lang w:val="en-US"/>
              </w:rPr>
              <w:t>xtern</w:t>
            </w:r>
            <w:r>
              <w:rPr>
                <w:rFonts w:ascii="Times New Roman" w:hAnsi="Times New Roman" w:cs="Times New Roman"/>
                <w:sz w:val="18"/>
                <w:szCs w:val="18"/>
                <w:lang w:val="en-US"/>
              </w:rPr>
              <w:t xml:space="preserve">al fistula orifice </w:t>
            </w:r>
            <w:r w:rsidRPr="00082A43">
              <w:rPr>
                <w:rFonts w:ascii="Times New Roman" w:hAnsi="Times New Roman" w:cs="Times New Roman"/>
                <w:sz w:val="18"/>
                <w:szCs w:val="18"/>
                <w:lang w:val="en-US"/>
              </w:rPr>
              <w:t>closed</w:t>
            </w:r>
            <w:r>
              <w:rPr>
                <w:rFonts w:ascii="Times New Roman" w:hAnsi="Times New Roman" w:cs="Times New Roman"/>
                <w:sz w:val="18"/>
                <w:szCs w:val="18"/>
                <w:lang w:val="en-US"/>
              </w:rPr>
              <w:t>; n (%)</w:t>
            </w:r>
          </w:p>
        </w:tc>
        <w:tc>
          <w:tcPr>
            <w:tcW w:w="1187" w:type="dxa"/>
            <w:gridSpan w:val="2"/>
            <w:vAlign w:val="center"/>
          </w:tcPr>
          <w:p w14:paraId="41BC7B07"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10</w:t>
            </w:r>
            <w:r>
              <w:rPr>
                <w:rFonts w:ascii="Times New Roman" w:hAnsi="Times New Roman" w:cs="Times New Roman"/>
                <w:sz w:val="18"/>
                <w:szCs w:val="18"/>
                <w:lang w:val="en-US"/>
              </w:rPr>
              <w:t xml:space="preserve"> (41.6)</w:t>
            </w:r>
          </w:p>
        </w:tc>
        <w:tc>
          <w:tcPr>
            <w:tcW w:w="1181" w:type="dxa"/>
            <w:vAlign w:val="center"/>
          </w:tcPr>
          <w:p w14:paraId="76C8A231"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1</w:t>
            </w:r>
            <w:r>
              <w:rPr>
                <w:rFonts w:ascii="Times New Roman" w:hAnsi="Times New Roman" w:cs="Times New Roman"/>
                <w:sz w:val="18"/>
                <w:szCs w:val="18"/>
                <w:lang w:val="en-US"/>
              </w:rPr>
              <w:t xml:space="preserve"> (12.5)</w:t>
            </w:r>
          </w:p>
        </w:tc>
        <w:tc>
          <w:tcPr>
            <w:tcW w:w="1134" w:type="dxa"/>
            <w:vAlign w:val="center"/>
          </w:tcPr>
          <w:p w14:paraId="0A032C2A"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2</w:t>
            </w:r>
            <w:r>
              <w:rPr>
                <w:rFonts w:ascii="Times New Roman" w:hAnsi="Times New Roman" w:cs="Times New Roman"/>
                <w:sz w:val="18"/>
                <w:szCs w:val="18"/>
                <w:lang w:val="en-US"/>
              </w:rPr>
              <w:t xml:space="preserve"> (25.0)</w:t>
            </w:r>
          </w:p>
        </w:tc>
        <w:tc>
          <w:tcPr>
            <w:tcW w:w="1276" w:type="dxa"/>
            <w:gridSpan w:val="2"/>
            <w:vAlign w:val="center"/>
          </w:tcPr>
          <w:p w14:paraId="36C1EC33"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7</w:t>
            </w:r>
            <w:r>
              <w:rPr>
                <w:rFonts w:ascii="Times New Roman" w:hAnsi="Times New Roman" w:cs="Times New Roman"/>
                <w:sz w:val="18"/>
                <w:szCs w:val="18"/>
                <w:lang w:val="en-US"/>
              </w:rPr>
              <w:t xml:space="preserve"> (87.5)</w:t>
            </w:r>
          </w:p>
        </w:tc>
        <w:tc>
          <w:tcPr>
            <w:tcW w:w="1157" w:type="dxa"/>
            <w:vAlign w:val="center"/>
          </w:tcPr>
          <w:p w14:paraId="488F290F"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0.005</w:t>
            </w:r>
          </w:p>
        </w:tc>
        <w:tc>
          <w:tcPr>
            <w:tcW w:w="1187" w:type="dxa"/>
            <w:vAlign w:val="center"/>
          </w:tcPr>
          <w:p w14:paraId="3726F7B2"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1187" w:type="dxa"/>
            <w:vAlign w:val="center"/>
          </w:tcPr>
          <w:p w14:paraId="6CF939EF"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0.010</w:t>
            </w:r>
          </w:p>
        </w:tc>
        <w:tc>
          <w:tcPr>
            <w:tcW w:w="1188" w:type="dxa"/>
            <w:vAlign w:val="center"/>
          </w:tcPr>
          <w:p w14:paraId="30307099"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0.041</w:t>
            </w:r>
          </w:p>
        </w:tc>
      </w:tr>
      <w:tr w:rsidR="00872D48" w:rsidRPr="00082A43" w14:paraId="35A8F48E" w14:textId="77777777" w:rsidTr="003D2273">
        <w:trPr>
          <w:trHeight w:val="340"/>
          <w:jc w:val="center"/>
        </w:trPr>
        <w:tc>
          <w:tcPr>
            <w:tcW w:w="3797" w:type="dxa"/>
            <w:vAlign w:val="center"/>
          </w:tcPr>
          <w:p w14:paraId="6E728682"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Peripheral skin inflammation score; mean (SD)</w:t>
            </w:r>
          </w:p>
        </w:tc>
        <w:tc>
          <w:tcPr>
            <w:tcW w:w="1187" w:type="dxa"/>
            <w:gridSpan w:val="2"/>
            <w:vAlign w:val="center"/>
          </w:tcPr>
          <w:p w14:paraId="3A9F21A3"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1.13 (1.03)</w:t>
            </w:r>
          </w:p>
        </w:tc>
        <w:tc>
          <w:tcPr>
            <w:tcW w:w="1181" w:type="dxa"/>
            <w:vAlign w:val="center"/>
          </w:tcPr>
          <w:p w14:paraId="05DA4029"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2.0 (1.19)</w:t>
            </w:r>
          </w:p>
        </w:tc>
        <w:tc>
          <w:tcPr>
            <w:tcW w:w="1134" w:type="dxa"/>
            <w:vAlign w:val="center"/>
          </w:tcPr>
          <w:p w14:paraId="20DC257C"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1.0 (0.53)</w:t>
            </w:r>
          </w:p>
        </w:tc>
        <w:tc>
          <w:tcPr>
            <w:tcW w:w="1276" w:type="dxa"/>
            <w:gridSpan w:val="2"/>
            <w:vAlign w:val="center"/>
          </w:tcPr>
          <w:p w14:paraId="3896CF8D"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0.38 (0.51)</w:t>
            </w:r>
          </w:p>
        </w:tc>
        <w:tc>
          <w:tcPr>
            <w:tcW w:w="1157" w:type="dxa"/>
            <w:vAlign w:val="center"/>
          </w:tcPr>
          <w:p w14:paraId="0CA53555"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0.002</w:t>
            </w:r>
          </w:p>
        </w:tc>
        <w:tc>
          <w:tcPr>
            <w:tcW w:w="1187" w:type="dxa"/>
            <w:vAlign w:val="center"/>
          </w:tcPr>
          <w:p w14:paraId="38FBC0F1"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0.0406</w:t>
            </w:r>
          </w:p>
        </w:tc>
        <w:tc>
          <w:tcPr>
            <w:tcW w:w="1187" w:type="dxa"/>
            <w:vAlign w:val="center"/>
          </w:tcPr>
          <w:p w14:paraId="2D25A6D5"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0.007</w:t>
            </w:r>
          </w:p>
        </w:tc>
        <w:tc>
          <w:tcPr>
            <w:tcW w:w="1188" w:type="dxa"/>
            <w:vAlign w:val="center"/>
          </w:tcPr>
          <w:p w14:paraId="187E0595"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w:t>
            </w:r>
          </w:p>
        </w:tc>
      </w:tr>
      <w:tr w:rsidR="00872D48" w:rsidRPr="00082A43" w14:paraId="266CB2DC" w14:textId="77777777" w:rsidTr="003D2273">
        <w:trPr>
          <w:trHeight w:val="340"/>
          <w:jc w:val="center"/>
        </w:trPr>
        <w:tc>
          <w:tcPr>
            <w:tcW w:w="3797" w:type="dxa"/>
            <w:vAlign w:val="center"/>
          </w:tcPr>
          <w:p w14:paraId="2DBAB3BE"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 xml:space="preserve">Internal fistula orifice </w:t>
            </w:r>
            <w:r w:rsidRPr="00082A43">
              <w:rPr>
                <w:rFonts w:ascii="Times New Roman" w:hAnsi="Times New Roman" w:cs="Times New Roman"/>
                <w:sz w:val="18"/>
                <w:szCs w:val="18"/>
                <w:lang w:val="en-US"/>
              </w:rPr>
              <w:t>closed</w:t>
            </w:r>
            <w:r>
              <w:rPr>
                <w:rFonts w:ascii="Times New Roman" w:hAnsi="Times New Roman" w:cs="Times New Roman"/>
                <w:sz w:val="18"/>
                <w:szCs w:val="18"/>
                <w:lang w:val="en-US"/>
              </w:rPr>
              <w:t>; n (%)</w:t>
            </w:r>
          </w:p>
        </w:tc>
        <w:tc>
          <w:tcPr>
            <w:tcW w:w="1187" w:type="dxa"/>
            <w:gridSpan w:val="2"/>
            <w:vAlign w:val="center"/>
          </w:tcPr>
          <w:p w14:paraId="6E8E56CA"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6</w:t>
            </w:r>
            <w:r>
              <w:rPr>
                <w:rFonts w:ascii="Times New Roman" w:hAnsi="Times New Roman" w:cs="Times New Roman"/>
                <w:sz w:val="18"/>
                <w:szCs w:val="18"/>
                <w:lang w:val="en-US"/>
              </w:rPr>
              <w:t xml:space="preserve"> (25.0)</w:t>
            </w:r>
          </w:p>
        </w:tc>
        <w:tc>
          <w:tcPr>
            <w:tcW w:w="1181" w:type="dxa"/>
            <w:vAlign w:val="center"/>
          </w:tcPr>
          <w:p w14:paraId="65A46A42"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w:t>
            </w:r>
            <w:r>
              <w:rPr>
                <w:rFonts w:ascii="Times New Roman" w:hAnsi="Times New Roman" w:cs="Times New Roman"/>
                <w:sz w:val="18"/>
                <w:szCs w:val="18"/>
                <w:lang w:val="en-US"/>
              </w:rPr>
              <w:t xml:space="preserve"> (0.0)</w:t>
            </w:r>
          </w:p>
        </w:tc>
        <w:tc>
          <w:tcPr>
            <w:tcW w:w="1134" w:type="dxa"/>
            <w:vAlign w:val="center"/>
          </w:tcPr>
          <w:p w14:paraId="6F8D4EF3"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1</w:t>
            </w:r>
            <w:r>
              <w:rPr>
                <w:rFonts w:ascii="Times New Roman" w:hAnsi="Times New Roman" w:cs="Times New Roman"/>
                <w:sz w:val="18"/>
                <w:szCs w:val="18"/>
                <w:lang w:val="en-US"/>
              </w:rPr>
              <w:t xml:space="preserve"> (12.5)</w:t>
            </w:r>
          </w:p>
        </w:tc>
        <w:tc>
          <w:tcPr>
            <w:tcW w:w="1276" w:type="dxa"/>
            <w:gridSpan w:val="2"/>
            <w:vAlign w:val="center"/>
          </w:tcPr>
          <w:p w14:paraId="1B1AAC7A"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5</w:t>
            </w:r>
            <w:r>
              <w:rPr>
                <w:rFonts w:ascii="Times New Roman" w:hAnsi="Times New Roman" w:cs="Times New Roman"/>
                <w:sz w:val="18"/>
                <w:szCs w:val="18"/>
                <w:lang w:val="en-US"/>
              </w:rPr>
              <w:t xml:space="preserve"> (62.5)</w:t>
            </w:r>
          </w:p>
        </w:tc>
        <w:tc>
          <w:tcPr>
            <w:tcW w:w="1157" w:type="dxa"/>
            <w:vAlign w:val="center"/>
          </w:tcPr>
          <w:p w14:paraId="695782E2"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0.009</w:t>
            </w:r>
          </w:p>
        </w:tc>
        <w:tc>
          <w:tcPr>
            <w:tcW w:w="1187" w:type="dxa"/>
            <w:vAlign w:val="center"/>
          </w:tcPr>
          <w:p w14:paraId="5D450BA4"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1187" w:type="dxa"/>
            <w:vAlign w:val="center"/>
          </w:tcPr>
          <w:p w14:paraId="3CDC6FDD"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0.026</w:t>
            </w:r>
          </w:p>
        </w:tc>
        <w:tc>
          <w:tcPr>
            <w:tcW w:w="1188" w:type="dxa"/>
            <w:vAlign w:val="center"/>
          </w:tcPr>
          <w:p w14:paraId="6FBC5097"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0.119</w:t>
            </w:r>
          </w:p>
        </w:tc>
      </w:tr>
      <w:tr w:rsidR="00872D48" w:rsidRPr="00082A43" w14:paraId="4D7EF68D" w14:textId="77777777" w:rsidTr="003D2273">
        <w:trPr>
          <w:trHeight w:val="340"/>
          <w:jc w:val="center"/>
        </w:trPr>
        <w:tc>
          <w:tcPr>
            <w:tcW w:w="3797" w:type="dxa"/>
            <w:vAlign w:val="center"/>
          </w:tcPr>
          <w:p w14:paraId="33165B18"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Endoscopic inflammation score; mean (SD)</w:t>
            </w:r>
          </w:p>
        </w:tc>
        <w:tc>
          <w:tcPr>
            <w:tcW w:w="1187" w:type="dxa"/>
            <w:gridSpan w:val="2"/>
            <w:vAlign w:val="center"/>
          </w:tcPr>
          <w:p w14:paraId="7BB171E5"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2.0 (1.75)</w:t>
            </w:r>
          </w:p>
        </w:tc>
        <w:tc>
          <w:tcPr>
            <w:tcW w:w="1181" w:type="dxa"/>
            <w:vAlign w:val="center"/>
          </w:tcPr>
          <w:p w14:paraId="616B57A6"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3.5 (1.77)</w:t>
            </w:r>
          </w:p>
        </w:tc>
        <w:tc>
          <w:tcPr>
            <w:tcW w:w="1134" w:type="dxa"/>
            <w:vAlign w:val="center"/>
          </w:tcPr>
          <w:p w14:paraId="6E0E6613"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2 (1.07)</w:t>
            </w:r>
          </w:p>
        </w:tc>
        <w:tc>
          <w:tcPr>
            <w:tcW w:w="1276" w:type="dxa"/>
            <w:gridSpan w:val="2"/>
            <w:vAlign w:val="center"/>
          </w:tcPr>
          <w:p w14:paraId="396EE0E3"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0.50 (0.75)</w:t>
            </w:r>
          </w:p>
        </w:tc>
        <w:tc>
          <w:tcPr>
            <w:tcW w:w="1157" w:type="dxa"/>
            <w:vAlign w:val="center"/>
          </w:tcPr>
          <w:p w14:paraId="6DB63336"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&lt;0.001</w:t>
            </w:r>
          </w:p>
        </w:tc>
        <w:tc>
          <w:tcPr>
            <w:tcW w:w="1187" w:type="dxa"/>
            <w:vAlign w:val="center"/>
          </w:tcPr>
          <w:p w14:paraId="01D79B27"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0.0256</w:t>
            </w:r>
          </w:p>
        </w:tc>
        <w:tc>
          <w:tcPr>
            <w:tcW w:w="1187" w:type="dxa"/>
            <w:vAlign w:val="center"/>
          </w:tcPr>
          <w:p w14:paraId="4767D673"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0.0073</w:t>
            </w:r>
          </w:p>
        </w:tc>
        <w:tc>
          <w:tcPr>
            <w:tcW w:w="1188" w:type="dxa"/>
            <w:vAlign w:val="center"/>
          </w:tcPr>
          <w:p w14:paraId="759AC4DB"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0.012</w:t>
            </w:r>
          </w:p>
        </w:tc>
      </w:tr>
      <w:tr w:rsidR="00872D48" w:rsidRPr="00082A43" w14:paraId="73452C91" w14:textId="77777777" w:rsidTr="003D2273">
        <w:trPr>
          <w:trHeight w:val="340"/>
          <w:jc w:val="center"/>
        </w:trPr>
        <w:tc>
          <w:tcPr>
            <w:tcW w:w="3797" w:type="dxa"/>
            <w:vAlign w:val="center"/>
          </w:tcPr>
          <w:p w14:paraId="1AC555C4"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Fistul</w:t>
            </w:r>
            <w:r>
              <w:rPr>
                <w:rFonts w:ascii="Times New Roman" w:hAnsi="Times New Roman" w:cs="Times New Roman"/>
                <w:sz w:val="18"/>
                <w:szCs w:val="18"/>
                <w:lang w:val="en-US"/>
              </w:rPr>
              <w:t xml:space="preserve">a tract </w:t>
            </w:r>
            <w:r w:rsidRPr="00082A43">
              <w:rPr>
                <w:rFonts w:ascii="Times New Roman" w:hAnsi="Times New Roman" w:cs="Times New Roman"/>
                <w:sz w:val="18"/>
                <w:szCs w:val="18"/>
                <w:lang w:val="en-US"/>
              </w:rPr>
              <w:t>closed</w:t>
            </w:r>
            <w:r>
              <w:rPr>
                <w:rFonts w:ascii="Times New Roman" w:hAnsi="Times New Roman" w:cs="Times New Roman"/>
                <w:sz w:val="18"/>
                <w:szCs w:val="18"/>
                <w:lang w:val="en-US"/>
              </w:rPr>
              <w:t xml:space="preserve"> upon radiological assessment; n (%)</w:t>
            </w:r>
          </w:p>
        </w:tc>
        <w:tc>
          <w:tcPr>
            <w:tcW w:w="1187" w:type="dxa"/>
            <w:gridSpan w:val="2"/>
            <w:vAlign w:val="center"/>
          </w:tcPr>
          <w:p w14:paraId="1F78122D"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9</w:t>
            </w:r>
            <w:r>
              <w:rPr>
                <w:rFonts w:ascii="Times New Roman" w:hAnsi="Times New Roman" w:cs="Times New Roman"/>
                <w:sz w:val="18"/>
                <w:szCs w:val="18"/>
                <w:lang w:val="en-US"/>
              </w:rPr>
              <w:t xml:space="preserve"> (37.5)</w:t>
            </w:r>
          </w:p>
        </w:tc>
        <w:tc>
          <w:tcPr>
            <w:tcW w:w="1181" w:type="dxa"/>
            <w:vAlign w:val="center"/>
          </w:tcPr>
          <w:p w14:paraId="5C5E173F"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1</w:t>
            </w:r>
            <w:r>
              <w:rPr>
                <w:rFonts w:ascii="Times New Roman" w:hAnsi="Times New Roman" w:cs="Times New Roman"/>
                <w:sz w:val="18"/>
                <w:szCs w:val="18"/>
                <w:lang w:val="en-US"/>
              </w:rPr>
              <w:t xml:space="preserve"> (12.5)</w:t>
            </w:r>
          </w:p>
        </w:tc>
        <w:tc>
          <w:tcPr>
            <w:tcW w:w="1134" w:type="dxa"/>
            <w:vAlign w:val="center"/>
          </w:tcPr>
          <w:p w14:paraId="20AEAFFE"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2</w:t>
            </w:r>
            <w:r>
              <w:rPr>
                <w:rFonts w:ascii="Times New Roman" w:hAnsi="Times New Roman" w:cs="Times New Roman"/>
                <w:sz w:val="18"/>
                <w:szCs w:val="18"/>
                <w:lang w:val="en-US"/>
              </w:rPr>
              <w:t xml:space="preserve"> (25.0)</w:t>
            </w:r>
          </w:p>
        </w:tc>
        <w:tc>
          <w:tcPr>
            <w:tcW w:w="1276" w:type="dxa"/>
            <w:gridSpan w:val="2"/>
            <w:vAlign w:val="center"/>
          </w:tcPr>
          <w:p w14:paraId="68A27086"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6</w:t>
            </w:r>
            <w:r>
              <w:rPr>
                <w:rFonts w:ascii="Times New Roman" w:hAnsi="Times New Roman" w:cs="Times New Roman"/>
                <w:sz w:val="18"/>
                <w:szCs w:val="18"/>
                <w:lang w:val="en-US"/>
              </w:rPr>
              <w:t xml:space="preserve"> (75.0)</w:t>
            </w:r>
          </w:p>
        </w:tc>
        <w:tc>
          <w:tcPr>
            <w:tcW w:w="1157" w:type="dxa"/>
            <w:vAlign w:val="center"/>
          </w:tcPr>
          <w:p w14:paraId="3AC3A8EF"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w:t>
            </w:r>
            <w:r>
              <w:rPr>
                <w:rFonts w:ascii="Times New Roman" w:hAnsi="Times New Roman" w:cs="Times New Roman"/>
                <w:sz w:val="18"/>
                <w:szCs w:val="18"/>
                <w:lang w:val="en-US"/>
              </w:rPr>
              <w:t>0</w:t>
            </w:r>
            <w:r w:rsidRPr="00082A43">
              <w:rPr>
                <w:rFonts w:ascii="Times New Roman" w:hAnsi="Times New Roman" w:cs="Times New Roman"/>
                <w:sz w:val="18"/>
                <w:szCs w:val="18"/>
                <w:lang w:val="en-US"/>
              </w:rPr>
              <w:t>24</w:t>
            </w:r>
          </w:p>
        </w:tc>
        <w:tc>
          <w:tcPr>
            <w:tcW w:w="1187" w:type="dxa"/>
            <w:vAlign w:val="center"/>
          </w:tcPr>
          <w:p w14:paraId="7F34B402"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1187" w:type="dxa"/>
            <w:vAlign w:val="center"/>
          </w:tcPr>
          <w:p w14:paraId="23EAB31B"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sidRPr="00082A43">
              <w:rPr>
                <w:rFonts w:ascii="Times New Roman" w:hAnsi="Times New Roman" w:cs="Times New Roman"/>
                <w:sz w:val="18"/>
                <w:szCs w:val="18"/>
                <w:lang w:val="en-US"/>
              </w:rPr>
              <w:t>0.041</w:t>
            </w:r>
          </w:p>
        </w:tc>
        <w:tc>
          <w:tcPr>
            <w:tcW w:w="1188" w:type="dxa"/>
            <w:vAlign w:val="center"/>
          </w:tcPr>
          <w:p w14:paraId="7DE5C861"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0.132</w:t>
            </w:r>
          </w:p>
        </w:tc>
      </w:tr>
      <w:tr w:rsidR="00872D48" w:rsidRPr="00082A43" w14:paraId="0E51E4E5" w14:textId="77777777" w:rsidTr="003D2273">
        <w:trPr>
          <w:trHeight w:val="340"/>
          <w:jc w:val="center"/>
        </w:trPr>
        <w:tc>
          <w:tcPr>
            <w:tcW w:w="3797" w:type="dxa"/>
            <w:vAlign w:val="center"/>
          </w:tcPr>
          <w:p w14:paraId="3FCBB647"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Fistula volume estimated by radiological assessment (mm</w:t>
            </w:r>
            <w:r>
              <w:rPr>
                <w:rFonts w:ascii="Times New Roman" w:hAnsi="Times New Roman" w:cs="Times New Roman"/>
                <w:sz w:val="18"/>
                <w:szCs w:val="18"/>
                <w:vertAlign w:val="superscript"/>
                <w:lang w:val="en-US"/>
              </w:rPr>
              <w:t>3</w:t>
            </w:r>
            <w:r>
              <w:rPr>
                <w:rFonts w:ascii="Times New Roman" w:hAnsi="Times New Roman" w:cs="Times New Roman"/>
                <w:sz w:val="18"/>
                <w:szCs w:val="18"/>
                <w:lang w:val="en-US"/>
              </w:rPr>
              <w:t>); mean (SD)</w:t>
            </w:r>
          </w:p>
        </w:tc>
        <w:tc>
          <w:tcPr>
            <w:tcW w:w="1187" w:type="dxa"/>
            <w:gridSpan w:val="2"/>
            <w:vAlign w:val="center"/>
          </w:tcPr>
          <w:p w14:paraId="051CA886"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46.32</w:t>
            </w:r>
          </w:p>
          <w:p w14:paraId="3779D148"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(77.66)</w:t>
            </w:r>
          </w:p>
        </w:tc>
        <w:tc>
          <w:tcPr>
            <w:tcW w:w="1181" w:type="dxa"/>
            <w:vAlign w:val="center"/>
          </w:tcPr>
          <w:p w14:paraId="575E7E43"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90.01</w:t>
            </w:r>
          </w:p>
          <w:p w14:paraId="5F1EB8A3"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(91.56)</w:t>
            </w:r>
          </w:p>
        </w:tc>
        <w:tc>
          <w:tcPr>
            <w:tcW w:w="1134" w:type="dxa"/>
            <w:vAlign w:val="center"/>
          </w:tcPr>
          <w:p w14:paraId="389E3F6C"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48.29</w:t>
            </w:r>
          </w:p>
          <w:p w14:paraId="29F3F5E4"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(82.84)</w:t>
            </w:r>
          </w:p>
        </w:tc>
        <w:tc>
          <w:tcPr>
            <w:tcW w:w="1276" w:type="dxa"/>
            <w:gridSpan w:val="2"/>
            <w:vAlign w:val="center"/>
          </w:tcPr>
          <w:p w14:paraId="0F2CF5A3"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0.66</w:t>
            </w:r>
          </w:p>
          <w:p w14:paraId="4AD81E78"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(1.62)</w:t>
            </w:r>
          </w:p>
        </w:tc>
        <w:tc>
          <w:tcPr>
            <w:tcW w:w="1157" w:type="dxa"/>
            <w:vAlign w:val="center"/>
          </w:tcPr>
          <w:p w14:paraId="6015BA88"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0.0053</w:t>
            </w:r>
          </w:p>
        </w:tc>
        <w:tc>
          <w:tcPr>
            <w:tcW w:w="1187" w:type="dxa"/>
            <w:vAlign w:val="center"/>
          </w:tcPr>
          <w:p w14:paraId="3CA1E48C"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0.1936</w:t>
            </w:r>
          </w:p>
        </w:tc>
        <w:tc>
          <w:tcPr>
            <w:tcW w:w="1187" w:type="dxa"/>
            <w:vAlign w:val="center"/>
          </w:tcPr>
          <w:p w14:paraId="29C9B357"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0.002</w:t>
            </w:r>
          </w:p>
        </w:tc>
        <w:tc>
          <w:tcPr>
            <w:tcW w:w="1188" w:type="dxa"/>
            <w:vAlign w:val="center"/>
          </w:tcPr>
          <w:p w14:paraId="39F1DA56"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0.018</w:t>
            </w:r>
          </w:p>
        </w:tc>
      </w:tr>
      <w:tr w:rsidR="00872D48" w:rsidRPr="00082A43" w14:paraId="716FAD89" w14:textId="77777777" w:rsidTr="003D2273">
        <w:trPr>
          <w:trHeight w:val="340"/>
          <w:jc w:val="center"/>
        </w:trPr>
        <w:tc>
          <w:tcPr>
            <w:tcW w:w="3797" w:type="dxa"/>
            <w:tcBorders>
              <w:bottom w:val="single" w:sz="4" w:space="0" w:color="auto"/>
            </w:tcBorders>
            <w:vAlign w:val="center"/>
          </w:tcPr>
          <w:p w14:paraId="76C6DBE3" w14:textId="77777777" w:rsidR="00872D48" w:rsidRDefault="00872D48" w:rsidP="003D2273">
            <w:pPr>
              <w:pStyle w:val="Sansinterligne"/>
              <w:spacing w:line="360" w:lineRule="auto"/>
              <w:jc w:val="center"/>
              <w:rPr>
                <w:rFonts w:ascii="Times New Roman" w:hAnsi="Times New Roman" w:cs="Times New Roman"/>
                <w:sz w:val="18"/>
                <w:szCs w:val="18"/>
                <w:lang w:val="en-US"/>
              </w:rPr>
            </w:pPr>
            <w:proofErr w:type="spellStart"/>
            <w:r>
              <w:rPr>
                <w:rFonts w:ascii="Times New Roman" w:hAnsi="Times New Roman" w:cs="Times New Roman"/>
                <w:sz w:val="18"/>
                <w:szCs w:val="18"/>
                <w:lang w:val="en-US"/>
              </w:rPr>
              <w:t>Zühlke</w:t>
            </w:r>
            <w:proofErr w:type="spellEnd"/>
            <w:r>
              <w:rPr>
                <w:rFonts w:ascii="Times New Roman" w:hAnsi="Times New Roman" w:cs="Times New Roman"/>
                <w:sz w:val="18"/>
                <w:szCs w:val="18"/>
                <w:lang w:val="en-US"/>
              </w:rPr>
              <w:t xml:space="preserve"> score; mean (SD)</w:t>
            </w:r>
          </w:p>
        </w:tc>
        <w:tc>
          <w:tcPr>
            <w:tcW w:w="1187" w:type="dxa"/>
            <w:gridSpan w:val="2"/>
            <w:tcBorders>
              <w:bottom w:val="single" w:sz="4" w:space="0" w:color="auto"/>
            </w:tcBorders>
            <w:vAlign w:val="center"/>
          </w:tcPr>
          <w:p w14:paraId="45EE843B"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2.0 (1.10)</w:t>
            </w:r>
          </w:p>
        </w:tc>
        <w:tc>
          <w:tcPr>
            <w:tcW w:w="1181" w:type="dxa"/>
            <w:tcBorders>
              <w:bottom w:val="single" w:sz="4" w:space="0" w:color="auto"/>
            </w:tcBorders>
            <w:vAlign w:val="center"/>
          </w:tcPr>
          <w:p w14:paraId="6A53B382"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2.75 (1.28)</w:t>
            </w:r>
          </w:p>
        </w:tc>
        <w:tc>
          <w:tcPr>
            <w:tcW w:w="1134" w:type="dxa"/>
            <w:tcBorders>
              <w:bottom w:val="single" w:sz="4" w:space="0" w:color="auto"/>
            </w:tcBorders>
            <w:vAlign w:val="center"/>
          </w:tcPr>
          <w:p w14:paraId="281A6788"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1.88 (0.83)</w:t>
            </w:r>
          </w:p>
        </w:tc>
        <w:tc>
          <w:tcPr>
            <w:tcW w:w="1276" w:type="dxa"/>
            <w:gridSpan w:val="2"/>
            <w:tcBorders>
              <w:bottom w:val="single" w:sz="4" w:space="0" w:color="auto"/>
            </w:tcBorders>
            <w:vAlign w:val="center"/>
          </w:tcPr>
          <w:p w14:paraId="18029610"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1.38 (0.74)</w:t>
            </w:r>
          </w:p>
        </w:tc>
        <w:tc>
          <w:tcPr>
            <w:tcW w:w="1157" w:type="dxa"/>
            <w:tcBorders>
              <w:bottom w:val="single" w:sz="4" w:space="0" w:color="auto"/>
            </w:tcBorders>
            <w:vAlign w:val="center"/>
          </w:tcPr>
          <w:p w14:paraId="3643AC7E" w14:textId="77777777" w:rsidR="00872D48"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0.087</w:t>
            </w:r>
          </w:p>
        </w:tc>
        <w:tc>
          <w:tcPr>
            <w:tcW w:w="1187" w:type="dxa"/>
            <w:tcBorders>
              <w:bottom w:val="single" w:sz="4" w:space="0" w:color="auto"/>
            </w:tcBorders>
            <w:vAlign w:val="center"/>
          </w:tcPr>
          <w:p w14:paraId="5D3D3EF4"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0.3147</w:t>
            </w:r>
          </w:p>
        </w:tc>
        <w:tc>
          <w:tcPr>
            <w:tcW w:w="1187" w:type="dxa"/>
            <w:tcBorders>
              <w:bottom w:val="single" w:sz="4" w:space="0" w:color="auto"/>
            </w:tcBorders>
            <w:vAlign w:val="center"/>
          </w:tcPr>
          <w:p w14:paraId="11A50709"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0.1189</w:t>
            </w:r>
          </w:p>
        </w:tc>
        <w:tc>
          <w:tcPr>
            <w:tcW w:w="1188" w:type="dxa"/>
            <w:tcBorders>
              <w:bottom w:val="single" w:sz="4" w:space="0" w:color="auto"/>
            </w:tcBorders>
            <w:vAlign w:val="center"/>
          </w:tcPr>
          <w:p w14:paraId="030BA96F" w14:textId="77777777" w:rsidR="00872D48" w:rsidRPr="00082A43" w:rsidRDefault="00872D48" w:rsidP="003D2273">
            <w:pPr>
              <w:pStyle w:val="Sansinterligne"/>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1</w:t>
            </w:r>
          </w:p>
        </w:tc>
      </w:tr>
    </w:tbl>
    <w:p w14:paraId="64615309" w14:textId="77777777" w:rsidR="00872D48" w:rsidRPr="00135836" w:rsidRDefault="00872D48" w:rsidP="00872D48">
      <w:pPr>
        <w:spacing w:after="160" w:line="276" w:lineRule="auto"/>
        <w:jc w:val="both"/>
        <w:rPr>
          <w:rFonts w:ascii="Times New Roman" w:eastAsia="Times New Roman" w:hAnsi="Times New Roman" w:cs="Times New Roman"/>
          <w:color w:val="000000" w:themeColor="text1"/>
          <w:sz w:val="16"/>
          <w:szCs w:val="16"/>
          <w:lang w:val="en-US"/>
        </w:rPr>
      </w:pPr>
      <w:r w:rsidRPr="00D56B51">
        <w:rPr>
          <w:rFonts w:ascii="Times New Roman" w:hAnsi="Times New Roman" w:cs="Times New Roman"/>
          <w:iCs/>
          <w:lang w:val="en-GB"/>
        </w:rPr>
        <w:t>EVG: treatment with extracellular vesicles + gel. n: number of cases. SD: standard deviation. All: comparison between all 3 groups. C vs G: control group versus gel group. C vs E</w:t>
      </w:r>
      <w:r>
        <w:rPr>
          <w:rFonts w:ascii="Times New Roman" w:hAnsi="Times New Roman" w:cs="Times New Roman"/>
          <w:iCs/>
          <w:lang w:val="en-GB"/>
        </w:rPr>
        <w:t>VG</w:t>
      </w:r>
      <w:r w:rsidRPr="00D56B51">
        <w:rPr>
          <w:rFonts w:ascii="Times New Roman" w:hAnsi="Times New Roman" w:cs="Times New Roman"/>
          <w:iCs/>
          <w:lang w:val="en-GB"/>
        </w:rPr>
        <w:t>: control group versus EVG group. G vs E</w:t>
      </w:r>
      <w:r>
        <w:rPr>
          <w:rFonts w:ascii="Times New Roman" w:hAnsi="Times New Roman" w:cs="Times New Roman"/>
          <w:iCs/>
          <w:lang w:val="en-GB"/>
        </w:rPr>
        <w:t>VG</w:t>
      </w:r>
      <w:r w:rsidRPr="00D56B51">
        <w:rPr>
          <w:rFonts w:ascii="Times New Roman" w:hAnsi="Times New Roman" w:cs="Times New Roman"/>
          <w:iCs/>
          <w:lang w:val="en-GB"/>
        </w:rPr>
        <w:t>: control group versus EVG group. For categorical variables, comparisons between more than 2 groups were done with the Chi-square test; and pair-wise comparisons were performed with Fisher’s exact test for 2 by 2 contingency tables or the Chi-square test otherwise. For unpaired continuous variables, comparisons between more than two groups were done with the Kruskal-</w:t>
      </w:r>
      <w:proofErr w:type="gramStart"/>
      <w:r w:rsidRPr="00D56B51">
        <w:rPr>
          <w:rFonts w:ascii="Times New Roman" w:hAnsi="Times New Roman" w:cs="Times New Roman"/>
          <w:iCs/>
          <w:lang w:val="en-GB"/>
        </w:rPr>
        <w:t>Wallis</w:t>
      </w:r>
      <w:proofErr w:type="gramEnd"/>
      <w:r w:rsidRPr="00D56B51">
        <w:rPr>
          <w:rFonts w:ascii="Times New Roman" w:hAnsi="Times New Roman" w:cs="Times New Roman"/>
          <w:iCs/>
          <w:lang w:val="en-GB"/>
        </w:rPr>
        <w:t xml:space="preserve"> test; and pair-wise comparisons were performed with the Mann-Whitney test. p &lt; 0.05 was considered significant.</w:t>
      </w:r>
    </w:p>
    <w:p w14:paraId="04BB7131" w14:textId="77777777" w:rsidR="00872D48" w:rsidRDefault="00872D48" w:rsidP="00872D48">
      <w:pPr>
        <w:rPr>
          <w:lang w:val="en-US"/>
        </w:rPr>
        <w:sectPr w:rsidR="00872D48" w:rsidSect="00872D48">
          <w:pgSz w:w="16840" w:h="11900" w:orient="landscape"/>
          <w:pgMar w:top="1417" w:right="1417" w:bottom="1417" w:left="1417" w:header="708" w:footer="708" w:gutter="0"/>
          <w:cols w:space="708"/>
          <w:docGrid w:linePitch="360"/>
        </w:sectPr>
      </w:pPr>
    </w:p>
    <w:p w14:paraId="25F20E03" w14:textId="77777777" w:rsidR="00872D48" w:rsidRDefault="00872D48" w:rsidP="00872D48">
      <w:pPr>
        <w:rPr>
          <w:lang w:val="en-US"/>
        </w:rPr>
      </w:pPr>
    </w:p>
    <w:p w14:paraId="52105F2F" w14:textId="77777777" w:rsidR="00872D48" w:rsidRDefault="00872D48" w:rsidP="00872D48">
      <w:pPr>
        <w:rPr>
          <w:lang w:val="en-US"/>
        </w:rPr>
      </w:pPr>
    </w:p>
    <w:p w14:paraId="59205C99" w14:textId="77777777" w:rsidR="00872D48" w:rsidRPr="00A12255" w:rsidRDefault="00872D48" w:rsidP="00872D48">
      <w:pPr>
        <w:outlineLvl w:val="0"/>
        <w:rPr>
          <w:rFonts w:ascii="Times New Roman" w:hAnsi="Times New Roman" w:cs="Times New Roman"/>
          <w:b/>
          <w:bCs/>
          <w:sz w:val="32"/>
          <w:lang w:val="en-US"/>
        </w:rPr>
      </w:pPr>
      <w:r>
        <w:rPr>
          <w:rFonts w:ascii="Times New Roman" w:hAnsi="Times New Roman" w:cs="Times New Roman"/>
          <w:b/>
          <w:bCs/>
          <w:sz w:val="32"/>
          <w:lang w:val="en-US"/>
        </w:rPr>
        <w:t xml:space="preserve">Supplementary </w:t>
      </w:r>
      <w:r w:rsidRPr="00A12255">
        <w:rPr>
          <w:rFonts w:ascii="Times New Roman" w:hAnsi="Times New Roman" w:cs="Times New Roman"/>
          <w:b/>
          <w:bCs/>
          <w:sz w:val="32"/>
          <w:lang w:val="en-US"/>
        </w:rPr>
        <w:t xml:space="preserve">Figures </w:t>
      </w:r>
    </w:p>
    <w:p w14:paraId="498D4135" w14:textId="77777777" w:rsidR="00872D48" w:rsidRDefault="00872D48" w:rsidP="00872D48">
      <w:pPr>
        <w:rPr>
          <w:lang w:val="en-US"/>
        </w:rPr>
      </w:pPr>
    </w:p>
    <w:p w14:paraId="4B0B701C" w14:textId="77777777" w:rsidR="00872D48" w:rsidRDefault="00872D48" w:rsidP="00872D48">
      <w:pPr>
        <w:rPr>
          <w:rFonts w:ascii="Times New Roman" w:hAnsi="Times New Roman" w:cs="Times New Roman"/>
          <w:b/>
          <w:lang w:val="en-US"/>
        </w:rPr>
      </w:pPr>
    </w:p>
    <w:p w14:paraId="10D8C48E" w14:textId="77777777" w:rsidR="00872D48" w:rsidRPr="009F6A68" w:rsidRDefault="00872D48" w:rsidP="00872D48">
      <w:pPr>
        <w:rPr>
          <w:lang w:val="en-US"/>
        </w:rPr>
      </w:pPr>
      <w:r>
        <w:rPr>
          <w:noProof/>
          <w:lang w:eastAsia="fr-FR"/>
        </w:rPr>
        <w:drawing>
          <wp:anchor distT="0" distB="0" distL="114300" distR="114300" simplePos="0" relativeHeight="251659264" behindDoc="0" locked="0" layoutInCell="1" allowOverlap="1" wp14:anchorId="3A1A9C37" wp14:editId="29E7C026">
            <wp:simplePos x="0" y="0"/>
            <wp:positionH relativeFrom="column">
              <wp:posOffset>-266177</wp:posOffset>
            </wp:positionH>
            <wp:positionV relativeFrom="paragraph">
              <wp:posOffset>1696010</wp:posOffset>
            </wp:positionV>
            <wp:extent cx="6376035" cy="3188970"/>
            <wp:effectExtent l="0" t="0" r="0" b="0"/>
            <wp:wrapSquare wrapText="bothSides"/>
            <wp:docPr id="7" name="Image 7" descr="Une image contenant Chair, sang&#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Chair, sang&#10;&#10;Description générée automatiquement"/>
                    <pic:cNvPicPr>
                      <a:picLocks noChangeAspect="1" noChangeArrowheads="1"/>
                    </pic:cNvPicPr>
                  </pic:nvPicPr>
                  <pic:blipFill>
                    <a:blip r:embed="rId5"/>
                    <a:srcRect/>
                    <a:stretch>
                      <a:fillRect/>
                    </a:stretch>
                  </pic:blipFill>
                  <pic:spPr bwMode="auto">
                    <a:xfrm>
                      <a:off x="0" y="0"/>
                      <a:ext cx="6376035" cy="3188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lang w:val="en-US"/>
        </w:rPr>
        <w:t xml:space="preserve">Supplementary Figure 1. Procedure of sleeve gastrectomy and gastro-cutaneous fistula induction in a rat model. A. </w:t>
      </w:r>
      <w:r>
        <w:rPr>
          <w:rFonts w:ascii="Times New Roman" w:hAnsi="Times New Roman" w:cs="Times New Roman"/>
          <w:lang w:val="en-US"/>
        </w:rPr>
        <w:t xml:space="preserve">General disposition and landmarks for sleeve gastrectomy. Pa: pancreas. Py: pylorus. L: liver. OGJ: </w:t>
      </w:r>
      <w:proofErr w:type="spellStart"/>
      <w:r>
        <w:rPr>
          <w:rFonts w:ascii="Times New Roman" w:hAnsi="Times New Roman" w:cs="Times New Roman"/>
          <w:lang w:val="en-US"/>
        </w:rPr>
        <w:t>oesogastric</w:t>
      </w:r>
      <w:proofErr w:type="spellEnd"/>
      <w:r>
        <w:rPr>
          <w:rFonts w:ascii="Times New Roman" w:hAnsi="Times New Roman" w:cs="Times New Roman"/>
          <w:lang w:val="en-US"/>
        </w:rPr>
        <w:t xml:space="preserve"> junction. GC: great curvature of the stomach. R: rumen. The discontinuous line represents the sectional plane for sleeve gastrectomy, beginning 5 mm from the pylorus. </w:t>
      </w:r>
      <w:r>
        <w:rPr>
          <w:rFonts w:ascii="Times New Roman" w:hAnsi="Times New Roman" w:cs="Times New Roman"/>
          <w:b/>
          <w:lang w:val="en-US"/>
        </w:rPr>
        <w:t>B.</w:t>
      </w:r>
      <w:r>
        <w:rPr>
          <w:rFonts w:ascii="Times New Roman" w:hAnsi="Times New Roman" w:cs="Times New Roman"/>
          <w:lang w:val="en-US"/>
        </w:rPr>
        <w:t xml:space="preserve"> Section of the stomach and application of a vertical stapler. </w:t>
      </w:r>
      <w:r>
        <w:rPr>
          <w:rFonts w:ascii="Times New Roman" w:hAnsi="Times New Roman" w:cs="Times New Roman"/>
          <w:b/>
          <w:lang w:val="en-US"/>
        </w:rPr>
        <w:t>C.</w:t>
      </w:r>
      <w:r>
        <w:rPr>
          <w:rFonts w:ascii="Times New Roman" w:hAnsi="Times New Roman" w:cs="Times New Roman"/>
          <w:lang w:val="en-US"/>
        </w:rPr>
        <w:t xml:space="preserve"> Definitive aspect after vertical sleeve gastrectomy. </w:t>
      </w:r>
      <w:r>
        <w:rPr>
          <w:rFonts w:ascii="Times New Roman" w:hAnsi="Times New Roman" w:cs="Times New Roman"/>
          <w:b/>
          <w:lang w:val="en-US"/>
        </w:rPr>
        <w:t xml:space="preserve">D. </w:t>
      </w:r>
      <w:r>
        <w:rPr>
          <w:rFonts w:ascii="Times New Roman" w:hAnsi="Times New Roman" w:cs="Times New Roman"/>
          <w:lang w:val="en-US"/>
        </w:rPr>
        <w:t xml:space="preserve"> Creation of the fistula following a staggered passage through the abdominal muscles and subcutaneous tissues. </w:t>
      </w:r>
      <w:r>
        <w:rPr>
          <w:rFonts w:ascii="Times New Roman" w:hAnsi="Times New Roman" w:cs="Times New Roman"/>
          <w:b/>
          <w:lang w:val="en-US"/>
        </w:rPr>
        <w:t xml:space="preserve">E. </w:t>
      </w:r>
      <w:r>
        <w:rPr>
          <w:rFonts w:ascii="Times New Roman" w:hAnsi="Times New Roman" w:cs="Times New Roman"/>
          <w:lang w:val="en-US"/>
        </w:rPr>
        <w:t xml:space="preserve">Creation of the external fistula orifice. </w:t>
      </w:r>
      <w:r>
        <w:rPr>
          <w:rFonts w:ascii="Times New Roman" w:hAnsi="Times New Roman" w:cs="Times New Roman"/>
          <w:b/>
          <w:lang w:val="en-US"/>
        </w:rPr>
        <w:t xml:space="preserve">F. </w:t>
      </w:r>
      <w:r>
        <w:rPr>
          <w:rFonts w:ascii="Times New Roman" w:hAnsi="Times New Roman" w:cs="Times New Roman"/>
          <w:lang w:val="en-US"/>
        </w:rPr>
        <w:t>Definitive aspect of the fistula at post-operative day 45.</w:t>
      </w:r>
    </w:p>
    <w:p w14:paraId="66F94204" w14:textId="77777777" w:rsidR="00872D48" w:rsidRDefault="00872D48" w:rsidP="00872D48">
      <w:pPr>
        <w:rPr>
          <w:lang w:val="en-US"/>
        </w:rPr>
      </w:pPr>
      <w:r>
        <w:rPr>
          <w:lang w:val="en-US"/>
        </w:rPr>
        <w:br w:type="page"/>
      </w:r>
    </w:p>
    <w:p w14:paraId="036689C5" w14:textId="77777777" w:rsidR="00872D48" w:rsidRDefault="00872D48" w:rsidP="00872D48">
      <w:pPr>
        <w:rPr>
          <w:rFonts w:ascii="Times New Roman" w:hAnsi="Times New Roman" w:cs="Times New Roman"/>
          <w:b/>
          <w:lang w:val="en-US"/>
        </w:rPr>
      </w:pPr>
    </w:p>
    <w:p w14:paraId="0FBFF6C7" w14:textId="77777777" w:rsidR="00872D48" w:rsidRDefault="00872D48" w:rsidP="00872D48">
      <w:pPr>
        <w:rPr>
          <w:rFonts w:ascii="Times New Roman" w:hAnsi="Times New Roman" w:cs="Times New Roman"/>
          <w:lang w:val="en-US"/>
        </w:rPr>
      </w:pPr>
      <w:r>
        <w:rPr>
          <w:noProof/>
          <w:lang w:eastAsia="fr-FR"/>
        </w:rPr>
        <w:drawing>
          <wp:anchor distT="0" distB="0" distL="114300" distR="114300" simplePos="0" relativeHeight="251662336" behindDoc="0" locked="0" layoutInCell="1" allowOverlap="1" wp14:anchorId="3AC3474C" wp14:editId="7093121D">
            <wp:simplePos x="0" y="0"/>
            <wp:positionH relativeFrom="column">
              <wp:posOffset>7620</wp:posOffset>
            </wp:positionH>
            <wp:positionV relativeFrom="paragraph">
              <wp:posOffset>1330960</wp:posOffset>
            </wp:positionV>
            <wp:extent cx="5760085" cy="1431925"/>
            <wp:effectExtent l="19050" t="0" r="0" b="0"/>
            <wp:wrapSquare wrapText="bothSides"/>
            <wp:docPr id="13" name="Image 13"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capture d’écran&#10;&#10;Description générée automatiquement"/>
                    <pic:cNvPicPr>
                      <a:picLocks noChangeAspect="1" noChangeArrowheads="1"/>
                    </pic:cNvPicPr>
                  </pic:nvPicPr>
                  <pic:blipFill>
                    <a:blip r:embed="rId6"/>
                    <a:srcRect/>
                    <a:stretch>
                      <a:fillRect/>
                    </a:stretch>
                  </pic:blipFill>
                  <pic:spPr bwMode="auto">
                    <a:xfrm>
                      <a:off x="0" y="0"/>
                      <a:ext cx="5760085" cy="1431925"/>
                    </a:xfrm>
                    <a:prstGeom prst="rect">
                      <a:avLst/>
                    </a:prstGeom>
                    <a:noFill/>
                    <a:ln w="9525">
                      <a:noFill/>
                      <a:miter lim="800000"/>
                      <a:headEnd/>
                      <a:tailEnd/>
                    </a:ln>
                  </pic:spPr>
                </pic:pic>
              </a:graphicData>
            </a:graphic>
          </wp:anchor>
        </w:drawing>
      </w:r>
      <w:r>
        <w:rPr>
          <w:rFonts w:ascii="Times New Roman" w:hAnsi="Times New Roman" w:cs="Times New Roman"/>
          <w:b/>
          <w:lang w:val="en-US"/>
        </w:rPr>
        <w:t xml:space="preserve">Supplementary Figure 2. Three experimental protocols for </w:t>
      </w:r>
      <w:proofErr w:type="spellStart"/>
      <w:r>
        <w:rPr>
          <w:rFonts w:ascii="Times New Roman" w:hAnsi="Times New Roman" w:cs="Times New Roman"/>
          <w:b/>
          <w:lang w:val="en-US"/>
        </w:rPr>
        <w:t>gastrocutaneous</w:t>
      </w:r>
      <w:proofErr w:type="spellEnd"/>
      <w:r>
        <w:rPr>
          <w:rFonts w:ascii="Times New Roman" w:hAnsi="Times New Roman" w:cs="Times New Roman"/>
          <w:b/>
          <w:lang w:val="en-US"/>
        </w:rPr>
        <w:t xml:space="preserve"> fistula induction following sleeve gastrectomy in a pig model. A. </w:t>
      </w:r>
      <w:r>
        <w:rPr>
          <w:rFonts w:ascii="Times New Roman" w:hAnsi="Times New Roman" w:cs="Times New Roman"/>
          <w:lang w:val="en-US"/>
        </w:rPr>
        <w:t xml:space="preserve">The fundic pouch was preserved with the stapling ending at the greater curvature just below the fundic pouch. </w:t>
      </w:r>
      <w:r>
        <w:rPr>
          <w:rFonts w:ascii="Times New Roman" w:hAnsi="Times New Roman" w:cs="Times New Roman"/>
          <w:b/>
          <w:lang w:val="en-US"/>
        </w:rPr>
        <w:t xml:space="preserve">B. </w:t>
      </w:r>
      <w:r>
        <w:rPr>
          <w:rFonts w:ascii="Times New Roman" w:hAnsi="Times New Roman" w:cs="Times New Roman"/>
          <w:lang w:val="en-US"/>
        </w:rPr>
        <w:t xml:space="preserve">The fundic pouch was resected with the stapling ending at the cardia near the </w:t>
      </w:r>
      <w:proofErr w:type="spellStart"/>
      <w:r>
        <w:rPr>
          <w:rFonts w:ascii="Times New Roman" w:hAnsi="Times New Roman" w:cs="Times New Roman"/>
          <w:lang w:val="en-US"/>
        </w:rPr>
        <w:t>oesogastric</w:t>
      </w:r>
      <w:proofErr w:type="spellEnd"/>
      <w:r>
        <w:rPr>
          <w:rFonts w:ascii="Times New Roman" w:hAnsi="Times New Roman" w:cs="Times New Roman"/>
          <w:lang w:val="en-US"/>
        </w:rPr>
        <w:t xml:space="preserve"> junction. </w:t>
      </w:r>
      <w:r>
        <w:rPr>
          <w:rFonts w:ascii="Times New Roman" w:hAnsi="Times New Roman" w:cs="Times New Roman"/>
          <w:b/>
          <w:lang w:val="en-US"/>
        </w:rPr>
        <w:t xml:space="preserve">C. </w:t>
      </w:r>
      <w:r>
        <w:rPr>
          <w:rFonts w:ascii="Times New Roman" w:hAnsi="Times New Roman" w:cs="Times New Roman"/>
          <w:lang w:val="en-US"/>
        </w:rPr>
        <w:t xml:space="preserve">The fundic pouch was partially resected and a light stenosis was induced at the level of the lesser curvature; with the stapling ending at the fundus, 4 to 6 cm from the </w:t>
      </w:r>
      <w:proofErr w:type="spellStart"/>
      <w:r>
        <w:rPr>
          <w:rFonts w:ascii="Times New Roman" w:hAnsi="Times New Roman" w:cs="Times New Roman"/>
          <w:lang w:val="en-US"/>
        </w:rPr>
        <w:t>oesogastric</w:t>
      </w:r>
      <w:proofErr w:type="spellEnd"/>
      <w:r>
        <w:rPr>
          <w:rFonts w:ascii="Times New Roman" w:hAnsi="Times New Roman" w:cs="Times New Roman"/>
          <w:lang w:val="en-US"/>
        </w:rPr>
        <w:t xml:space="preserve"> junction.</w:t>
      </w:r>
    </w:p>
    <w:p w14:paraId="526AEA36" w14:textId="77777777" w:rsidR="00872D48" w:rsidRDefault="00872D48" w:rsidP="00872D48">
      <w:pPr>
        <w:rPr>
          <w:rFonts w:ascii="Times New Roman" w:hAnsi="Times New Roman" w:cs="Times New Roman"/>
          <w:b/>
          <w:lang w:val="en-US"/>
        </w:rPr>
      </w:pPr>
    </w:p>
    <w:p w14:paraId="6AA8031D" w14:textId="77777777" w:rsidR="00872D48" w:rsidRDefault="00872D48" w:rsidP="00872D48">
      <w:pPr>
        <w:rPr>
          <w:rFonts w:ascii="Times New Roman" w:hAnsi="Times New Roman" w:cs="Times New Roman"/>
          <w:lang w:val="en-US"/>
        </w:rPr>
      </w:pPr>
      <w:r>
        <w:rPr>
          <w:noProof/>
          <w:lang w:eastAsia="fr-FR"/>
        </w:rPr>
        <w:drawing>
          <wp:anchor distT="0" distB="0" distL="114300" distR="114300" simplePos="0" relativeHeight="251660288" behindDoc="0" locked="0" layoutInCell="1" allowOverlap="1" wp14:anchorId="552AC4C4" wp14:editId="64CB7223">
            <wp:simplePos x="0" y="0"/>
            <wp:positionH relativeFrom="column">
              <wp:posOffset>-35560</wp:posOffset>
            </wp:positionH>
            <wp:positionV relativeFrom="paragraph">
              <wp:posOffset>1299845</wp:posOffset>
            </wp:positionV>
            <wp:extent cx="5760085" cy="3821430"/>
            <wp:effectExtent l="19050" t="0" r="0" b="0"/>
            <wp:wrapSquare wrapText="bothSides"/>
            <wp:docPr id="10" name="Image 10" descr="Une image contenant Chair, ongl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Chair, ongle, personne&#10;&#10;Description générée automatiquement"/>
                    <pic:cNvPicPr>
                      <a:picLocks noChangeAspect="1" noChangeArrowheads="1"/>
                    </pic:cNvPicPr>
                  </pic:nvPicPr>
                  <pic:blipFill>
                    <a:blip r:embed="rId7"/>
                    <a:srcRect/>
                    <a:stretch>
                      <a:fillRect/>
                    </a:stretch>
                  </pic:blipFill>
                  <pic:spPr bwMode="auto">
                    <a:xfrm>
                      <a:off x="0" y="0"/>
                      <a:ext cx="5760085" cy="3821430"/>
                    </a:xfrm>
                    <a:prstGeom prst="rect">
                      <a:avLst/>
                    </a:prstGeom>
                    <a:noFill/>
                    <a:ln w="9525">
                      <a:noFill/>
                      <a:miter lim="800000"/>
                      <a:headEnd/>
                      <a:tailEnd/>
                    </a:ln>
                  </pic:spPr>
                </pic:pic>
              </a:graphicData>
            </a:graphic>
          </wp:anchor>
        </w:drawing>
      </w:r>
      <w:r>
        <w:rPr>
          <w:rFonts w:ascii="Times New Roman" w:hAnsi="Times New Roman" w:cs="Times New Roman"/>
          <w:b/>
          <w:lang w:val="en-US"/>
        </w:rPr>
        <w:t xml:space="preserve">Supplementary Figure 3. Procedure of sleeve gastrectomy and </w:t>
      </w:r>
      <w:proofErr w:type="spellStart"/>
      <w:r>
        <w:rPr>
          <w:rFonts w:ascii="Times New Roman" w:hAnsi="Times New Roman" w:cs="Times New Roman"/>
          <w:b/>
          <w:lang w:val="en-US"/>
        </w:rPr>
        <w:t>gastrocutaneous</w:t>
      </w:r>
      <w:proofErr w:type="spellEnd"/>
      <w:r>
        <w:rPr>
          <w:rFonts w:ascii="Times New Roman" w:hAnsi="Times New Roman" w:cs="Times New Roman"/>
          <w:b/>
          <w:lang w:val="en-US"/>
        </w:rPr>
        <w:t xml:space="preserve"> fistula induction in a pig model. A. </w:t>
      </w:r>
      <w:r>
        <w:rPr>
          <w:rFonts w:ascii="Times New Roman" w:hAnsi="Times New Roman" w:cs="Times New Roman"/>
          <w:lang w:val="en-US"/>
        </w:rPr>
        <w:t xml:space="preserve">Gastric dissection. </w:t>
      </w:r>
      <w:r>
        <w:rPr>
          <w:rFonts w:ascii="Times New Roman" w:hAnsi="Times New Roman" w:cs="Times New Roman"/>
          <w:b/>
          <w:lang w:val="en-US"/>
        </w:rPr>
        <w:t xml:space="preserve">B and C. </w:t>
      </w:r>
      <w:r>
        <w:rPr>
          <w:rFonts w:ascii="Times New Roman" w:hAnsi="Times New Roman" w:cs="Times New Roman"/>
          <w:lang w:val="en-US"/>
        </w:rPr>
        <w:t xml:space="preserve">Gastric calibration with a 36-French bougie tube advanced to the level of the pylorus and sleeve gastrectomy beginning 3 to 4 cm from the pylorus. </w:t>
      </w:r>
      <w:r>
        <w:rPr>
          <w:rFonts w:ascii="Times New Roman" w:hAnsi="Times New Roman" w:cs="Times New Roman"/>
          <w:b/>
          <w:lang w:val="en-US"/>
        </w:rPr>
        <w:t xml:space="preserve">D. </w:t>
      </w:r>
      <w:r>
        <w:rPr>
          <w:rFonts w:ascii="Times New Roman" w:hAnsi="Times New Roman" w:cs="Times New Roman"/>
          <w:lang w:val="en-US"/>
        </w:rPr>
        <w:t xml:space="preserve">Firing of 3-4 vertical staplers along the calibration tube. </w:t>
      </w:r>
      <w:r>
        <w:rPr>
          <w:rFonts w:ascii="Times New Roman" w:hAnsi="Times New Roman" w:cs="Times New Roman"/>
          <w:b/>
          <w:lang w:val="en-US"/>
        </w:rPr>
        <w:t xml:space="preserve">E. </w:t>
      </w:r>
      <w:r>
        <w:rPr>
          <w:rFonts w:ascii="Times New Roman" w:hAnsi="Times New Roman" w:cs="Times New Roman"/>
          <w:lang w:val="en-US"/>
        </w:rPr>
        <w:t xml:space="preserve">Final aspect of the sleeve gastrectomy after manual suture over the staple line. </w:t>
      </w:r>
      <w:r>
        <w:rPr>
          <w:rFonts w:ascii="Times New Roman" w:hAnsi="Times New Roman" w:cs="Times New Roman"/>
          <w:b/>
          <w:lang w:val="en-US"/>
        </w:rPr>
        <w:t xml:space="preserve">F and G. </w:t>
      </w:r>
      <w:r>
        <w:rPr>
          <w:rFonts w:ascii="Times New Roman" w:hAnsi="Times New Roman" w:cs="Times New Roman"/>
          <w:lang w:val="en-US"/>
        </w:rPr>
        <w:t xml:space="preserve">Creation of </w:t>
      </w:r>
      <w:proofErr w:type="spellStart"/>
      <w:r>
        <w:rPr>
          <w:rFonts w:ascii="Times New Roman" w:hAnsi="Times New Roman" w:cs="Times New Roman"/>
          <w:lang w:val="en-US"/>
        </w:rPr>
        <w:t>gastrocutaneous</w:t>
      </w:r>
      <w:proofErr w:type="spellEnd"/>
      <w:r>
        <w:rPr>
          <w:rFonts w:ascii="Times New Roman" w:hAnsi="Times New Roman" w:cs="Times New Roman"/>
          <w:lang w:val="en-US"/>
        </w:rPr>
        <w:t xml:space="preserve"> fistula through the insertion of 2 catheters between the stomach at the top of the staple line and the skin. </w:t>
      </w:r>
      <w:r>
        <w:rPr>
          <w:rFonts w:ascii="Times New Roman" w:hAnsi="Times New Roman" w:cs="Times New Roman"/>
          <w:b/>
          <w:lang w:val="en-US"/>
        </w:rPr>
        <w:t xml:space="preserve">H. </w:t>
      </w:r>
      <w:r>
        <w:rPr>
          <w:rFonts w:ascii="Times New Roman" w:hAnsi="Times New Roman" w:cs="Times New Roman"/>
          <w:lang w:val="en-US"/>
        </w:rPr>
        <w:t>Excluded stomach removed after surgery.</w:t>
      </w:r>
    </w:p>
    <w:p w14:paraId="4A8C6625" w14:textId="77777777" w:rsidR="00872D48" w:rsidRDefault="00872D48" w:rsidP="00872D48">
      <w:pPr>
        <w:rPr>
          <w:rFonts w:ascii="Times New Roman" w:hAnsi="Times New Roman" w:cs="Times New Roman"/>
          <w:lang w:val="en-US"/>
        </w:rPr>
      </w:pPr>
    </w:p>
    <w:p w14:paraId="073787E4" w14:textId="77777777" w:rsidR="00872D48" w:rsidRDefault="00872D48" w:rsidP="00872D48">
      <w:pPr>
        <w:rPr>
          <w:lang w:val="en-US"/>
        </w:rPr>
      </w:pPr>
    </w:p>
    <w:p w14:paraId="7864DF43" w14:textId="77777777" w:rsidR="00872D48" w:rsidRDefault="00872D48" w:rsidP="00872D48">
      <w:pPr>
        <w:rPr>
          <w:lang w:val="en-US"/>
        </w:rPr>
      </w:pPr>
      <w:r>
        <w:rPr>
          <w:lang w:val="en-US"/>
        </w:rPr>
        <w:br w:type="page"/>
      </w:r>
    </w:p>
    <w:p w14:paraId="50D5F856" w14:textId="77777777" w:rsidR="00872D48" w:rsidRDefault="00872D48" w:rsidP="00872D48">
      <w:pPr>
        <w:rPr>
          <w:rFonts w:ascii="Times New Roman" w:hAnsi="Times New Roman" w:cs="Times New Roman"/>
          <w:lang w:val="en-US"/>
        </w:rPr>
      </w:pPr>
    </w:p>
    <w:p w14:paraId="3BA4E3C5" w14:textId="77777777" w:rsidR="00872D48" w:rsidRDefault="00872D48" w:rsidP="00872D48">
      <w:pPr>
        <w:rPr>
          <w:lang w:val="en-US"/>
        </w:rPr>
      </w:pPr>
    </w:p>
    <w:p w14:paraId="3FC2BEF4" w14:textId="77777777" w:rsidR="00872D48" w:rsidRDefault="00872D48" w:rsidP="00872D48">
      <w:pPr>
        <w:rPr>
          <w:lang w:val="en-US"/>
        </w:rPr>
      </w:pPr>
    </w:p>
    <w:p w14:paraId="2D246DEF" w14:textId="77777777" w:rsidR="00872D48" w:rsidRDefault="00872D48" w:rsidP="00872D48">
      <w:pPr>
        <w:rPr>
          <w:lang w:val="en-US"/>
        </w:rPr>
      </w:pPr>
    </w:p>
    <w:p w14:paraId="699A34C0" w14:textId="23843999" w:rsidR="00872D48" w:rsidRPr="00B561A1" w:rsidRDefault="00872D48" w:rsidP="00872D48">
      <w:pPr>
        <w:rPr>
          <w:rFonts w:ascii="Times New Roman" w:hAnsi="Times New Roman" w:cs="Times New Roman"/>
          <w:lang w:val="en-US"/>
        </w:rPr>
      </w:pPr>
      <w:r>
        <w:rPr>
          <w:rFonts w:ascii="Times New Roman" w:hAnsi="Times New Roman" w:cs="Times New Roman"/>
          <w:b/>
          <w:lang w:val="en-US"/>
        </w:rPr>
        <w:t xml:space="preserve">Supplementary </w:t>
      </w:r>
      <w:r w:rsidRPr="00B561A1">
        <w:rPr>
          <w:rFonts w:ascii="Times New Roman" w:hAnsi="Times New Roman" w:cs="Times New Roman"/>
          <w:b/>
          <w:lang w:val="en-US"/>
        </w:rPr>
        <w:t xml:space="preserve">Figure </w:t>
      </w:r>
      <w:r>
        <w:rPr>
          <w:rFonts w:ascii="Times New Roman" w:hAnsi="Times New Roman" w:cs="Times New Roman"/>
          <w:b/>
          <w:lang w:val="en-US"/>
        </w:rPr>
        <w:t>4</w:t>
      </w:r>
      <w:r w:rsidRPr="00B561A1">
        <w:rPr>
          <w:rFonts w:ascii="Times New Roman" w:hAnsi="Times New Roman" w:cs="Times New Roman"/>
          <w:b/>
          <w:lang w:val="en-US"/>
        </w:rPr>
        <w:t>. Representative ADSC EV size distribution after ultracentrifugation assessed by NTA.</w:t>
      </w:r>
      <w:r w:rsidRPr="00B561A1">
        <w:rPr>
          <w:rFonts w:ascii="Times New Roman" w:hAnsi="Times New Roman" w:cs="Times New Roman"/>
          <w:lang w:val="en-US"/>
        </w:rPr>
        <w:t xml:space="preserve"> Results are presented as the average concentration in function of the size measured as determined by the Finite Track Length </w:t>
      </w:r>
      <w:proofErr w:type="spellStart"/>
      <w:r w:rsidRPr="00B561A1">
        <w:rPr>
          <w:rFonts w:ascii="Times New Roman" w:hAnsi="Times New Roman" w:cs="Times New Roman"/>
          <w:lang w:val="en-US"/>
        </w:rPr>
        <w:t>Adjustement</w:t>
      </w:r>
      <w:proofErr w:type="spellEnd"/>
      <w:r w:rsidRPr="00B561A1">
        <w:rPr>
          <w:rFonts w:ascii="Times New Roman" w:hAnsi="Times New Roman" w:cs="Times New Roman"/>
          <w:lang w:val="en-US"/>
        </w:rPr>
        <w:t xml:space="preserve"> method over 5 videos of 60 seconds for one representative EV production.</w:t>
      </w:r>
    </w:p>
    <w:p w14:paraId="5BE69C2A" w14:textId="0EE9EBEB" w:rsidR="00872D48" w:rsidRPr="00B561A1" w:rsidRDefault="00872D48" w:rsidP="00872D48">
      <w:pPr>
        <w:rPr>
          <w:rFonts w:ascii="Times New Roman" w:hAnsi="Times New Roman" w:cs="Times New Roman"/>
          <w:lang w:val="en-US"/>
        </w:rPr>
      </w:pPr>
      <w:r>
        <w:rPr>
          <w:rFonts w:ascii="Times New Roman" w:hAnsi="Times New Roman" w:cs="Times New Roman"/>
          <w:noProof/>
          <w:lang w:eastAsia="fr-FR"/>
        </w:rPr>
        <w:drawing>
          <wp:anchor distT="0" distB="0" distL="114300" distR="114300" simplePos="0" relativeHeight="251661312" behindDoc="0" locked="0" layoutInCell="1" allowOverlap="1" wp14:anchorId="6BE687DF" wp14:editId="4BD7A1E7">
            <wp:simplePos x="0" y="0"/>
            <wp:positionH relativeFrom="column">
              <wp:posOffset>-46355</wp:posOffset>
            </wp:positionH>
            <wp:positionV relativeFrom="paragraph">
              <wp:posOffset>125244</wp:posOffset>
            </wp:positionV>
            <wp:extent cx="3145155" cy="2091055"/>
            <wp:effectExtent l="19050" t="0" r="0" b="0"/>
            <wp:wrapSquare wrapText="bothSides"/>
            <wp:docPr id="11" name="Image 6" descr="Une image contenant texte, capture d’écran, diagramme, Tracé&#10;&#10;Description générée automatiquement">
              <a:extLst xmlns:a="http://schemas.openxmlformats.org/drawingml/2006/main">
                <a:ext uri="{FF2B5EF4-FFF2-40B4-BE49-F238E27FC236}">
                  <a16:creationId xmlns:a16="http://schemas.microsoft.com/office/drawing/2014/main" id="{530E4871-4C0A-4E92-A3C5-108F61FD8BAB}"/>
                </a:ext>
              </a:extLst>
            </wp:docPr>
            <wp:cNvGraphicFramePr/>
            <a:graphic xmlns:a="http://schemas.openxmlformats.org/drawingml/2006/main">
              <a:graphicData uri="http://schemas.openxmlformats.org/drawingml/2006/picture">
                <pic:pic xmlns:pic="http://schemas.openxmlformats.org/drawingml/2006/picture">
                  <pic:nvPicPr>
                    <pic:cNvPr id="11" name="Image 6" descr="Une image contenant texte, capture d’écran, diagramme, Tracé&#10;&#10;Description générée automatiquement">
                      <a:extLst>
                        <a:ext uri="{FF2B5EF4-FFF2-40B4-BE49-F238E27FC236}">
                          <a16:creationId xmlns:a16="http://schemas.microsoft.com/office/drawing/2014/main" id="{530E4871-4C0A-4E92-A3C5-108F61FD8BAB}"/>
                        </a:ext>
                      </a:extLst>
                    </pic:cNvPr>
                    <pic:cNvPicPr>
                      <a:picLocks noChangeAspect="1"/>
                    </pic:cNvPicPr>
                  </pic:nvPicPr>
                  <pic:blipFill>
                    <a:blip r:embed="rId8"/>
                    <a:srcRect l="50246" t="10997" b="54651"/>
                    <a:stretch>
                      <a:fillRect/>
                    </a:stretch>
                  </pic:blipFill>
                  <pic:spPr>
                    <a:xfrm>
                      <a:off x="0" y="0"/>
                      <a:ext cx="3145155" cy="2091055"/>
                    </a:xfrm>
                    <a:prstGeom prst="rect">
                      <a:avLst/>
                    </a:prstGeom>
                  </pic:spPr>
                </pic:pic>
              </a:graphicData>
            </a:graphic>
          </wp:anchor>
        </w:drawing>
      </w:r>
    </w:p>
    <w:p w14:paraId="3901DF1C" w14:textId="04CB8640" w:rsidR="00872D48" w:rsidRPr="00B561A1" w:rsidRDefault="00872D48" w:rsidP="00872D48">
      <w:pPr>
        <w:rPr>
          <w:rFonts w:ascii="Times New Roman" w:hAnsi="Times New Roman" w:cs="Times New Roman"/>
          <w:lang w:val="en-US"/>
        </w:rPr>
      </w:pPr>
    </w:p>
    <w:p w14:paraId="17D90593" w14:textId="77777777" w:rsidR="00872D48" w:rsidRDefault="00872D48" w:rsidP="00872D48">
      <w:pPr>
        <w:rPr>
          <w:rFonts w:ascii="Times New Roman" w:hAnsi="Times New Roman" w:cs="Times New Roman"/>
          <w:lang w:val="en-US"/>
        </w:rPr>
      </w:pPr>
    </w:p>
    <w:p w14:paraId="7BB7880E" w14:textId="77777777" w:rsidR="00872D48" w:rsidRDefault="00872D48" w:rsidP="00872D48">
      <w:pPr>
        <w:rPr>
          <w:rFonts w:ascii="Times New Roman" w:hAnsi="Times New Roman" w:cs="Times New Roman"/>
          <w:lang w:val="en-US"/>
        </w:rPr>
      </w:pPr>
    </w:p>
    <w:p w14:paraId="4AEB6F01" w14:textId="77777777" w:rsidR="00872D48" w:rsidRDefault="00872D48" w:rsidP="00872D48">
      <w:pPr>
        <w:rPr>
          <w:rFonts w:ascii="Times New Roman" w:hAnsi="Times New Roman" w:cs="Times New Roman"/>
          <w:lang w:val="en-US"/>
        </w:rPr>
      </w:pPr>
    </w:p>
    <w:p w14:paraId="450E652F" w14:textId="77777777" w:rsidR="00872D48" w:rsidRDefault="00872D48" w:rsidP="00872D48">
      <w:pPr>
        <w:rPr>
          <w:rFonts w:ascii="Times New Roman" w:hAnsi="Times New Roman" w:cs="Times New Roman"/>
          <w:lang w:val="en-US"/>
        </w:rPr>
      </w:pPr>
    </w:p>
    <w:p w14:paraId="544CA486" w14:textId="77777777" w:rsidR="00872D48" w:rsidRDefault="00872D48" w:rsidP="00872D48">
      <w:pPr>
        <w:rPr>
          <w:rFonts w:ascii="Times New Roman" w:hAnsi="Times New Roman" w:cs="Times New Roman"/>
          <w:lang w:val="en-US"/>
        </w:rPr>
      </w:pPr>
    </w:p>
    <w:p w14:paraId="1B508A77" w14:textId="77777777" w:rsidR="00872D48" w:rsidRDefault="00872D48" w:rsidP="00872D48">
      <w:pPr>
        <w:rPr>
          <w:rFonts w:ascii="Times New Roman" w:hAnsi="Times New Roman" w:cs="Times New Roman"/>
          <w:lang w:val="en-US"/>
        </w:rPr>
      </w:pPr>
    </w:p>
    <w:p w14:paraId="6658EFD5" w14:textId="77777777" w:rsidR="00872D48" w:rsidRDefault="00872D48" w:rsidP="00872D48">
      <w:pPr>
        <w:rPr>
          <w:rFonts w:ascii="Times New Roman" w:hAnsi="Times New Roman" w:cs="Times New Roman"/>
          <w:b/>
          <w:noProof/>
          <w:lang w:val="en-US" w:eastAsia="fr-FR"/>
        </w:rPr>
      </w:pPr>
    </w:p>
    <w:p w14:paraId="796C7982" w14:textId="77777777" w:rsidR="00872D48" w:rsidRDefault="00872D48" w:rsidP="00872D48">
      <w:pPr>
        <w:rPr>
          <w:rFonts w:ascii="Times New Roman" w:hAnsi="Times New Roman" w:cs="Times New Roman"/>
          <w:b/>
          <w:noProof/>
          <w:lang w:val="en-US" w:eastAsia="fr-FR"/>
        </w:rPr>
      </w:pPr>
    </w:p>
    <w:p w14:paraId="77142717" w14:textId="77777777" w:rsidR="00872D48" w:rsidRDefault="00872D48" w:rsidP="00872D48">
      <w:pPr>
        <w:rPr>
          <w:rFonts w:ascii="Times New Roman" w:hAnsi="Times New Roman" w:cs="Times New Roman"/>
          <w:b/>
          <w:noProof/>
          <w:lang w:val="en-US" w:eastAsia="fr-FR"/>
        </w:rPr>
      </w:pPr>
    </w:p>
    <w:p w14:paraId="570786E7" w14:textId="77777777" w:rsidR="00872D48" w:rsidRDefault="00872D48" w:rsidP="00872D48">
      <w:pPr>
        <w:rPr>
          <w:rFonts w:ascii="Times New Roman" w:hAnsi="Times New Roman" w:cs="Times New Roman"/>
          <w:b/>
          <w:noProof/>
          <w:lang w:val="en-US" w:eastAsia="fr-FR"/>
        </w:rPr>
      </w:pPr>
    </w:p>
    <w:p w14:paraId="6618DBEE" w14:textId="77777777" w:rsidR="00872D48" w:rsidRDefault="00872D48" w:rsidP="00872D48">
      <w:pPr>
        <w:rPr>
          <w:rFonts w:ascii="Times New Roman" w:hAnsi="Times New Roman" w:cs="Times New Roman"/>
          <w:b/>
          <w:noProof/>
          <w:lang w:val="en-US" w:eastAsia="fr-FR"/>
        </w:rPr>
      </w:pPr>
    </w:p>
    <w:p w14:paraId="17BF9FEE" w14:textId="77777777" w:rsidR="00872D48" w:rsidRDefault="00872D48" w:rsidP="00872D48">
      <w:pPr>
        <w:rPr>
          <w:rFonts w:ascii="Times New Roman" w:hAnsi="Times New Roman" w:cs="Times New Roman"/>
          <w:b/>
          <w:noProof/>
          <w:lang w:val="en-US" w:eastAsia="fr-FR"/>
        </w:rPr>
      </w:pPr>
    </w:p>
    <w:p w14:paraId="6C9D585C" w14:textId="77777777" w:rsidR="00872D48" w:rsidRDefault="00872D48" w:rsidP="00872D48">
      <w:pPr>
        <w:rPr>
          <w:rFonts w:ascii="Times New Roman" w:hAnsi="Times New Roman" w:cs="Times New Roman"/>
          <w:b/>
          <w:noProof/>
          <w:lang w:val="en-US" w:eastAsia="fr-FR"/>
        </w:rPr>
      </w:pPr>
    </w:p>
    <w:p w14:paraId="7BDCAC47" w14:textId="2D673D09" w:rsidR="00872D48" w:rsidRDefault="00872D48" w:rsidP="00872D48">
      <w:pPr>
        <w:rPr>
          <w:rFonts w:ascii="Times New Roman" w:hAnsi="Times New Roman" w:cs="Times New Roman"/>
          <w:lang w:val="en-US"/>
        </w:rPr>
      </w:pPr>
      <w:r w:rsidRPr="006314AB">
        <w:rPr>
          <w:rFonts w:ascii="Times New Roman" w:hAnsi="Times New Roman" w:cs="Times New Roman"/>
          <w:b/>
          <w:noProof/>
          <w:lang w:val="en-US" w:eastAsia="fr-FR"/>
        </w:rPr>
        <w:t>Supplementary Figure 5 (see below). Histological assessment of local inflammation, vascularization and fibrosis at post-operative day 45 in the rat model.</w:t>
      </w:r>
      <w:r w:rsidRPr="006314AB">
        <w:rPr>
          <w:rFonts w:ascii="Times New Roman" w:hAnsi="Times New Roman" w:cs="Times New Roman"/>
          <w:noProof/>
          <w:lang w:val="en-US" w:eastAsia="fr-FR"/>
        </w:rPr>
        <w:t xml:space="preserve"> Local infiltration by lymphocytes (</w:t>
      </w:r>
      <w:r w:rsidRPr="006314AB">
        <w:rPr>
          <w:rFonts w:ascii="Times New Roman" w:hAnsi="Times New Roman" w:cs="Times New Roman"/>
          <w:b/>
          <w:noProof/>
          <w:lang w:val="en-US" w:eastAsia="fr-FR"/>
        </w:rPr>
        <w:t>A.</w:t>
      </w:r>
      <w:r w:rsidRPr="006314AB">
        <w:rPr>
          <w:rFonts w:ascii="Times New Roman" w:hAnsi="Times New Roman" w:cs="Times New Roman"/>
          <w:noProof/>
          <w:lang w:val="en-US" w:eastAsia="fr-FR"/>
        </w:rPr>
        <w:t>), monocytes (</w:t>
      </w:r>
      <w:r w:rsidRPr="006314AB">
        <w:rPr>
          <w:rFonts w:ascii="Times New Roman" w:hAnsi="Times New Roman" w:cs="Times New Roman"/>
          <w:b/>
          <w:noProof/>
          <w:lang w:val="en-US" w:eastAsia="fr-FR"/>
        </w:rPr>
        <w:t>B.</w:t>
      </w:r>
      <w:r w:rsidRPr="006314AB">
        <w:rPr>
          <w:rFonts w:ascii="Times New Roman" w:hAnsi="Times New Roman" w:cs="Times New Roman"/>
          <w:noProof/>
          <w:lang w:val="en-US" w:eastAsia="fr-FR"/>
        </w:rPr>
        <w:t>), plasmocytes (</w:t>
      </w:r>
      <w:r w:rsidRPr="006314AB">
        <w:rPr>
          <w:rFonts w:ascii="Times New Roman" w:hAnsi="Times New Roman" w:cs="Times New Roman"/>
          <w:b/>
          <w:noProof/>
          <w:lang w:val="en-US" w:eastAsia="fr-FR"/>
        </w:rPr>
        <w:t>C.</w:t>
      </w:r>
      <w:r w:rsidRPr="006314AB">
        <w:rPr>
          <w:rFonts w:ascii="Times New Roman" w:hAnsi="Times New Roman" w:cs="Times New Roman"/>
          <w:noProof/>
          <w:lang w:val="en-US" w:eastAsia="fr-FR"/>
        </w:rPr>
        <w:t>), macrophages (</w:t>
      </w:r>
      <w:r w:rsidRPr="006314AB">
        <w:rPr>
          <w:rFonts w:ascii="Times New Roman" w:hAnsi="Times New Roman" w:cs="Times New Roman"/>
          <w:b/>
          <w:noProof/>
          <w:lang w:val="en-US" w:eastAsia="fr-FR"/>
        </w:rPr>
        <w:t>D.</w:t>
      </w:r>
      <w:r w:rsidRPr="006314AB">
        <w:rPr>
          <w:rFonts w:ascii="Times New Roman" w:hAnsi="Times New Roman" w:cs="Times New Roman"/>
          <w:noProof/>
          <w:lang w:val="en-US" w:eastAsia="fr-FR"/>
        </w:rPr>
        <w:t>), neutrophils (</w:t>
      </w:r>
      <w:r w:rsidRPr="006314AB">
        <w:rPr>
          <w:rFonts w:ascii="Times New Roman" w:hAnsi="Times New Roman" w:cs="Times New Roman"/>
          <w:b/>
          <w:noProof/>
          <w:lang w:val="en-US" w:eastAsia="fr-FR"/>
        </w:rPr>
        <w:t>E.</w:t>
      </w:r>
      <w:r w:rsidRPr="006314AB">
        <w:rPr>
          <w:rFonts w:ascii="Times New Roman" w:hAnsi="Times New Roman" w:cs="Times New Roman"/>
          <w:noProof/>
          <w:lang w:val="en-US" w:eastAsia="fr-FR"/>
        </w:rPr>
        <w:t>), eosinophils (</w:t>
      </w:r>
      <w:r w:rsidRPr="006314AB">
        <w:rPr>
          <w:rFonts w:ascii="Times New Roman" w:hAnsi="Times New Roman" w:cs="Times New Roman"/>
          <w:b/>
          <w:noProof/>
          <w:lang w:val="en-US" w:eastAsia="fr-FR"/>
        </w:rPr>
        <w:t>F.</w:t>
      </w:r>
      <w:r w:rsidRPr="006314AB">
        <w:rPr>
          <w:rFonts w:ascii="Times New Roman" w:hAnsi="Times New Roman" w:cs="Times New Roman"/>
          <w:noProof/>
          <w:lang w:val="en-US" w:eastAsia="fr-FR"/>
        </w:rPr>
        <w:t>), the extent of fibrosis (</w:t>
      </w:r>
      <w:r w:rsidRPr="006314AB">
        <w:rPr>
          <w:rFonts w:ascii="Times New Roman" w:hAnsi="Times New Roman" w:cs="Times New Roman"/>
          <w:b/>
          <w:noProof/>
          <w:lang w:val="en-US" w:eastAsia="fr-FR"/>
        </w:rPr>
        <w:t>G.</w:t>
      </w:r>
      <w:r w:rsidRPr="006314AB">
        <w:rPr>
          <w:rFonts w:ascii="Times New Roman" w:hAnsi="Times New Roman" w:cs="Times New Roman"/>
          <w:noProof/>
          <w:lang w:val="en-US" w:eastAsia="fr-FR"/>
        </w:rPr>
        <w:t>), local infiltration by fibroblasts (</w:t>
      </w:r>
      <w:r w:rsidRPr="006314AB">
        <w:rPr>
          <w:rFonts w:ascii="Times New Roman" w:hAnsi="Times New Roman" w:cs="Times New Roman"/>
          <w:b/>
          <w:noProof/>
          <w:lang w:val="en-US" w:eastAsia="fr-FR"/>
        </w:rPr>
        <w:t>H.</w:t>
      </w:r>
      <w:r w:rsidRPr="006314AB">
        <w:rPr>
          <w:rFonts w:ascii="Times New Roman" w:hAnsi="Times New Roman" w:cs="Times New Roman"/>
          <w:noProof/>
          <w:lang w:val="en-US" w:eastAsia="fr-FR"/>
        </w:rPr>
        <w:t>), and vascularisation (</w:t>
      </w:r>
      <w:r w:rsidRPr="006314AB">
        <w:rPr>
          <w:rFonts w:ascii="Times New Roman" w:hAnsi="Times New Roman" w:cs="Times New Roman"/>
          <w:b/>
          <w:noProof/>
          <w:lang w:val="en-US" w:eastAsia="fr-FR"/>
        </w:rPr>
        <w:t>I.</w:t>
      </w:r>
      <w:r w:rsidRPr="006314AB">
        <w:rPr>
          <w:rFonts w:ascii="Times New Roman" w:hAnsi="Times New Roman" w:cs="Times New Roman"/>
          <w:noProof/>
          <w:lang w:val="en-US" w:eastAsia="fr-FR"/>
        </w:rPr>
        <w:t xml:space="preserve">) were quoted semi-quantitatively from 0 (none) to 3 (severe) on </w:t>
      </w:r>
      <w:proofErr w:type="spellStart"/>
      <w:r w:rsidRPr="724A2AEA">
        <w:rPr>
          <w:rFonts w:ascii="Times New Roman" w:hAnsi="Times New Roman" w:cs="Times New Roman"/>
          <w:lang w:val="en-US"/>
        </w:rPr>
        <w:t>H</w:t>
      </w:r>
      <w:r>
        <w:rPr>
          <w:rFonts w:ascii="Times New Roman" w:hAnsi="Times New Roman" w:cs="Times New Roman"/>
          <w:lang w:val="en-US"/>
        </w:rPr>
        <w:t>a</w:t>
      </w:r>
      <w:r w:rsidRPr="724A2AEA">
        <w:rPr>
          <w:rFonts w:ascii="Times New Roman" w:hAnsi="Times New Roman" w:cs="Times New Roman"/>
          <w:lang w:val="en-US"/>
        </w:rPr>
        <w:t>ematoxylin</w:t>
      </w:r>
      <w:proofErr w:type="spellEnd"/>
      <w:r>
        <w:rPr>
          <w:rFonts w:ascii="Times New Roman" w:hAnsi="Times New Roman" w:cs="Times New Roman"/>
          <w:lang w:val="en-US"/>
        </w:rPr>
        <w:t xml:space="preserve"> </w:t>
      </w:r>
      <w:r w:rsidRPr="724A2AEA">
        <w:rPr>
          <w:rFonts w:ascii="Times New Roman" w:hAnsi="Times New Roman" w:cs="Times New Roman"/>
          <w:lang w:val="en-US"/>
        </w:rPr>
        <w:t>Eosin, Periodic</w:t>
      </w:r>
      <w:r>
        <w:rPr>
          <w:rFonts w:ascii="Times New Roman" w:hAnsi="Times New Roman" w:cs="Times New Roman"/>
          <w:lang w:val="en-US"/>
        </w:rPr>
        <w:t xml:space="preserve"> </w:t>
      </w:r>
      <w:r w:rsidRPr="724A2AEA">
        <w:rPr>
          <w:rFonts w:ascii="Times New Roman" w:hAnsi="Times New Roman" w:cs="Times New Roman"/>
          <w:lang w:val="en-US"/>
        </w:rPr>
        <w:t>acid-Schiff, and Sirius Red staining</w:t>
      </w:r>
      <w:r w:rsidRPr="006314AB">
        <w:rPr>
          <w:rFonts w:ascii="Times New Roman" w:hAnsi="Times New Roman" w:cs="Times New Roman"/>
          <w:noProof/>
          <w:lang w:val="en-US" w:eastAsia="fr-FR"/>
        </w:rPr>
        <w:t xml:space="preserve">. </w:t>
      </w:r>
      <w:r>
        <w:rPr>
          <w:rFonts w:ascii="Times New Roman" w:hAnsi="Times New Roman" w:cs="Times New Roman"/>
          <w:lang w:val="en-US"/>
        </w:rPr>
        <w:t>Data were analyzed with the Chi-square test followed by Fisher’s exact test.</w:t>
      </w:r>
    </w:p>
    <w:p w14:paraId="5BCA10B5" w14:textId="77777777" w:rsidR="00872D48" w:rsidRDefault="00872D48" w:rsidP="00872D48">
      <w:pPr>
        <w:rPr>
          <w:rFonts w:ascii="Times New Roman" w:hAnsi="Times New Roman" w:cs="Times New Roman"/>
          <w:lang w:val="en-US"/>
        </w:rPr>
        <w:sectPr w:rsidR="00872D48" w:rsidSect="00872D48">
          <w:pgSz w:w="11900" w:h="16840"/>
          <w:pgMar w:top="1417" w:right="1417" w:bottom="1417" w:left="1417" w:header="708" w:footer="708" w:gutter="0"/>
          <w:cols w:space="708"/>
          <w:docGrid w:linePitch="360"/>
        </w:sectPr>
      </w:pPr>
      <w:r>
        <w:rPr>
          <w:rFonts w:ascii="Times New Roman" w:hAnsi="Times New Roman" w:cs="Times New Roman"/>
          <w:lang w:val="en-US"/>
        </w:rPr>
        <w:t>** p ≤ 0.01. EV: extracellular vesicles. EVG: extracellular vesicles embedded in gel. ADSC: adipose-derived stromal cells.</w:t>
      </w:r>
    </w:p>
    <w:p w14:paraId="71EFE5C3" w14:textId="77777777" w:rsidR="00872D48" w:rsidRDefault="00CD211E" w:rsidP="00872D48">
      <w:pPr>
        <w:rPr>
          <w:rFonts w:ascii="Times New Roman" w:hAnsi="Times New Roman" w:cs="Times New Roman"/>
          <w:lang w:val="en-US"/>
        </w:rPr>
      </w:pPr>
      <w:r>
        <w:rPr>
          <w:rFonts w:ascii="Times New Roman" w:hAnsi="Times New Roman" w:cs="Times New Roman"/>
          <w:noProof/>
          <w:lang w:val="en-US"/>
        </w:rPr>
        <w:object w:dxaOrig="14803" w:dyaOrig="11398" w14:anchorId="7FAD4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437.65pt;height:336pt;mso-width-percent:0;mso-height-percent:0;mso-width-percent:0;mso-height-percent:0" o:ole="" filled="t">
            <v:imagedata r:id="rId9" o:title=""/>
          </v:shape>
          <o:OLEObject Type="Embed" ProgID="Prism8.Document" ShapeID="_x0000_i1030" DrawAspect="Content" ObjectID="_1806135060" r:id="rId10"/>
        </w:object>
      </w:r>
    </w:p>
    <w:p w14:paraId="1B4E6D44" w14:textId="77777777" w:rsidR="00872D48" w:rsidRPr="00B561A1" w:rsidRDefault="00872D48" w:rsidP="00872D48">
      <w:pPr>
        <w:rPr>
          <w:rFonts w:ascii="Times New Roman" w:hAnsi="Times New Roman" w:cs="Times New Roman"/>
          <w:lang w:val="en-US"/>
        </w:rPr>
      </w:pPr>
    </w:p>
    <w:p w14:paraId="2AC29442" w14:textId="77777777" w:rsidR="00872D48" w:rsidRPr="00B561A1" w:rsidRDefault="00872D48" w:rsidP="00872D48">
      <w:pPr>
        <w:rPr>
          <w:rFonts w:ascii="Times New Roman" w:hAnsi="Times New Roman" w:cs="Times New Roman"/>
          <w:lang w:val="en-US"/>
        </w:rPr>
      </w:pPr>
    </w:p>
    <w:p w14:paraId="05BE778E" w14:textId="77777777" w:rsidR="00872D48" w:rsidRDefault="00872D48" w:rsidP="00872D48">
      <w:pPr>
        <w:rPr>
          <w:rFonts w:ascii="Times New Roman" w:hAnsi="Times New Roman" w:cs="Times New Roman"/>
          <w:b/>
          <w:lang w:val="en-US"/>
        </w:rPr>
      </w:pPr>
    </w:p>
    <w:p w14:paraId="7C896B91" w14:textId="77777777" w:rsidR="00872D48" w:rsidRDefault="00872D48" w:rsidP="00872D48">
      <w:pPr>
        <w:rPr>
          <w:rFonts w:ascii="Times New Roman" w:hAnsi="Times New Roman" w:cs="Times New Roman"/>
          <w:b/>
          <w:lang w:val="en-US"/>
        </w:rPr>
      </w:pPr>
    </w:p>
    <w:p w14:paraId="2EF022A0" w14:textId="77777777" w:rsidR="00872D48" w:rsidRDefault="00872D48" w:rsidP="00872D48">
      <w:pPr>
        <w:rPr>
          <w:rFonts w:ascii="Times New Roman" w:hAnsi="Times New Roman" w:cs="Times New Roman"/>
          <w:b/>
          <w:lang w:val="en-US"/>
        </w:rPr>
      </w:pPr>
    </w:p>
    <w:p w14:paraId="6E476865" w14:textId="77777777" w:rsidR="00872D48" w:rsidRDefault="00872D48" w:rsidP="00872D48">
      <w:pPr>
        <w:rPr>
          <w:rFonts w:ascii="Times New Roman" w:hAnsi="Times New Roman" w:cs="Times New Roman"/>
          <w:b/>
          <w:lang w:val="en-US"/>
        </w:rPr>
      </w:pPr>
    </w:p>
    <w:p w14:paraId="04E220AC" w14:textId="77777777" w:rsidR="00872D48" w:rsidRDefault="00872D48" w:rsidP="00872D48">
      <w:pPr>
        <w:rPr>
          <w:rFonts w:ascii="Times New Roman" w:hAnsi="Times New Roman" w:cs="Times New Roman"/>
          <w:b/>
          <w:lang w:val="en-US"/>
        </w:rPr>
      </w:pPr>
    </w:p>
    <w:p w14:paraId="55C85E7A" w14:textId="77777777" w:rsidR="00872D48" w:rsidRDefault="00872D48" w:rsidP="00872D48">
      <w:pPr>
        <w:rPr>
          <w:rFonts w:ascii="Times New Roman" w:hAnsi="Times New Roman" w:cs="Times New Roman"/>
          <w:b/>
          <w:lang w:val="en-US"/>
        </w:rPr>
      </w:pPr>
    </w:p>
    <w:p w14:paraId="00484600" w14:textId="77777777" w:rsidR="00872D48" w:rsidRDefault="00872D48" w:rsidP="00872D48">
      <w:pPr>
        <w:rPr>
          <w:rFonts w:ascii="Times New Roman" w:hAnsi="Times New Roman" w:cs="Times New Roman"/>
          <w:b/>
          <w:lang w:val="en-US"/>
        </w:rPr>
      </w:pPr>
    </w:p>
    <w:p w14:paraId="1D4E49ED" w14:textId="77777777" w:rsidR="00872D48" w:rsidRDefault="00872D48" w:rsidP="00872D48">
      <w:pPr>
        <w:rPr>
          <w:rFonts w:ascii="Times New Roman" w:hAnsi="Times New Roman" w:cs="Times New Roman"/>
          <w:b/>
          <w:lang w:val="en-US"/>
        </w:rPr>
      </w:pPr>
    </w:p>
    <w:p w14:paraId="6C40C1A3" w14:textId="77777777" w:rsidR="00872D48" w:rsidRDefault="00872D48" w:rsidP="00872D48">
      <w:pPr>
        <w:rPr>
          <w:rFonts w:ascii="Times New Roman" w:hAnsi="Times New Roman" w:cs="Times New Roman"/>
          <w:b/>
          <w:lang w:val="en-US"/>
        </w:rPr>
      </w:pPr>
    </w:p>
    <w:p w14:paraId="4FA89A1B" w14:textId="77777777" w:rsidR="00872D48" w:rsidRDefault="00872D48" w:rsidP="00872D48">
      <w:pPr>
        <w:rPr>
          <w:rFonts w:ascii="Times New Roman" w:hAnsi="Times New Roman" w:cs="Times New Roman"/>
          <w:b/>
          <w:lang w:val="en-US"/>
        </w:rPr>
      </w:pPr>
    </w:p>
    <w:p w14:paraId="5B688359" w14:textId="77777777" w:rsidR="00872D48" w:rsidRDefault="00872D48" w:rsidP="00872D48">
      <w:pPr>
        <w:rPr>
          <w:rFonts w:ascii="Times New Roman" w:hAnsi="Times New Roman" w:cs="Times New Roman"/>
          <w:b/>
          <w:lang w:val="en-US"/>
        </w:rPr>
      </w:pPr>
    </w:p>
    <w:p w14:paraId="04C6EEC5" w14:textId="77777777" w:rsidR="00872D48" w:rsidRDefault="00872D48" w:rsidP="00872D48">
      <w:pPr>
        <w:rPr>
          <w:rFonts w:ascii="Times New Roman" w:hAnsi="Times New Roman" w:cs="Times New Roman"/>
          <w:b/>
          <w:lang w:val="en-US"/>
        </w:rPr>
      </w:pPr>
    </w:p>
    <w:p w14:paraId="6AF64ADE" w14:textId="77777777" w:rsidR="00872D48" w:rsidRDefault="00872D48" w:rsidP="00872D48">
      <w:pPr>
        <w:rPr>
          <w:rFonts w:ascii="Times New Roman" w:hAnsi="Times New Roman" w:cs="Times New Roman"/>
          <w:b/>
          <w:lang w:val="en-US"/>
        </w:rPr>
      </w:pPr>
    </w:p>
    <w:p w14:paraId="5D923C53" w14:textId="77777777" w:rsidR="00872D48" w:rsidRDefault="00872D48" w:rsidP="00872D48">
      <w:pPr>
        <w:rPr>
          <w:rFonts w:ascii="Times New Roman" w:hAnsi="Times New Roman" w:cs="Times New Roman"/>
          <w:b/>
          <w:lang w:val="en-US"/>
        </w:rPr>
      </w:pPr>
    </w:p>
    <w:p w14:paraId="6927027B" w14:textId="77777777" w:rsidR="00872D48" w:rsidRDefault="00872D48" w:rsidP="00872D48">
      <w:pPr>
        <w:rPr>
          <w:rFonts w:ascii="Times New Roman" w:hAnsi="Times New Roman" w:cs="Times New Roman"/>
          <w:b/>
          <w:lang w:val="en-US"/>
        </w:rPr>
      </w:pPr>
    </w:p>
    <w:p w14:paraId="7A2DBC74" w14:textId="77777777" w:rsidR="00872D48" w:rsidRDefault="00872D48" w:rsidP="00872D48">
      <w:pPr>
        <w:rPr>
          <w:rFonts w:ascii="Times New Roman" w:hAnsi="Times New Roman" w:cs="Times New Roman"/>
          <w:b/>
          <w:lang w:val="en-US"/>
        </w:rPr>
      </w:pPr>
    </w:p>
    <w:p w14:paraId="6B0B72D1" w14:textId="77777777" w:rsidR="00872D48" w:rsidRDefault="00872D48" w:rsidP="00872D48">
      <w:pPr>
        <w:rPr>
          <w:rFonts w:ascii="Times New Roman" w:hAnsi="Times New Roman" w:cs="Times New Roman"/>
          <w:b/>
          <w:lang w:val="en-US"/>
        </w:rPr>
      </w:pPr>
    </w:p>
    <w:p w14:paraId="1A5BBCE0" w14:textId="77777777" w:rsidR="00872D48" w:rsidRDefault="00872D48" w:rsidP="00872D48">
      <w:pPr>
        <w:rPr>
          <w:rFonts w:ascii="Times New Roman" w:hAnsi="Times New Roman" w:cs="Times New Roman"/>
          <w:b/>
          <w:lang w:val="en-US"/>
        </w:rPr>
      </w:pPr>
    </w:p>
    <w:p w14:paraId="0A0EDF8D" w14:textId="77777777" w:rsidR="00872D48" w:rsidRDefault="00872D48" w:rsidP="00872D48">
      <w:pPr>
        <w:rPr>
          <w:rFonts w:ascii="Times New Roman" w:hAnsi="Times New Roman" w:cs="Times New Roman"/>
          <w:b/>
          <w:lang w:val="en-US"/>
        </w:rPr>
      </w:pPr>
    </w:p>
    <w:p w14:paraId="3CC9A4BE" w14:textId="77777777" w:rsidR="00872D48" w:rsidRDefault="00872D48" w:rsidP="00872D48">
      <w:pPr>
        <w:rPr>
          <w:rFonts w:ascii="Times New Roman" w:hAnsi="Times New Roman" w:cs="Times New Roman"/>
          <w:b/>
          <w:lang w:val="en-US"/>
        </w:rPr>
      </w:pPr>
    </w:p>
    <w:p w14:paraId="10CAF210" w14:textId="77777777" w:rsidR="00872D48" w:rsidRDefault="00872D48" w:rsidP="00872D48">
      <w:pPr>
        <w:rPr>
          <w:rFonts w:ascii="Times New Roman" w:hAnsi="Times New Roman" w:cs="Times New Roman"/>
          <w:b/>
          <w:lang w:val="en-US"/>
        </w:rPr>
      </w:pPr>
    </w:p>
    <w:p w14:paraId="3FE73892" w14:textId="77777777" w:rsidR="00872D48" w:rsidRDefault="00872D48" w:rsidP="00872D48">
      <w:pPr>
        <w:rPr>
          <w:rFonts w:ascii="Times New Roman" w:hAnsi="Times New Roman" w:cs="Times New Roman"/>
          <w:b/>
          <w:lang w:val="en-US"/>
        </w:rPr>
      </w:pPr>
    </w:p>
    <w:p w14:paraId="76FD3250" w14:textId="54B50755" w:rsidR="00872D48" w:rsidRDefault="00872D48" w:rsidP="00872D48">
      <w:pPr>
        <w:rPr>
          <w:rFonts w:ascii="Times New Roman" w:hAnsi="Times New Roman" w:cs="Times New Roman"/>
          <w:lang w:val="en-US"/>
        </w:rPr>
      </w:pPr>
      <w:r>
        <w:rPr>
          <w:rFonts w:ascii="Times New Roman" w:hAnsi="Times New Roman" w:cs="Times New Roman"/>
          <w:b/>
          <w:lang w:val="en-US"/>
        </w:rPr>
        <w:lastRenderedPageBreak/>
        <w:t xml:space="preserve">Supplementary Figure 6. Histological scoring in rats at post-operative day 45. A. </w:t>
      </w:r>
      <w:r>
        <w:rPr>
          <w:rFonts w:ascii="Times New Roman" w:hAnsi="Times New Roman" w:cs="Times New Roman"/>
          <w:lang w:val="en-US"/>
        </w:rPr>
        <w:t xml:space="preserve">Epithelial damage. </w:t>
      </w:r>
      <w:r>
        <w:rPr>
          <w:rFonts w:ascii="Times New Roman" w:hAnsi="Times New Roman" w:cs="Times New Roman"/>
          <w:b/>
          <w:lang w:val="en-US"/>
        </w:rPr>
        <w:t xml:space="preserve">B. </w:t>
      </w:r>
      <w:r>
        <w:rPr>
          <w:rFonts w:ascii="Times New Roman" w:hAnsi="Times New Roman" w:cs="Times New Roman"/>
          <w:lang w:val="en-US"/>
        </w:rPr>
        <w:t xml:space="preserve">Mucosal inflammation. </w:t>
      </w:r>
      <w:r>
        <w:rPr>
          <w:rFonts w:ascii="Times New Roman" w:hAnsi="Times New Roman" w:cs="Times New Roman"/>
          <w:b/>
          <w:lang w:val="en-US"/>
        </w:rPr>
        <w:t xml:space="preserve">C. </w:t>
      </w:r>
      <w:r>
        <w:rPr>
          <w:rFonts w:ascii="Times New Roman" w:hAnsi="Times New Roman" w:cs="Times New Roman"/>
          <w:lang w:val="en-US"/>
        </w:rPr>
        <w:t xml:space="preserve">Submucosal inflammation. </w:t>
      </w:r>
      <w:r>
        <w:rPr>
          <w:rFonts w:ascii="Times New Roman" w:hAnsi="Times New Roman" w:cs="Times New Roman"/>
          <w:b/>
          <w:lang w:val="en-US"/>
        </w:rPr>
        <w:t>D.</w:t>
      </w:r>
      <w:r>
        <w:rPr>
          <w:rFonts w:ascii="Times New Roman" w:hAnsi="Times New Roman" w:cs="Times New Roman"/>
          <w:lang w:val="en-US"/>
        </w:rPr>
        <w:t xml:space="preserve"> Overall histological scoring. Data were analyzed with the Chi-square test.</w:t>
      </w:r>
    </w:p>
    <w:p w14:paraId="6A801BF3" w14:textId="68E9B679" w:rsidR="00872D48" w:rsidRDefault="00872D48" w:rsidP="00872D48">
      <w:pPr>
        <w:rPr>
          <w:rFonts w:ascii="Times New Roman" w:hAnsi="Times New Roman" w:cs="Times New Roman"/>
          <w:lang w:val="en-US"/>
        </w:rPr>
      </w:pPr>
      <w:r>
        <w:rPr>
          <w:rFonts w:ascii="Times New Roman" w:hAnsi="Times New Roman" w:cs="Times New Roman"/>
          <w:lang w:val="en-US"/>
        </w:rPr>
        <w:t>EV: extracellular vesicles. EVG: extracellular vesicles embedded in gel. ADSC: adipose-derived stromal cells.</w:t>
      </w:r>
    </w:p>
    <w:p w14:paraId="4FBD20E7" w14:textId="0BD65369" w:rsidR="00872D48" w:rsidRDefault="00CD211E" w:rsidP="00872D48">
      <w:pPr>
        <w:rPr>
          <w:rFonts w:ascii="Times New Roman" w:hAnsi="Times New Roman" w:cs="Times New Roman"/>
          <w:b/>
          <w:lang w:val="en-US"/>
        </w:rPr>
      </w:pPr>
      <w:r>
        <w:rPr>
          <w:rFonts w:ascii="Times New Roman" w:hAnsi="Times New Roman" w:cs="Times New Roman"/>
          <w:b/>
          <w:noProof/>
        </w:rPr>
        <w:object w:dxaOrig="1440" w:dyaOrig="1440" w14:anchorId="23AE2BB8">
          <v:shape id="_x0000_s1027" type="#_x0000_t75" alt="" style="position:absolute;margin-left:-4pt;margin-top:7.65pt;width:382.65pt;height:297.25pt;z-index:251663360;mso-wrap-edited:f;mso-width-percent:0;mso-height-percent:0;mso-width-percent:0;mso-height-percent:0" wrapcoords="-33 0 -33 21557 21600 21557 21600 0 -33 0" filled="t">
            <v:imagedata r:id="rId11" o:title=""/>
            <w10:wrap type="tight"/>
          </v:shape>
          <o:OLEObject Type="Embed" ProgID="Prism8.Document" ShapeID="_x0000_s1027" DrawAspect="Content" ObjectID="_1806135065" r:id="rId12"/>
        </w:object>
      </w:r>
    </w:p>
    <w:p w14:paraId="25A41FC7" w14:textId="6C7B4F4B" w:rsidR="00872D48" w:rsidRDefault="00872D48" w:rsidP="00872D48">
      <w:pPr>
        <w:rPr>
          <w:rFonts w:ascii="Times New Roman" w:hAnsi="Times New Roman" w:cs="Times New Roman"/>
          <w:b/>
          <w:lang w:val="en-US"/>
        </w:rPr>
      </w:pPr>
      <w:r>
        <w:rPr>
          <w:rFonts w:ascii="Times New Roman" w:hAnsi="Times New Roman" w:cs="Times New Roman"/>
          <w:b/>
          <w:lang w:val="en-US"/>
        </w:rPr>
        <w:br w:type="page"/>
      </w:r>
    </w:p>
    <w:p w14:paraId="2463D150" w14:textId="3C904B7B" w:rsidR="00872D48" w:rsidRDefault="00872D48" w:rsidP="00872D48">
      <w:pPr>
        <w:rPr>
          <w:rFonts w:ascii="Times New Roman" w:hAnsi="Times New Roman" w:cs="Times New Roman"/>
          <w:b/>
          <w:lang w:val="en-US"/>
        </w:rPr>
      </w:pPr>
    </w:p>
    <w:p w14:paraId="2461B07F" w14:textId="275B4B13" w:rsidR="00872D48" w:rsidRDefault="00872D48" w:rsidP="00872D48">
      <w:pPr>
        <w:rPr>
          <w:rFonts w:ascii="Times New Roman" w:hAnsi="Times New Roman" w:cs="Times New Roman"/>
          <w:lang w:val="en-US"/>
        </w:rPr>
      </w:pPr>
      <w:r>
        <w:rPr>
          <w:rFonts w:ascii="Times New Roman" w:hAnsi="Times New Roman" w:cs="Times New Roman"/>
          <w:b/>
          <w:lang w:val="en-US"/>
        </w:rPr>
        <w:t>Supplementary Figure 7. Immunohistochemical analysis in the rat model at post-operative day 45. A.</w:t>
      </w:r>
      <w:r>
        <w:rPr>
          <w:rFonts w:ascii="Times New Roman" w:hAnsi="Times New Roman" w:cs="Times New Roman"/>
          <w:lang w:val="en-US"/>
        </w:rPr>
        <w:t xml:space="preserve"> The density of CD31 was evaluated semi-quantitatively from 0 (none) to 3 (important) as a marker of </w:t>
      </w:r>
      <w:proofErr w:type="spellStart"/>
      <w:r>
        <w:rPr>
          <w:rFonts w:ascii="Times New Roman" w:hAnsi="Times New Roman" w:cs="Times New Roman"/>
          <w:lang w:val="en-US"/>
        </w:rPr>
        <w:t>vascularisation</w:t>
      </w:r>
      <w:proofErr w:type="spellEnd"/>
      <w:r>
        <w:rPr>
          <w:rFonts w:ascii="Times New Roman" w:hAnsi="Times New Roman" w:cs="Times New Roman"/>
          <w:lang w:val="en-US"/>
        </w:rPr>
        <w:t xml:space="preserve">. </w:t>
      </w:r>
      <w:r>
        <w:rPr>
          <w:rFonts w:ascii="Times New Roman" w:hAnsi="Times New Roman" w:cs="Times New Roman"/>
          <w:b/>
          <w:lang w:val="en-US"/>
        </w:rPr>
        <w:t>B.</w:t>
      </w:r>
      <w:r>
        <w:rPr>
          <w:rFonts w:ascii="Times New Roman" w:hAnsi="Times New Roman" w:cs="Times New Roman"/>
          <w:lang w:val="en-US"/>
        </w:rPr>
        <w:t xml:space="preserve"> The density of smooth muscle actin was similarly assessed as a marker of myofibroblasts. Data were analyzed with the Chi-square test. </w:t>
      </w:r>
      <w:proofErr w:type="gramStart"/>
      <w:r>
        <w:rPr>
          <w:rFonts w:ascii="Times New Roman" w:hAnsi="Times New Roman" w:cs="Times New Roman"/>
          <w:lang w:val="en-US"/>
        </w:rPr>
        <w:t>EV :</w:t>
      </w:r>
      <w:proofErr w:type="gramEnd"/>
      <w:r>
        <w:rPr>
          <w:rFonts w:ascii="Times New Roman" w:hAnsi="Times New Roman" w:cs="Times New Roman"/>
          <w:lang w:val="en-US"/>
        </w:rPr>
        <w:t xml:space="preserve"> extracellular vesicles. </w:t>
      </w:r>
      <w:proofErr w:type="gramStart"/>
      <w:r>
        <w:rPr>
          <w:rFonts w:ascii="Times New Roman" w:hAnsi="Times New Roman" w:cs="Times New Roman"/>
          <w:lang w:val="en-US"/>
        </w:rPr>
        <w:t>EVG :</w:t>
      </w:r>
      <w:proofErr w:type="gramEnd"/>
      <w:r>
        <w:rPr>
          <w:rFonts w:ascii="Times New Roman" w:hAnsi="Times New Roman" w:cs="Times New Roman"/>
          <w:lang w:val="en-US"/>
        </w:rPr>
        <w:t xml:space="preserve"> extracellular vesicles embedded in gel. </w:t>
      </w:r>
      <w:proofErr w:type="gramStart"/>
      <w:r>
        <w:rPr>
          <w:rFonts w:ascii="Times New Roman" w:hAnsi="Times New Roman" w:cs="Times New Roman"/>
          <w:lang w:val="en-US"/>
        </w:rPr>
        <w:t>ADSC :</w:t>
      </w:r>
      <w:proofErr w:type="gramEnd"/>
      <w:r>
        <w:rPr>
          <w:rFonts w:ascii="Times New Roman" w:hAnsi="Times New Roman" w:cs="Times New Roman"/>
          <w:lang w:val="en-US"/>
        </w:rPr>
        <w:t xml:space="preserve"> adipose-derived stromal cells.</w:t>
      </w:r>
    </w:p>
    <w:p w14:paraId="52BCC816" w14:textId="06AC7971" w:rsidR="00872D48" w:rsidRDefault="00CD211E" w:rsidP="00872D48">
      <w:pPr>
        <w:rPr>
          <w:rFonts w:ascii="Times New Roman" w:hAnsi="Times New Roman" w:cs="Times New Roman"/>
          <w:lang w:val="en-US"/>
        </w:rPr>
      </w:pPr>
      <w:r>
        <w:rPr>
          <w:rFonts w:ascii="Times New Roman" w:hAnsi="Times New Roman" w:cs="Times New Roman"/>
          <w:b/>
          <w:noProof/>
        </w:rPr>
        <w:object w:dxaOrig="1440" w:dyaOrig="1440" w14:anchorId="24914A73">
          <v:shape id="_x0000_s1026" type="#_x0000_t75" alt="" style="position:absolute;margin-left:-.35pt;margin-top:12.1pt;width:306pt;height:453pt;z-index:251664384;mso-wrap-edited:f;mso-width-percent:0;mso-height-percent:0;mso-width-percent:0;mso-height-percent:0" wrapcoords="-53 0 -53 21564 21600 21564 21600 0 -53 0" filled="t">
            <v:imagedata r:id="rId13" o:title=""/>
            <w10:wrap type="tight"/>
          </v:shape>
          <o:OLEObject Type="Embed" ProgID="Prism8.Document" ShapeID="_x0000_s1026" DrawAspect="Content" ObjectID="_1806135064" r:id="rId14"/>
        </w:object>
      </w:r>
      <w:r w:rsidR="00872D48">
        <w:rPr>
          <w:rFonts w:ascii="Times New Roman" w:hAnsi="Times New Roman" w:cs="Times New Roman"/>
          <w:lang w:val="en-US"/>
        </w:rPr>
        <w:br w:type="page"/>
      </w:r>
    </w:p>
    <w:p w14:paraId="2F54C691" w14:textId="61C1810E" w:rsidR="00872D48" w:rsidRDefault="00872D48" w:rsidP="00872D48">
      <w:pPr>
        <w:rPr>
          <w:rFonts w:ascii="Times New Roman" w:hAnsi="Times New Roman" w:cs="Times New Roman"/>
          <w:lang w:val="en-US"/>
        </w:rPr>
      </w:pPr>
    </w:p>
    <w:p w14:paraId="62526298" w14:textId="77777777" w:rsidR="00872D48" w:rsidRDefault="00872D48" w:rsidP="00872D48">
      <w:pPr>
        <w:rPr>
          <w:rFonts w:ascii="Times New Roman" w:hAnsi="Times New Roman" w:cs="Times New Roman"/>
          <w:lang w:val="en-US"/>
        </w:rPr>
      </w:pPr>
    </w:p>
    <w:p w14:paraId="0D9D4AB9" w14:textId="16843313" w:rsidR="00872D48" w:rsidRDefault="00872D48" w:rsidP="00872D48">
      <w:pPr>
        <w:rPr>
          <w:rFonts w:ascii="Times New Roman" w:hAnsi="Times New Roman" w:cs="Times New Roman"/>
          <w:lang w:val="en-US"/>
        </w:rPr>
      </w:pPr>
      <w:r>
        <w:rPr>
          <w:rFonts w:ascii="Times New Roman" w:hAnsi="Times New Roman" w:cs="Times New Roman"/>
          <w:b/>
          <w:lang w:val="en-US"/>
        </w:rPr>
        <w:t xml:space="preserve">Supplementary Figure 8. Comparison of the maximal fistula diameter </w:t>
      </w:r>
      <w:r w:rsidRPr="00351DDF">
        <w:rPr>
          <w:rFonts w:ascii="Times New Roman" w:hAnsi="Times New Roman" w:cs="Times New Roman"/>
          <w:b/>
          <w:lang w:val="en-US"/>
        </w:rPr>
        <w:t xml:space="preserve">in the control, gel and EVG groups in the pig model according to </w:t>
      </w:r>
      <w:r>
        <w:rPr>
          <w:rFonts w:ascii="Times New Roman" w:hAnsi="Times New Roman" w:cs="Times New Roman"/>
          <w:b/>
          <w:lang w:val="en-US"/>
        </w:rPr>
        <w:t>histological evaluation</w:t>
      </w:r>
      <w:r w:rsidRPr="00351DDF">
        <w:rPr>
          <w:rFonts w:ascii="Times New Roman" w:hAnsi="Times New Roman" w:cs="Times New Roman"/>
          <w:b/>
          <w:lang w:val="en-US"/>
        </w:rPr>
        <w:t xml:space="preserve"> at postoperative day 28.</w:t>
      </w:r>
      <w:r>
        <w:rPr>
          <w:rFonts w:ascii="Times New Roman" w:hAnsi="Times New Roman" w:cs="Times New Roman"/>
          <w:lang w:val="en-US"/>
        </w:rPr>
        <w:t xml:space="preserve"> Results correspond to the average of two independent replicates per </w:t>
      </w:r>
      <w:proofErr w:type="gramStart"/>
      <w:r>
        <w:rPr>
          <w:rFonts w:ascii="Times New Roman" w:hAnsi="Times New Roman" w:cs="Times New Roman"/>
          <w:lang w:val="en-US"/>
        </w:rPr>
        <w:t>rat, and</w:t>
      </w:r>
      <w:proofErr w:type="gramEnd"/>
      <w:r>
        <w:rPr>
          <w:rFonts w:ascii="Times New Roman" w:hAnsi="Times New Roman" w:cs="Times New Roman"/>
          <w:lang w:val="en-US"/>
        </w:rPr>
        <w:t xml:space="preserve"> are shown for each group as mean ± standard deviation with individual values. Data were analyzed with the Kruskal-</w:t>
      </w:r>
      <w:proofErr w:type="gramStart"/>
      <w:r>
        <w:rPr>
          <w:rFonts w:ascii="Times New Roman" w:hAnsi="Times New Roman" w:cs="Times New Roman"/>
          <w:lang w:val="en-US"/>
        </w:rPr>
        <w:t>Wallis</w:t>
      </w:r>
      <w:proofErr w:type="gramEnd"/>
      <w:r>
        <w:rPr>
          <w:rFonts w:ascii="Times New Roman" w:hAnsi="Times New Roman" w:cs="Times New Roman"/>
          <w:lang w:val="en-US"/>
        </w:rPr>
        <w:t xml:space="preserve"> test (p = 0.0045), followed by Mann-Whitney’s test for two-by-two comparisons. </w:t>
      </w:r>
      <w:proofErr w:type="gramStart"/>
      <w:r>
        <w:rPr>
          <w:rFonts w:ascii="Times New Roman" w:hAnsi="Times New Roman" w:cs="Times New Roman"/>
          <w:lang w:val="en-US"/>
        </w:rPr>
        <w:t>ns :</w:t>
      </w:r>
      <w:proofErr w:type="gramEnd"/>
      <w:r>
        <w:rPr>
          <w:rFonts w:ascii="Times New Roman" w:hAnsi="Times New Roman" w:cs="Times New Roman"/>
          <w:lang w:val="en-US"/>
        </w:rPr>
        <w:t xml:space="preserve"> not significant. </w:t>
      </w:r>
      <w:proofErr w:type="gramStart"/>
      <w:r>
        <w:rPr>
          <w:rFonts w:ascii="Times New Roman" w:hAnsi="Times New Roman" w:cs="Times New Roman"/>
          <w:lang w:val="en-US"/>
        </w:rPr>
        <w:t>* :</w:t>
      </w:r>
      <w:proofErr w:type="gramEnd"/>
      <w:r>
        <w:rPr>
          <w:rFonts w:ascii="Times New Roman" w:hAnsi="Times New Roman" w:cs="Times New Roman"/>
          <w:lang w:val="en-US"/>
        </w:rPr>
        <w:t xml:space="preserve"> p ≤ 0.05. *</w:t>
      </w:r>
      <w:proofErr w:type="gramStart"/>
      <w:r>
        <w:rPr>
          <w:rFonts w:ascii="Times New Roman" w:hAnsi="Times New Roman" w:cs="Times New Roman"/>
          <w:lang w:val="en-US"/>
        </w:rPr>
        <w:t>* :</w:t>
      </w:r>
      <w:proofErr w:type="gramEnd"/>
      <w:r>
        <w:rPr>
          <w:rFonts w:ascii="Times New Roman" w:hAnsi="Times New Roman" w:cs="Times New Roman"/>
          <w:lang w:val="en-US"/>
        </w:rPr>
        <w:t xml:space="preserve"> p ≤ 0.01. </w:t>
      </w:r>
      <w:proofErr w:type="gramStart"/>
      <w:r>
        <w:rPr>
          <w:rFonts w:ascii="Times New Roman" w:hAnsi="Times New Roman" w:cs="Times New Roman"/>
          <w:lang w:val="en-US"/>
        </w:rPr>
        <w:t>EVG :</w:t>
      </w:r>
      <w:proofErr w:type="gramEnd"/>
      <w:r>
        <w:rPr>
          <w:rFonts w:ascii="Times New Roman" w:hAnsi="Times New Roman" w:cs="Times New Roman"/>
          <w:lang w:val="en-US"/>
        </w:rPr>
        <w:t xml:space="preserve"> extracellular vesicles embedded in gel.</w:t>
      </w:r>
      <w:r w:rsidRPr="00872D48">
        <w:rPr>
          <w:rFonts w:ascii="Times New Roman" w:hAnsi="Times New Roman" w:cs="Times New Roman"/>
          <w:noProof/>
          <w:lang w:val="en-US"/>
        </w:rPr>
        <w:t xml:space="preserve"> </w:t>
      </w:r>
      <w:r w:rsidR="00CD211E">
        <w:rPr>
          <w:rFonts w:ascii="Times New Roman" w:hAnsi="Times New Roman" w:cs="Times New Roman"/>
          <w:noProof/>
          <w:lang w:val="en-US"/>
        </w:rPr>
        <w:object w:dxaOrig="11703" w:dyaOrig="9264" w14:anchorId="2A3B09B0">
          <v:shape id="_x0000_i1027" type="#_x0000_t75" alt="" style="width:374.1pt;height:297.2pt;mso-width-percent:0;mso-height-percent:0;mso-width-percent:0;mso-height-percent:0" o:ole="" filled="t">
            <v:imagedata r:id="rId15" o:title=""/>
          </v:shape>
          <o:OLEObject Type="Embed" ProgID="Prism8.Document" ShapeID="_x0000_i1027" DrawAspect="Content" ObjectID="_1806135061" r:id="rId16"/>
        </w:object>
      </w:r>
    </w:p>
    <w:p w14:paraId="66484517" w14:textId="77777777" w:rsidR="00872D48" w:rsidRDefault="00872D48" w:rsidP="00872D48">
      <w:pPr>
        <w:rPr>
          <w:rFonts w:ascii="Times New Roman" w:hAnsi="Times New Roman" w:cs="Times New Roman"/>
          <w:lang w:val="en-US"/>
        </w:rPr>
      </w:pPr>
    </w:p>
    <w:p w14:paraId="7D8F71CC" w14:textId="0A2F9867" w:rsidR="00872D48" w:rsidRDefault="00872D48" w:rsidP="00872D48">
      <w:pPr>
        <w:rPr>
          <w:rFonts w:ascii="Times New Roman" w:hAnsi="Times New Roman" w:cs="Times New Roman"/>
          <w:lang w:val="en-US"/>
        </w:rPr>
      </w:pPr>
      <w:r>
        <w:rPr>
          <w:rFonts w:ascii="Times New Roman" w:hAnsi="Times New Roman" w:cs="Times New Roman"/>
          <w:b/>
          <w:lang w:val="en-US"/>
        </w:rPr>
        <w:t xml:space="preserve">Supplementary Figure 9 (see below).  </w:t>
      </w:r>
      <w:r w:rsidRPr="006314AB">
        <w:rPr>
          <w:rFonts w:ascii="Times New Roman" w:hAnsi="Times New Roman" w:cs="Times New Roman"/>
          <w:b/>
          <w:noProof/>
          <w:lang w:val="en-US" w:eastAsia="fr-FR"/>
        </w:rPr>
        <w:t>Histological assessment of local inflammation, vascularization and fibrosis at post-operative day 28 in the pig model.</w:t>
      </w:r>
      <w:r w:rsidRPr="006314AB">
        <w:rPr>
          <w:rFonts w:ascii="Times New Roman" w:hAnsi="Times New Roman" w:cs="Times New Roman"/>
          <w:noProof/>
          <w:lang w:val="en-US" w:eastAsia="fr-FR"/>
        </w:rPr>
        <w:t xml:space="preserve"> Local infiltration by lymphocytes (</w:t>
      </w:r>
      <w:r w:rsidRPr="006314AB">
        <w:rPr>
          <w:rFonts w:ascii="Times New Roman" w:hAnsi="Times New Roman" w:cs="Times New Roman"/>
          <w:b/>
          <w:noProof/>
          <w:lang w:val="en-US" w:eastAsia="fr-FR"/>
        </w:rPr>
        <w:t>A.</w:t>
      </w:r>
      <w:r w:rsidRPr="006314AB">
        <w:rPr>
          <w:rFonts w:ascii="Times New Roman" w:hAnsi="Times New Roman" w:cs="Times New Roman"/>
          <w:noProof/>
          <w:lang w:val="en-US" w:eastAsia="fr-FR"/>
        </w:rPr>
        <w:t>), monocytes (</w:t>
      </w:r>
      <w:r w:rsidRPr="006314AB">
        <w:rPr>
          <w:rFonts w:ascii="Times New Roman" w:hAnsi="Times New Roman" w:cs="Times New Roman"/>
          <w:b/>
          <w:noProof/>
          <w:lang w:val="en-US" w:eastAsia="fr-FR"/>
        </w:rPr>
        <w:t>B.</w:t>
      </w:r>
      <w:r w:rsidRPr="006314AB">
        <w:rPr>
          <w:rFonts w:ascii="Times New Roman" w:hAnsi="Times New Roman" w:cs="Times New Roman"/>
          <w:noProof/>
          <w:lang w:val="en-US" w:eastAsia="fr-FR"/>
        </w:rPr>
        <w:t>), plasmocytes (</w:t>
      </w:r>
      <w:r w:rsidRPr="006314AB">
        <w:rPr>
          <w:rFonts w:ascii="Times New Roman" w:hAnsi="Times New Roman" w:cs="Times New Roman"/>
          <w:b/>
          <w:noProof/>
          <w:lang w:val="en-US" w:eastAsia="fr-FR"/>
        </w:rPr>
        <w:t>C.</w:t>
      </w:r>
      <w:r w:rsidRPr="006314AB">
        <w:rPr>
          <w:rFonts w:ascii="Times New Roman" w:hAnsi="Times New Roman" w:cs="Times New Roman"/>
          <w:noProof/>
          <w:lang w:val="en-US" w:eastAsia="fr-FR"/>
        </w:rPr>
        <w:t>), macrophages (</w:t>
      </w:r>
      <w:r w:rsidRPr="006314AB">
        <w:rPr>
          <w:rFonts w:ascii="Times New Roman" w:hAnsi="Times New Roman" w:cs="Times New Roman"/>
          <w:b/>
          <w:noProof/>
          <w:lang w:val="en-US" w:eastAsia="fr-FR"/>
        </w:rPr>
        <w:t>D.</w:t>
      </w:r>
      <w:r w:rsidRPr="006314AB">
        <w:rPr>
          <w:rFonts w:ascii="Times New Roman" w:hAnsi="Times New Roman" w:cs="Times New Roman"/>
          <w:noProof/>
          <w:lang w:val="en-US" w:eastAsia="fr-FR"/>
        </w:rPr>
        <w:t>), neutrophils (</w:t>
      </w:r>
      <w:r w:rsidRPr="006314AB">
        <w:rPr>
          <w:rFonts w:ascii="Times New Roman" w:hAnsi="Times New Roman" w:cs="Times New Roman"/>
          <w:b/>
          <w:noProof/>
          <w:lang w:val="en-US" w:eastAsia="fr-FR"/>
        </w:rPr>
        <w:t>E.</w:t>
      </w:r>
      <w:r w:rsidRPr="006314AB">
        <w:rPr>
          <w:rFonts w:ascii="Times New Roman" w:hAnsi="Times New Roman" w:cs="Times New Roman"/>
          <w:noProof/>
          <w:lang w:val="en-US" w:eastAsia="fr-FR"/>
        </w:rPr>
        <w:t>), eosinophils (</w:t>
      </w:r>
      <w:r w:rsidRPr="006314AB">
        <w:rPr>
          <w:rFonts w:ascii="Times New Roman" w:hAnsi="Times New Roman" w:cs="Times New Roman"/>
          <w:b/>
          <w:noProof/>
          <w:lang w:val="en-US" w:eastAsia="fr-FR"/>
        </w:rPr>
        <w:t>F.</w:t>
      </w:r>
      <w:r w:rsidRPr="006314AB">
        <w:rPr>
          <w:rFonts w:ascii="Times New Roman" w:hAnsi="Times New Roman" w:cs="Times New Roman"/>
          <w:noProof/>
          <w:lang w:val="en-US" w:eastAsia="fr-FR"/>
        </w:rPr>
        <w:t>), the extent of fibrosis (</w:t>
      </w:r>
      <w:r w:rsidRPr="006314AB">
        <w:rPr>
          <w:rFonts w:ascii="Times New Roman" w:hAnsi="Times New Roman" w:cs="Times New Roman"/>
          <w:b/>
          <w:noProof/>
          <w:lang w:val="en-US" w:eastAsia="fr-FR"/>
        </w:rPr>
        <w:t>G.</w:t>
      </w:r>
      <w:r w:rsidRPr="006314AB">
        <w:rPr>
          <w:rFonts w:ascii="Times New Roman" w:hAnsi="Times New Roman" w:cs="Times New Roman"/>
          <w:noProof/>
          <w:lang w:val="en-US" w:eastAsia="fr-FR"/>
        </w:rPr>
        <w:t>), local infiltration by fibroblasts (</w:t>
      </w:r>
      <w:r w:rsidRPr="006314AB">
        <w:rPr>
          <w:rFonts w:ascii="Times New Roman" w:hAnsi="Times New Roman" w:cs="Times New Roman"/>
          <w:b/>
          <w:noProof/>
          <w:lang w:val="en-US" w:eastAsia="fr-FR"/>
        </w:rPr>
        <w:t>H.</w:t>
      </w:r>
      <w:r w:rsidRPr="006314AB">
        <w:rPr>
          <w:rFonts w:ascii="Times New Roman" w:hAnsi="Times New Roman" w:cs="Times New Roman"/>
          <w:noProof/>
          <w:lang w:val="en-US" w:eastAsia="fr-FR"/>
        </w:rPr>
        <w:t>), and vascularisation (</w:t>
      </w:r>
      <w:r w:rsidRPr="006314AB">
        <w:rPr>
          <w:rFonts w:ascii="Times New Roman" w:hAnsi="Times New Roman" w:cs="Times New Roman"/>
          <w:b/>
          <w:noProof/>
          <w:lang w:val="en-US" w:eastAsia="fr-FR"/>
        </w:rPr>
        <w:t>I.</w:t>
      </w:r>
      <w:r w:rsidRPr="006314AB">
        <w:rPr>
          <w:rFonts w:ascii="Times New Roman" w:hAnsi="Times New Roman" w:cs="Times New Roman"/>
          <w:noProof/>
          <w:lang w:val="en-US" w:eastAsia="fr-FR"/>
        </w:rPr>
        <w:t xml:space="preserve">) were quoted semi-quantitatively from 0 (none) to 3 (severe) on </w:t>
      </w:r>
      <w:proofErr w:type="spellStart"/>
      <w:r w:rsidRPr="724A2AEA">
        <w:rPr>
          <w:rFonts w:ascii="Times New Roman" w:hAnsi="Times New Roman" w:cs="Times New Roman"/>
          <w:lang w:val="en-US"/>
        </w:rPr>
        <w:t>H</w:t>
      </w:r>
      <w:r>
        <w:rPr>
          <w:rFonts w:ascii="Times New Roman" w:hAnsi="Times New Roman" w:cs="Times New Roman"/>
          <w:lang w:val="en-US"/>
        </w:rPr>
        <w:t>a</w:t>
      </w:r>
      <w:r w:rsidRPr="724A2AEA">
        <w:rPr>
          <w:rFonts w:ascii="Times New Roman" w:hAnsi="Times New Roman" w:cs="Times New Roman"/>
          <w:lang w:val="en-US"/>
        </w:rPr>
        <w:t>ematoxylin</w:t>
      </w:r>
      <w:proofErr w:type="spellEnd"/>
      <w:r>
        <w:rPr>
          <w:rFonts w:ascii="Times New Roman" w:hAnsi="Times New Roman" w:cs="Times New Roman"/>
          <w:lang w:val="en-US"/>
        </w:rPr>
        <w:t xml:space="preserve"> </w:t>
      </w:r>
      <w:r w:rsidRPr="724A2AEA">
        <w:rPr>
          <w:rFonts w:ascii="Times New Roman" w:hAnsi="Times New Roman" w:cs="Times New Roman"/>
          <w:lang w:val="en-US"/>
        </w:rPr>
        <w:t>Eosin, Periodic</w:t>
      </w:r>
      <w:r>
        <w:rPr>
          <w:rFonts w:ascii="Times New Roman" w:hAnsi="Times New Roman" w:cs="Times New Roman"/>
          <w:lang w:val="en-US"/>
        </w:rPr>
        <w:t xml:space="preserve"> </w:t>
      </w:r>
      <w:r w:rsidRPr="724A2AEA">
        <w:rPr>
          <w:rFonts w:ascii="Times New Roman" w:hAnsi="Times New Roman" w:cs="Times New Roman"/>
          <w:lang w:val="en-US"/>
        </w:rPr>
        <w:t>acid-Schiff, and Sirius Red staining</w:t>
      </w:r>
      <w:r w:rsidRPr="006314AB">
        <w:rPr>
          <w:rFonts w:ascii="Times New Roman" w:hAnsi="Times New Roman" w:cs="Times New Roman"/>
          <w:noProof/>
          <w:lang w:val="en-US" w:eastAsia="fr-FR"/>
        </w:rPr>
        <w:t xml:space="preserve">. </w:t>
      </w:r>
      <w:r>
        <w:rPr>
          <w:rFonts w:ascii="Times New Roman" w:hAnsi="Times New Roman" w:cs="Times New Roman"/>
          <w:lang w:val="en-US"/>
        </w:rPr>
        <w:t xml:space="preserve">Data were analyzed with the Chi-square test followed by Fisher’s exact test. ** p ≤ 0.01. </w:t>
      </w:r>
      <w:proofErr w:type="gramStart"/>
      <w:r>
        <w:rPr>
          <w:rFonts w:ascii="Times New Roman" w:hAnsi="Times New Roman" w:cs="Times New Roman"/>
          <w:lang w:val="en-US"/>
        </w:rPr>
        <w:t>ns :</w:t>
      </w:r>
      <w:proofErr w:type="gramEnd"/>
      <w:r>
        <w:rPr>
          <w:rFonts w:ascii="Times New Roman" w:hAnsi="Times New Roman" w:cs="Times New Roman"/>
          <w:lang w:val="en-US"/>
        </w:rPr>
        <w:t xml:space="preserve"> not significant. EVG: extracellular vesicles embedded in gel. </w:t>
      </w:r>
    </w:p>
    <w:p w14:paraId="030D9546" w14:textId="77777777" w:rsidR="00872D48" w:rsidRDefault="00CD211E" w:rsidP="00872D48">
      <w:pPr>
        <w:rPr>
          <w:rFonts w:ascii="Times New Roman" w:hAnsi="Times New Roman" w:cs="Times New Roman"/>
          <w:lang w:val="en-US"/>
        </w:rPr>
      </w:pPr>
      <w:r>
        <w:rPr>
          <w:rFonts w:ascii="Times New Roman" w:hAnsi="Times New Roman" w:cs="Times New Roman"/>
          <w:noProof/>
          <w:lang w:val="en-US"/>
        </w:rPr>
        <w:object w:dxaOrig="14589" w:dyaOrig="11174" w14:anchorId="6D528683">
          <v:shape id="_x0000_i1026" type="#_x0000_t75" alt="" style="width:432.7pt;height:331.05pt;mso-width-percent:0;mso-height-percent:0;mso-width-percent:0;mso-height-percent:0" o:ole="" filled="t">
            <v:imagedata r:id="rId17" o:title=""/>
          </v:shape>
          <o:OLEObject Type="Embed" ProgID="Prism8.Document" ShapeID="_x0000_i1026" DrawAspect="Content" ObjectID="_1806135062" r:id="rId18"/>
        </w:object>
      </w:r>
    </w:p>
    <w:p w14:paraId="3B246324" w14:textId="74B77AE0" w:rsidR="00872D48" w:rsidRDefault="00872D48" w:rsidP="00872D48">
      <w:pPr>
        <w:rPr>
          <w:rFonts w:ascii="Times New Roman" w:hAnsi="Times New Roman" w:cs="Times New Roman"/>
          <w:lang w:val="en-US"/>
        </w:rPr>
      </w:pPr>
    </w:p>
    <w:p w14:paraId="7DFC2535" w14:textId="77777777" w:rsidR="00872D48" w:rsidRDefault="00872D48" w:rsidP="00872D48">
      <w:pPr>
        <w:rPr>
          <w:rFonts w:ascii="Times New Roman" w:hAnsi="Times New Roman" w:cs="Times New Roman"/>
          <w:lang w:val="en-US"/>
        </w:rPr>
      </w:pPr>
      <w:r>
        <w:rPr>
          <w:rFonts w:ascii="Times New Roman" w:hAnsi="Times New Roman" w:cs="Times New Roman"/>
          <w:b/>
          <w:lang w:val="en-US"/>
        </w:rPr>
        <w:t xml:space="preserve">Supplementary Figure 10. Histological scoring in pigs at post-operative day 28. A. </w:t>
      </w:r>
      <w:r>
        <w:rPr>
          <w:rFonts w:ascii="Times New Roman" w:hAnsi="Times New Roman" w:cs="Times New Roman"/>
          <w:lang w:val="en-US"/>
        </w:rPr>
        <w:t xml:space="preserve">Epithelial damage. </w:t>
      </w:r>
      <w:r>
        <w:rPr>
          <w:rFonts w:ascii="Times New Roman" w:hAnsi="Times New Roman" w:cs="Times New Roman"/>
          <w:b/>
          <w:lang w:val="en-US"/>
        </w:rPr>
        <w:t xml:space="preserve">B. </w:t>
      </w:r>
      <w:r>
        <w:rPr>
          <w:rFonts w:ascii="Times New Roman" w:hAnsi="Times New Roman" w:cs="Times New Roman"/>
          <w:lang w:val="en-US"/>
        </w:rPr>
        <w:t xml:space="preserve">Mucosal inflammation. </w:t>
      </w:r>
      <w:r>
        <w:rPr>
          <w:rFonts w:ascii="Times New Roman" w:hAnsi="Times New Roman" w:cs="Times New Roman"/>
          <w:b/>
          <w:lang w:val="en-US"/>
        </w:rPr>
        <w:t xml:space="preserve">C. </w:t>
      </w:r>
      <w:r>
        <w:rPr>
          <w:rFonts w:ascii="Times New Roman" w:hAnsi="Times New Roman" w:cs="Times New Roman"/>
          <w:lang w:val="en-US"/>
        </w:rPr>
        <w:t xml:space="preserve">Submucosal inflammation. </w:t>
      </w:r>
      <w:r>
        <w:rPr>
          <w:rFonts w:ascii="Times New Roman" w:hAnsi="Times New Roman" w:cs="Times New Roman"/>
          <w:b/>
          <w:lang w:val="en-US"/>
        </w:rPr>
        <w:t>D.</w:t>
      </w:r>
      <w:r>
        <w:rPr>
          <w:rFonts w:ascii="Times New Roman" w:hAnsi="Times New Roman" w:cs="Times New Roman"/>
          <w:lang w:val="en-US"/>
        </w:rPr>
        <w:t xml:space="preserve"> Overall histological scoring. Data were analyzed with the Chi-square test followed by Fisher’s exact test.</w:t>
      </w:r>
    </w:p>
    <w:p w14:paraId="2393D295" w14:textId="57FBE4F3" w:rsidR="000D37EE" w:rsidRDefault="00872D48" w:rsidP="00872D48">
      <w:pPr>
        <w:spacing w:after="200" w:line="276" w:lineRule="auto"/>
        <w:jc w:val="both"/>
        <w:rPr>
          <w:rFonts w:ascii="Times New Roman" w:hAnsi="Times New Roman" w:cs="Times New Roman"/>
          <w:lang w:val="en-GB"/>
        </w:rPr>
      </w:pPr>
      <w:proofErr w:type="gramStart"/>
      <w:r>
        <w:rPr>
          <w:rFonts w:ascii="Times New Roman" w:hAnsi="Times New Roman" w:cs="Times New Roman"/>
          <w:lang w:val="en-US"/>
        </w:rPr>
        <w:lastRenderedPageBreak/>
        <w:t>ns :</w:t>
      </w:r>
      <w:proofErr w:type="gramEnd"/>
      <w:r>
        <w:rPr>
          <w:rFonts w:ascii="Times New Roman" w:hAnsi="Times New Roman" w:cs="Times New Roman"/>
          <w:lang w:val="en-US"/>
        </w:rPr>
        <w:t xml:space="preserve"> not significant. </w:t>
      </w:r>
      <w:proofErr w:type="gramStart"/>
      <w:r>
        <w:rPr>
          <w:rFonts w:ascii="Times New Roman" w:hAnsi="Times New Roman" w:cs="Times New Roman"/>
          <w:lang w:val="en-US"/>
        </w:rPr>
        <w:t>* :</w:t>
      </w:r>
      <w:proofErr w:type="gramEnd"/>
      <w:r>
        <w:rPr>
          <w:rFonts w:ascii="Times New Roman" w:hAnsi="Times New Roman" w:cs="Times New Roman"/>
          <w:lang w:val="en-US"/>
        </w:rPr>
        <w:t xml:space="preserve"> p ≤ 0.05. *</w:t>
      </w:r>
      <w:proofErr w:type="gramStart"/>
      <w:r>
        <w:rPr>
          <w:rFonts w:ascii="Times New Roman" w:hAnsi="Times New Roman" w:cs="Times New Roman"/>
          <w:lang w:val="en-US"/>
        </w:rPr>
        <w:t>* :</w:t>
      </w:r>
      <w:proofErr w:type="gramEnd"/>
      <w:r>
        <w:rPr>
          <w:rFonts w:ascii="Times New Roman" w:hAnsi="Times New Roman" w:cs="Times New Roman"/>
          <w:lang w:val="en-US"/>
        </w:rPr>
        <w:t xml:space="preserve"> p ≤ 0.01. EVG: extracellular vesicles </w:t>
      </w:r>
      <w:r>
        <w:rPr>
          <w:rFonts w:ascii="Times New Roman" w:hAnsi="Times New Roman" w:cs="Times New Roman"/>
          <w:lang w:val="en-US"/>
        </w:rPr>
        <w:t>embedded</w:t>
      </w:r>
      <w:r w:rsidR="00CD211E">
        <w:rPr>
          <w:rFonts w:ascii="Times New Roman" w:hAnsi="Times New Roman" w:cs="Times New Roman"/>
          <w:noProof/>
          <w:lang w:val="en-US"/>
        </w:rPr>
        <w:object w:dxaOrig="14539" w:dyaOrig="10920" w14:anchorId="0130937C">
          <v:shape id="_x0000_i1025" type="#_x0000_t75" alt="" style="width:431.3pt;height:324pt;mso-width-percent:0;mso-height-percent:0;mso-width-percent:0;mso-height-percent:0" o:ole="" filled="t">
            <v:imagedata r:id="rId19" o:title=""/>
          </v:shape>
          <o:OLEObject Type="Embed" ProgID="Prism8.Document" ShapeID="_x0000_i1025" DrawAspect="Content" ObjectID="_1806135063" r:id="rId20"/>
        </w:object>
      </w:r>
    </w:p>
    <w:sectPr w:rsidR="000D37EE" w:rsidSect="00C0686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BE41"/>
    <w:multiLevelType w:val="hybridMultilevel"/>
    <w:tmpl w:val="3F226BDA"/>
    <w:lvl w:ilvl="0" w:tplc="F7203E54">
      <w:start w:val="1"/>
      <w:numFmt w:val="upperLetter"/>
      <w:lvlText w:val="%1."/>
      <w:lvlJc w:val="left"/>
      <w:pPr>
        <w:ind w:left="720" w:hanging="360"/>
      </w:pPr>
    </w:lvl>
    <w:lvl w:ilvl="1" w:tplc="98989EFA">
      <w:start w:val="1"/>
      <w:numFmt w:val="lowerLetter"/>
      <w:lvlText w:val="%2."/>
      <w:lvlJc w:val="left"/>
      <w:pPr>
        <w:ind w:left="1440" w:hanging="360"/>
      </w:pPr>
    </w:lvl>
    <w:lvl w:ilvl="2" w:tplc="85AEFDB2">
      <w:start w:val="1"/>
      <w:numFmt w:val="lowerRoman"/>
      <w:lvlText w:val="%3."/>
      <w:lvlJc w:val="right"/>
      <w:pPr>
        <w:ind w:left="2160" w:hanging="180"/>
      </w:pPr>
    </w:lvl>
    <w:lvl w:ilvl="3" w:tplc="63CE668E">
      <w:start w:val="1"/>
      <w:numFmt w:val="decimal"/>
      <w:lvlText w:val="%4."/>
      <w:lvlJc w:val="left"/>
      <w:pPr>
        <w:ind w:left="2880" w:hanging="360"/>
      </w:pPr>
    </w:lvl>
    <w:lvl w:ilvl="4" w:tplc="B07E51EC">
      <w:start w:val="1"/>
      <w:numFmt w:val="lowerLetter"/>
      <w:lvlText w:val="%5."/>
      <w:lvlJc w:val="left"/>
      <w:pPr>
        <w:ind w:left="3600" w:hanging="360"/>
      </w:pPr>
    </w:lvl>
    <w:lvl w:ilvl="5" w:tplc="2026BBAC">
      <w:start w:val="1"/>
      <w:numFmt w:val="lowerRoman"/>
      <w:lvlText w:val="%6."/>
      <w:lvlJc w:val="right"/>
      <w:pPr>
        <w:ind w:left="4320" w:hanging="180"/>
      </w:pPr>
    </w:lvl>
    <w:lvl w:ilvl="6" w:tplc="3AEA9CDE">
      <w:start w:val="1"/>
      <w:numFmt w:val="decimal"/>
      <w:lvlText w:val="%7."/>
      <w:lvlJc w:val="left"/>
      <w:pPr>
        <w:ind w:left="5040" w:hanging="360"/>
      </w:pPr>
    </w:lvl>
    <w:lvl w:ilvl="7" w:tplc="9688522E">
      <w:start w:val="1"/>
      <w:numFmt w:val="lowerLetter"/>
      <w:lvlText w:val="%8."/>
      <w:lvlJc w:val="left"/>
      <w:pPr>
        <w:ind w:left="5760" w:hanging="360"/>
      </w:pPr>
    </w:lvl>
    <w:lvl w:ilvl="8" w:tplc="11763A8A">
      <w:start w:val="1"/>
      <w:numFmt w:val="lowerRoman"/>
      <w:lvlText w:val="%9."/>
      <w:lvlJc w:val="right"/>
      <w:pPr>
        <w:ind w:left="6480" w:hanging="180"/>
      </w:pPr>
    </w:lvl>
  </w:abstractNum>
  <w:abstractNum w:abstractNumId="1" w15:restartNumberingAfterBreak="0">
    <w:nsid w:val="137D6DBE"/>
    <w:multiLevelType w:val="hybridMultilevel"/>
    <w:tmpl w:val="6A5A8480"/>
    <w:lvl w:ilvl="0" w:tplc="C018F2F6">
      <w:start w:val="1"/>
      <w:numFmt w:val="decimal"/>
      <w:lvlText w:val="%1."/>
      <w:lvlJc w:val="left"/>
      <w:pPr>
        <w:ind w:left="720" w:hanging="360"/>
      </w:pPr>
    </w:lvl>
    <w:lvl w:ilvl="1" w:tplc="8B6649E0">
      <w:start w:val="1"/>
      <w:numFmt w:val="lowerLetter"/>
      <w:lvlText w:val="%2."/>
      <w:lvlJc w:val="left"/>
      <w:pPr>
        <w:ind w:left="1440" w:hanging="360"/>
      </w:pPr>
    </w:lvl>
    <w:lvl w:ilvl="2" w:tplc="AC96814C">
      <w:start w:val="1"/>
      <w:numFmt w:val="lowerRoman"/>
      <w:lvlText w:val="%3."/>
      <w:lvlJc w:val="right"/>
      <w:pPr>
        <w:ind w:left="2160" w:hanging="180"/>
      </w:pPr>
    </w:lvl>
    <w:lvl w:ilvl="3" w:tplc="CE02B1A6">
      <w:start w:val="1"/>
      <w:numFmt w:val="decimal"/>
      <w:lvlText w:val="%4."/>
      <w:lvlJc w:val="left"/>
      <w:pPr>
        <w:ind w:left="2880" w:hanging="360"/>
      </w:pPr>
    </w:lvl>
    <w:lvl w:ilvl="4" w:tplc="9A7E591C">
      <w:start w:val="1"/>
      <w:numFmt w:val="lowerLetter"/>
      <w:lvlText w:val="%5."/>
      <w:lvlJc w:val="left"/>
      <w:pPr>
        <w:ind w:left="3600" w:hanging="360"/>
      </w:pPr>
    </w:lvl>
    <w:lvl w:ilvl="5" w:tplc="071CFF56">
      <w:start w:val="1"/>
      <w:numFmt w:val="lowerRoman"/>
      <w:lvlText w:val="%6."/>
      <w:lvlJc w:val="right"/>
      <w:pPr>
        <w:ind w:left="4320" w:hanging="180"/>
      </w:pPr>
    </w:lvl>
    <w:lvl w:ilvl="6" w:tplc="49187AEE">
      <w:start w:val="1"/>
      <w:numFmt w:val="decimal"/>
      <w:lvlText w:val="%7."/>
      <w:lvlJc w:val="left"/>
      <w:pPr>
        <w:ind w:left="5040" w:hanging="360"/>
      </w:pPr>
    </w:lvl>
    <w:lvl w:ilvl="7" w:tplc="720007EA">
      <w:start w:val="1"/>
      <w:numFmt w:val="lowerLetter"/>
      <w:lvlText w:val="%8."/>
      <w:lvlJc w:val="left"/>
      <w:pPr>
        <w:ind w:left="5760" w:hanging="360"/>
      </w:pPr>
    </w:lvl>
    <w:lvl w:ilvl="8" w:tplc="EAB24744">
      <w:start w:val="1"/>
      <w:numFmt w:val="lowerRoman"/>
      <w:lvlText w:val="%9."/>
      <w:lvlJc w:val="right"/>
      <w:pPr>
        <w:ind w:left="6480" w:hanging="180"/>
      </w:pPr>
    </w:lvl>
  </w:abstractNum>
  <w:abstractNum w:abstractNumId="2" w15:restartNumberingAfterBreak="0">
    <w:nsid w:val="1BC9AAE3"/>
    <w:multiLevelType w:val="hybridMultilevel"/>
    <w:tmpl w:val="5D202DAA"/>
    <w:lvl w:ilvl="0" w:tplc="1B84E518">
      <w:start w:val="1"/>
      <w:numFmt w:val="decimal"/>
      <w:lvlText w:val="%1."/>
      <w:lvlJc w:val="left"/>
      <w:pPr>
        <w:ind w:left="720" w:hanging="360"/>
      </w:pPr>
    </w:lvl>
    <w:lvl w:ilvl="1" w:tplc="7E086964">
      <w:start w:val="1"/>
      <w:numFmt w:val="lowerLetter"/>
      <w:lvlText w:val="%2."/>
      <w:lvlJc w:val="left"/>
      <w:pPr>
        <w:ind w:left="1440" w:hanging="360"/>
      </w:pPr>
    </w:lvl>
    <w:lvl w:ilvl="2" w:tplc="98489B4A">
      <w:start w:val="1"/>
      <w:numFmt w:val="lowerRoman"/>
      <w:lvlText w:val="%3."/>
      <w:lvlJc w:val="right"/>
      <w:pPr>
        <w:ind w:left="2160" w:hanging="180"/>
      </w:pPr>
    </w:lvl>
    <w:lvl w:ilvl="3" w:tplc="EA740430">
      <w:start w:val="1"/>
      <w:numFmt w:val="decimal"/>
      <w:lvlText w:val="%4."/>
      <w:lvlJc w:val="left"/>
      <w:pPr>
        <w:ind w:left="2880" w:hanging="360"/>
      </w:pPr>
    </w:lvl>
    <w:lvl w:ilvl="4" w:tplc="EB76932C">
      <w:start w:val="1"/>
      <w:numFmt w:val="lowerLetter"/>
      <w:lvlText w:val="%5."/>
      <w:lvlJc w:val="left"/>
      <w:pPr>
        <w:ind w:left="3600" w:hanging="360"/>
      </w:pPr>
    </w:lvl>
    <w:lvl w:ilvl="5" w:tplc="6ED20EEC">
      <w:start w:val="1"/>
      <w:numFmt w:val="lowerRoman"/>
      <w:lvlText w:val="%6."/>
      <w:lvlJc w:val="right"/>
      <w:pPr>
        <w:ind w:left="4320" w:hanging="180"/>
      </w:pPr>
    </w:lvl>
    <w:lvl w:ilvl="6" w:tplc="EBE0B2DE">
      <w:start w:val="1"/>
      <w:numFmt w:val="decimal"/>
      <w:lvlText w:val="%7."/>
      <w:lvlJc w:val="left"/>
      <w:pPr>
        <w:ind w:left="5040" w:hanging="360"/>
      </w:pPr>
    </w:lvl>
    <w:lvl w:ilvl="7" w:tplc="7A626B94">
      <w:start w:val="1"/>
      <w:numFmt w:val="lowerLetter"/>
      <w:lvlText w:val="%8."/>
      <w:lvlJc w:val="left"/>
      <w:pPr>
        <w:ind w:left="5760" w:hanging="360"/>
      </w:pPr>
    </w:lvl>
    <w:lvl w:ilvl="8" w:tplc="81180A1C">
      <w:start w:val="1"/>
      <w:numFmt w:val="lowerRoman"/>
      <w:lvlText w:val="%9."/>
      <w:lvlJc w:val="right"/>
      <w:pPr>
        <w:ind w:left="6480" w:hanging="180"/>
      </w:pPr>
    </w:lvl>
  </w:abstractNum>
  <w:abstractNum w:abstractNumId="3" w15:restartNumberingAfterBreak="0">
    <w:nsid w:val="3C12C8DB"/>
    <w:multiLevelType w:val="hybridMultilevel"/>
    <w:tmpl w:val="3072DFF4"/>
    <w:lvl w:ilvl="0" w:tplc="3EF48ACC">
      <w:start w:val="1"/>
      <w:numFmt w:val="upperLetter"/>
      <w:lvlText w:val="%1."/>
      <w:lvlJc w:val="left"/>
      <w:pPr>
        <w:ind w:left="720" w:hanging="360"/>
      </w:pPr>
    </w:lvl>
    <w:lvl w:ilvl="1" w:tplc="3F529242">
      <w:start w:val="1"/>
      <w:numFmt w:val="lowerLetter"/>
      <w:lvlText w:val="%2."/>
      <w:lvlJc w:val="left"/>
      <w:pPr>
        <w:ind w:left="1440" w:hanging="360"/>
      </w:pPr>
    </w:lvl>
    <w:lvl w:ilvl="2" w:tplc="5830AACA">
      <w:start w:val="1"/>
      <w:numFmt w:val="lowerRoman"/>
      <w:lvlText w:val="%3."/>
      <w:lvlJc w:val="right"/>
      <w:pPr>
        <w:ind w:left="2160" w:hanging="180"/>
      </w:pPr>
    </w:lvl>
    <w:lvl w:ilvl="3" w:tplc="A95CCFDC">
      <w:start w:val="1"/>
      <w:numFmt w:val="decimal"/>
      <w:lvlText w:val="%4."/>
      <w:lvlJc w:val="left"/>
      <w:pPr>
        <w:ind w:left="2880" w:hanging="360"/>
      </w:pPr>
    </w:lvl>
    <w:lvl w:ilvl="4" w:tplc="C3345AC2">
      <w:start w:val="1"/>
      <w:numFmt w:val="lowerLetter"/>
      <w:lvlText w:val="%5."/>
      <w:lvlJc w:val="left"/>
      <w:pPr>
        <w:ind w:left="3600" w:hanging="360"/>
      </w:pPr>
    </w:lvl>
    <w:lvl w:ilvl="5" w:tplc="1E1A2FE4">
      <w:start w:val="1"/>
      <w:numFmt w:val="lowerRoman"/>
      <w:lvlText w:val="%6."/>
      <w:lvlJc w:val="right"/>
      <w:pPr>
        <w:ind w:left="4320" w:hanging="180"/>
      </w:pPr>
    </w:lvl>
    <w:lvl w:ilvl="6" w:tplc="A18ABFCA">
      <w:start w:val="1"/>
      <w:numFmt w:val="decimal"/>
      <w:lvlText w:val="%7."/>
      <w:lvlJc w:val="left"/>
      <w:pPr>
        <w:ind w:left="5040" w:hanging="360"/>
      </w:pPr>
    </w:lvl>
    <w:lvl w:ilvl="7" w:tplc="2B34F968">
      <w:start w:val="1"/>
      <w:numFmt w:val="lowerLetter"/>
      <w:lvlText w:val="%8."/>
      <w:lvlJc w:val="left"/>
      <w:pPr>
        <w:ind w:left="5760" w:hanging="360"/>
      </w:pPr>
    </w:lvl>
    <w:lvl w:ilvl="8" w:tplc="D6A86C18">
      <w:start w:val="1"/>
      <w:numFmt w:val="lowerRoman"/>
      <w:lvlText w:val="%9."/>
      <w:lvlJc w:val="right"/>
      <w:pPr>
        <w:ind w:left="6480" w:hanging="180"/>
      </w:pPr>
    </w:lvl>
  </w:abstractNum>
  <w:abstractNum w:abstractNumId="4" w15:restartNumberingAfterBreak="0">
    <w:nsid w:val="5D3E068F"/>
    <w:multiLevelType w:val="hybridMultilevel"/>
    <w:tmpl w:val="E1DC314E"/>
    <w:lvl w:ilvl="0" w:tplc="09D23F64">
      <w:start w:val="1"/>
      <w:numFmt w:val="upperLetter"/>
      <w:lvlText w:val="%1."/>
      <w:lvlJc w:val="left"/>
      <w:pPr>
        <w:ind w:left="720" w:hanging="360"/>
      </w:pPr>
    </w:lvl>
    <w:lvl w:ilvl="1" w:tplc="67BC3918">
      <w:start w:val="1"/>
      <w:numFmt w:val="lowerLetter"/>
      <w:lvlText w:val="%2."/>
      <w:lvlJc w:val="left"/>
      <w:pPr>
        <w:ind w:left="1440" w:hanging="360"/>
      </w:pPr>
    </w:lvl>
    <w:lvl w:ilvl="2" w:tplc="D6A076C0">
      <w:start w:val="1"/>
      <w:numFmt w:val="lowerRoman"/>
      <w:lvlText w:val="%3."/>
      <w:lvlJc w:val="right"/>
      <w:pPr>
        <w:ind w:left="2160" w:hanging="180"/>
      </w:pPr>
    </w:lvl>
    <w:lvl w:ilvl="3" w:tplc="10E2F604">
      <w:start w:val="1"/>
      <w:numFmt w:val="decimal"/>
      <w:lvlText w:val="%4."/>
      <w:lvlJc w:val="left"/>
      <w:pPr>
        <w:ind w:left="2880" w:hanging="360"/>
      </w:pPr>
    </w:lvl>
    <w:lvl w:ilvl="4" w:tplc="B7B8AC4E">
      <w:start w:val="1"/>
      <w:numFmt w:val="lowerLetter"/>
      <w:lvlText w:val="%5."/>
      <w:lvlJc w:val="left"/>
      <w:pPr>
        <w:ind w:left="3600" w:hanging="360"/>
      </w:pPr>
    </w:lvl>
    <w:lvl w:ilvl="5" w:tplc="C5445B16">
      <w:start w:val="1"/>
      <w:numFmt w:val="lowerRoman"/>
      <w:lvlText w:val="%6."/>
      <w:lvlJc w:val="right"/>
      <w:pPr>
        <w:ind w:left="4320" w:hanging="180"/>
      </w:pPr>
    </w:lvl>
    <w:lvl w:ilvl="6" w:tplc="D72EAF9C">
      <w:start w:val="1"/>
      <w:numFmt w:val="decimal"/>
      <w:lvlText w:val="%7."/>
      <w:lvlJc w:val="left"/>
      <w:pPr>
        <w:ind w:left="5040" w:hanging="360"/>
      </w:pPr>
    </w:lvl>
    <w:lvl w:ilvl="7" w:tplc="7DB28218">
      <w:start w:val="1"/>
      <w:numFmt w:val="lowerLetter"/>
      <w:lvlText w:val="%8."/>
      <w:lvlJc w:val="left"/>
      <w:pPr>
        <w:ind w:left="5760" w:hanging="360"/>
      </w:pPr>
    </w:lvl>
    <w:lvl w:ilvl="8" w:tplc="7BD0504E">
      <w:start w:val="1"/>
      <w:numFmt w:val="lowerRoman"/>
      <w:lvlText w:val="%9."/>
      <w:lvlJc w:val="right"/>
      <w:pPr>
        <w:ind w:left="6480" w:hanging="180"/>
      </w:pPr>
    </w:lvl>
  </w:abstractNum>
  <w:abstractNum w:abstractNumId="5" w15:restartNumberingAfterBreak="0">
    <w:nsid w:val="68C05F4A"/>
    <w:multiLevelType w:val="hybridMultilevel"/>
    <w:tmpl w:val="0E425ECE"/>
    <w:lvl w:ilvl="0" w:tplc="7A4E7CEC">
      <w:start w:val="1"/>
      <w:numFmt w:val="decimal"/>
      <w:lvlText w:val="2.%1"/>
      <w:lvlJc w:val="left"/>
      <w:pPr>
        <w:ind w:left="360" w:hanging="360"/>
      </w:pPr>
      <w:rPr>
        <w:rFonts w:hint="default"/>
        <w:b/>
        <w:i w:val="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EF2606C"/>
    <w:multiLevelType w:val="hybridMultilevel"/>
    <w:tmpl w:val="2D76657C"/>
    <w:lvl w:ilvl="0" w:tplc="296428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86225841">
    <w:abstractNumId w:val="4"/>
  </w:num>
  <w:num w:numId="2" w16cid:durableId="652682736">
    <w:abstractNumId w:val="3"/>
  </w:num>
  <w:num w:numId="3" w16cid:durableId="739717104">
    <w:abstractNumId w:val="1"/>
  </w:num>
  <w:num w:numId="4" w16cid:durableId="864902227">
    <w:abstractNumId w:val="2"/>
  </w:num>
  <w:num w:numId="5" w16cid:durableId="177043658">
    <w:abstractNumId w:val="0"/>
  </w:num>
  <w:num w:numId="6" w16cid:durableId="109445319">
    <w:abstractNumId w:val="5"/>
  </w:num>
  <w:num w:numId="7" w16cid:durableId="1251889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C54"/>
    <w:rsid w:val="000065D8"/>
    <w:rsid w:val="00014528"/>
    <w:rsid w:val="00034FB7"/>
    <w:rsid w:val="000404AA"/>
    <w:rsid w:val="00083E6F"/>
    <w:rsid w:val="000B16AF"/>
    <w:rsid w:val="000B27F0"/>
    <w:rsid w:val="000D37EE"/>
    <w:rsid w:val="000F6FA7"/>
    <w:rsid w:val="0010346F"/>
    <w:rsid w:val="00104FBF"/>
    <w:rsid w:val="00111F58"/>
    <w:rsid w:val="00130926"/>
    <w:rsid w:val="001863E3"/>
    <w:rsid w:val="001B6AE9"/>
    <w:rsid w:val="001B7452"/>
    <w:rsid w:val="002204C3"/>
    <w:rsid w:val="002807EF"/>
    <w:rsid w:val="00281054"/>
    <w:rsid w:val="002A60AD"/>
    <w:rsid w:val="002B20E7"/>
    <w:rsid w:val="002B7E4E"/>
    <w:rsid w:val="002D0FB2"/>
    <w:rsid w:val="002D5632"/>
    <w:rsid w:val="002F2C8B"/>
    <w:rsid w:val="00305DA1"/>
    <w:rsid w:val="00310A90"/>
    <w:rsid w:val="003112D0"/>
    <w:rsid w:val="00331A08"/>
    <w:rsid w:val="003605DC"/>
    <w:rsid w:val="0037623A"/>
    <w:rsid w:val="00392A24"/>
    <w:rsid w:val="003B0CF9"/>
    <w:rsid w:val="003C3B9A"/>
    <w:rsid w:val="003E5A65"/>
    <w:rsid w:val="004012DE"/>
    <w:rsid w:val="00440B8A"/>
    <w:rsid w:val="0047718D"/>
    <w:rsid w:val="0048307C"/>
    <w:rsid w:val="004C483F"/>
    <w:rsid w:val="0056316F"/>
    <w:rsid w:val="00564BBB"/>
    <w:rsid w:val="0057229B"/>
    <w:rsid w:val="00581D44"/>
    <w:rsid w:val="005B1128"/>
    <w:rsid w:val="005D5C29"/>
    <w:rsid w:val="005D66A3"/>
    <w:rsid w:val="00612619"/>
    <w:rsid w:val="006E1EF2"/>
    <w:rsid w:val="00706FCE"/>
    <w:rsid w:val="0072438B"/>
    <w:rsid w:val="00725A8B"/>
    <w:rsid w:val="007603C4"/>
    <w:rsid w:val="00764CB5"/>
    <w:rsid w:val="00785C54"/>
    <w:rsid w:val="00793B01"/>
    <w:rsid w:val="007A51C3"/>
    <w:rsid w:val="007A5A20"/>
    <w:rsid w:val="007C3542"/>
    <w:rsid w:val="007D53A0"/>
    <w:rsid w:val="007E2E4E"/>
    <w:rsid w:val="00812CE8"/>
    <w:rsid w:val="00832A7D"/>
    <w:rsid w:val="00872D48"/>
    <w:rsid w:val="00885FBC"/>
    <w:rsid w:val="00887DBB"/>
    <w:rsid w:val="008C104A"/>
    <w:rsid w:val="008C4F43"/>
    <w:rsid w:val="008E0B36"/>
    <w:rsid w:val="00915EB1"/>
    <w:rsid w:val="00916E50"/>
    <w:rsid w:val="00964FDE"/>
    <w:rsid w:val="009658D1"/>
    <w:rsid w:val="00971240"/>
    <w:rsid w:val="009A0F57"/>
    <w:rsid w:val="009B5D89"/>
    <w:rsid w:val="00A0457E"/>
    <w:rsid w:val="00A5626E"/>
    <w:rsid w:val="00B02822"/>
    <w:rsid w:val="00B120BD"/>
    <w:rsid w:val="00B166F8"/>
    <w:rsid w:val="00B23527"/>
    <w:rsid w:val="00B72270"/>
    <w:rsid w:val="00B770A0"/>
    <w:rsid w:val="00B93AD2"/>
    <w:rsid w:val="00BE26F4"/>
    <w:rsid w:val="00BE39B4"/>
    <w:rsid w:val="00C05BCC"/>
    <w:rsid w:val="00C06860"/>
    <w:rsid w:val="00C306F3"/>
    <w:rsid w:val="00C40D05"/>
    <w:rsid w:val="00C56A58"/>
    <w:rsid w:val="00C833D3"/>
    <w:rsid w:val="00CC78A3"/>
    <w:rsid w:val="00CD211E"/>
    <w:rsid w:val="00CE37F1"/>
    <w:rsid w:val="00CF6BA5"/>
    <w:rsid w:val="00D67513"/>
    <w:rsid w:val="00D70F03"/>
    <w:rsid w:val="00D83608"/>
    <w:rsid w:val="00DE315C"/>
    <w:rsid w:val="00E02E5F"/>
    <w:rsid w:val="00E0475B"/>
    <w:rsid w:val="00E2322B"/>
    <w:rsid w:val="00E45C1C"/>
    <w:rsid w:val="00E5335A"/>
    <w:rsid w:val="00ED241E"/>
    <w:rsid w:val="00F53E46"/>
    <w:rsid w:val="00F61496"/>
    <w:rsid w:val="00FA3678"/>
    <w:rsid w:val="00FC7FB0"/>
    <w:rsid w:val="03CF9A08"/>
    <w:rsid w:val="0CE6F23A"/>
    <w:rsid w:val="2DA277A8"/>
    <w:rsid w:val="4E006487"/>
    <w:rsid w:val="5749A306"/>
    <w:rsid w:val="67D43DD5"/>
    <w:rsid w:val="716DAFB1"/>
    <w:rsid w:val="724A2AE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393D222"/>
  <w15:docId w15:val="{CBD79B19-76A1-AA46-8FFD-7CA5AC4C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04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2A7D"/>
    <w:pPr>
      <w:ind w:left="720"/>
      <w:contextualSpacing/>
    </w:pPr>
  </w:style>
  <w:style w:type="character" w:styleId="Marquedecommentaire">
    <w:name w:val="annotation reference"/>
    <w:basedOn w:val="Policepardfaut"/>
    <w:uiPriority w:val="99"/>
    <w:semiHidden/>
    <w:unhideWhenUsed/>
    <w:rsid w:val="00832A7D"/>
    <w:rPr>
      <w:sz w:val="16"/>
      <w:szCs w:val="16"/>
    </w:rPr>
  </w:style>
  <w:style w:type="paragraph" w:styleId="Commentaire">
    <w:name w:val="annotation text"/>
    <w:basedOn w:val="Normal"/>
    <w:link w:val="CommentaireCar"/>
    <w:uiPriority w:val="99"/>
    <w:unhideWhenUsed/>
    <w:rsid w:val="00832A7D"/>
    <w:rPr>
      <w:sz w:val="20"/>
      <w:szCs w:val="20"/>
    </w:rPr>
  </w:style>
  <w:style w:type="character" w:customStyle="1" w:styleId="CommentaireCar">
    <w:name w:val="Commentaire Car"/>
    <w:basedOn w:val="Policepardfaut"/>
    <w:link w:val="Commentaire"/>
    <w:uiPriority w:val="99"/>
    <w:rsid w:val="00832A7D"/>
    <w:rPr>
      <w:sz w:val="20"/>
      <w:szCs w:val="20"/>
    </w:rPr>
  </w:style>
  <w:style w:type="paragraph" w:styleId="Objetducommentaire">
    <w:name w:val="annotation subject"/>
    <w:basedOn w:val="Commentaire"/>
    <w:next w:val="Commentaire"/>
    <w:link w:val="ObjetducommentaireCar"/>
    <w:uiPriority w:val="99"/>
    <w:semiHidden/>
    <w:unhideWhenUsed/>
    <w:rsid w:val="00CC78A3"/>
    <w:rPr>
      <w:b/>
      <w:bCs/>
    </w:rPr>
  </w:style>
  <w:style w:type="character" w:customStyle="1" w:styleId="ObjetducommentaireCar">
    <w:name w:val="Objet du commentaire Car"/>
    <w:basedOn w:val="CommentaireCar"/>
    <w:link w:val="Objetducommentaire"/>
    <w:uiPriority w:val="99"/>
    <w:semiHidden/>
    <w:rsid w:val="00CC78A3"/>
    <w:rPr>
      <w:b/>
      <w:bCs/>
      <w:sz w:val="20"/>
      <w:szCs w:val="20"/>
    </w:rPr>
  </w:style>
  <w:style w:type="table" w:styleId="Grilledutableau">
    <w:name w:val="Table Grid"/>
    <w:basedOn w:val="TableauNormal"/>
    <w:uiPriority w:val="59"/>
    <w:rsid w:val="000D37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C3B9A"/>
    <w:rPr>
      <w:rFonts w:ascii="Tahoma" w:hAnsi="Tahoma" w:cs="Tahoma"/>
      <w:sz w:val="16"/>
      <w:szCs w:val="16"/>
    </w:rPr>
  </w:style>
  <w:style w:type="character" w:customStyle="1" w:styleId="TextedebullesCar">
    <w:name w:val="Texte de bulles Car"/>
    <w:basedOn w:val="Policepardfaut"/>
    <w:link w:val="Textedebulles"/>
    <w:uiPriority w:val="99"/>
    <w:semiHidden/>
    <w:rsid w:val="003C3B9A"/>
    <w:rPr>
      <w:rFonts w:ascii="Tahoma" w:hAnsi="Tahoma" w:cs="Tahoma"/>
      <w:sz w:val="16"/>
      <w:szCs w:val="16"/>
    </w:rPr>
  </w:style>
  <w:style w:type="paragraph" w:styleId="Bibliographie">
    <w:name w:val="Bibliography"/>
    <w:basedOn w:val="Normal"/>
    <w:next w:val="Normal"/>
    <w:uiPriority w:val="37"/>
    <w:unhideWhenUsed/>
    <w:rsid w:val="0010346F"/>
    <w:pPr>
      <w:tabs>
        <w:tab w:val="left" w:pos="384"/>
      </w:tabs>
      <w:spacing w:after="240"/>
      <w:ind w:left="384" w:hanging="384"/>
    </w:pPr>
  </w:style>
  <w:style w:type="paragraph" w:styleId="Rvision">
    <w:name w:val="Revision"/>
    <w:hidden/>
    <w:uiPriority w:val="99"/>
    <w:semiHidden/>
    <w:rsid w:val="00DE315C"/>
  </w:style>
  <w:style w:type="paragraph" w:styleId="Sansinterligne">
    <w:name w:val="No Spacing"/>
    <w:link w:val="SansinterligneCar"/>
    <w:uiPriority w:val="99"/>
    <w:qFormat/>
    <w:rsid w:val="00872D48"/>
    <w:rPr>
      <w:kern w:val="2"/>
    </w:rPr>
  </w:style>
  <w:style w:type="character" w:customStyle="1" w:styleId="SansinterligneCar">
    <w:name w:val="Sans interligne Car"/>
    <w:link w:val="Sansinterligne"/>
    <w:uiPriority w:val="99"/>
    <w:rsid w:val="00872D48"/>
    <w:rPr>
      <w:kern w:val="2"/>
    </w:rPr>
  </w:style>
  <w:style w:type="table" w:customStyle="1" w:styleId="TableauGrille1Clair1">
    <w:name w:val="Tableau Grille 1 Clair1"/>
    <w:basedOn w:val="TableauNormal"/>
    <w:uiPriority w:val="46"/>
    <w:rsid w:val="00872D4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oleObject" Target="embeddings/oleObject2.bin"/><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wmf"/><Relationship Id="rId5" Type="http://schemas.openxmlformats.org/officeDocument/2006/relationships/image" Target="media/image1.png"/><Relationship Id="rId15" Type="http://schemas.openxmlformats.org/officeDocument/2006/relationships/image" Target="media/image8.emf"/><Relationship Id="rId10" Type="http://schemas.openxmlformats.org/officeDocument/2006/relationships/oleObject" Target="embeddings/oleObject1.bin"/><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20</Pages>
  <Words>12965</Words>
  <Characters>71311</Characters>
  <Application>Microsoft Office Word</Application>
  <DocSecurity>0</DocSecurity>
  <Lines>594</Lines>
  <Paragraphs>168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Berger</dc:creator>
  <cp:lastModifiedBy>arthur berger</cp:lastModifiedBy>
  <cp:revision>5</cp:revision>
  <dcterms:created xsi:type="dcterms:W3CDTF">2025-04-08T08:37:00Z</dcterms:created>
  <dcterms:modified xsi:type="dcterms:W3CDTF">2025-04-14T09:24:00Z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id="U6ZvQZA5"/&gt;&lt;style id="http://www.zotero.org/styles/vancouver" locale="fr-FR" hasBibliography="1" bibliographyStyleHasBeenSet="1"/&gt;&lt;prefs&gt;&lt;pref name="fieldType" value="Field"/&gt;&lt;/prefs&gt;&lt;/data&gt;</vt:lpwstr>
  </property>
</Properties>
</file>