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4D83E7" w14:textId="77777777" w:rsidR="00135C8C" w:rsidRDefault="00135C8C" w:rsidP="00135C8C">
      <w:pPr>
        <w:spacing w:line="480" w:lineRule="auto"/>
        <w:rPr>
          <w:rFonts w:ascii="Times New Roman" w:hAnsi="Times New Roman"/>
          <w:b/>
          <w:bCs/>
          <w:color w:val="000000" w:themeColor="text1"/>
          <w:sz w:val="24"/>
        </w:rPr>
      </w:pPr>
      <w:r>
        <w:rPr>
          <w:rFonts w:ascii="Times New Roman" w:hAnsi="Times New Roman"/>
          <w:b/>
          <w:bCs/>
          <w:color w:val="000000" w:themeColor="text1"/>
          <w:sz w:val="24"/>
        </w:rPr>
        <w:t>Supplementary Figure 1 Validation of HBO1 overexpression and knockdown</w:t>
      </w:r>
    </w:p>
    <w:p w14:paraId="55CA016B" w14:textId="77777777" w:rsidR="00135C8C" w:rsidRDefault="00135C8C" w:rsidP="00135C8C">
      <w:pPr>
        <w:spacing w:line="480" w:lineRule="auto"/>
        <w:jc w:val="center"/>
        <w:rPr>
          <w:rFonts w:ascii="Times New Roman" w:hAnsi="Times New Roman"/>
          <w:b/>
          <w:bCs/>
          <w:color w:val="000000" w:themeColor="text1"/>
          <w:sz w:val="24"/>
        </w:rPr>
      </w:pPr>
      <w:r>
        <w:rPr>
          <w:rFonts w:ascii="Times New Roman" w:hAnsi="Times New Roman" w:hint="eastAsia"/>
          <w:b/>
          <w:bCs/>
          <w:noProof/>
          <w:color w:val="000000" w:themeColor="text1"/>
          <w:sz w:val="24"/>
        </w:rPr>
        <w:drawing>
          <wp:inline distT="0" distB="0" distL="0" distR="0" wp14:anchorId="0AC66C60" wp14:editId="7938641B">
            <wp:extent cx="3958251" cy="4300695"/>
            <wp:effectExtent l="0" t="0" r="4445" b="5080"/>
            <wp:docPr id="7387130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8713044" name="图片 73871304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8581" cy="4311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A5512B" w14:textId="77777777" w:rsidR="00135C8C" w:rsidRDefault="00135C8C" w:rsidP="00135C8C">
      <w:pPr>
        <w:spacing w:line="480" w:lineRule="auto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 w:hint="eastAsia"/>
          <w:color w:val="000000" w:themeColor="text1"/>
          <w:sz w:val="24"/>
        </w:rPr>
        <w:t>(A-B) Changes in HBO1 mRNA levels upon overexpression and knockdown in TPC-1 thyroid cancer cells were assessed by RT-qPCR. (C-D) Changes in HBO1 mRNA levels upon overexpression and knockdown in 8505C thyroid cancer cells were assessed by RT-qPCR. All experiments were performed with three or more technical replicates. Statistical significance: ns, not significant; *p &lt; 0.05; **p &lt; 0.01; ***p &lt; 0.001; ****p &lt; 0.0001.</w:t>
      </w:r>
    </w:p>
    <w:p w14:paraId="7E27BCA7" w14:textId="77777777" w:rsidR="00135C8C" w:rsidRDefault="00135C8C" w:rsidP="00135C8C">
      <w:pPr>
        <w:spacing w:line="480" w:lineRule="auto"/>
        <w:rPr>
          <w:rFonts w:ascii="Times New Roman" w:hAnsi="Times New Roman"/>
          <w:color w:val="000000" w:themeColor="text1"/>
          <w:sz w:val="24"/>
        </w:rPr>
      </w:pPr>
    </w:p>
    <w:p w14:paraId="557D514C" w14:textId="77777777" w:rsidR="00135C8C" w:rsidRDefault="00135C8C" w:rsidP="00135C8C">
      <w:pPr>
        <w:spacing w:line="480" w:lineRule="auto"/>
        <w:rPr>
          <w:rFonts w:ascii="Times New Roman" w:hAnsi="Times New Roman"/>
          <w:color w:val="000000" w:themeColor="text1"/>
          <w:sz w:val="24"/>
        </w:rPr>
      </w:pPr>
    </w:p>
    <w:p w14:paraId="43A4A98D" w14:textId="77777777" w:rsidR="00135C8C" w:rsidRDefault="00135C8C" w:rsidP="00135C8C">
      <w:pPr>
        <w:spacing w:line="480" w:lineRule="auto"/>
        <w:rPr>
          <w:rFonts w:ascii="Times New Roman" w:hAnsi="Times New Roman"/>
          <w:color w:val="000000" w:themeColor="text1"/>
          <w:sz w:val="24"/>
        </w:rPr>
      </w:pPr>
    </w:p>
    <w:p w14:paraId="1F095101" w14:textId="77777777" w:rsidR="00135C8C" w:rsidRDefault="00135C8C" w:rsidP="00135C8C">
      <w:pPr>
        <w:spacing w:line="480" w:lineRule="auto"/>
        <w:rPr>
          <w:rFonts w:ascii="Times New Roman" w:hAnsi="Times New Roman"/>
          <w:color w:val="000000" w:themeColor="text1"/>
          <w:sz w:val="24"/>
        </w:rPr>
      </w:pPr>
    </w:p>
    <w:p w14:paraId="4375517B" w14:textId="77777777" w:rsidR="00135C8C" w:rsidRDefault="00135C8C" w:rsidP="00135C8C">
      <w:pPr>
        <w:spacing w:line="480" w:lineRule="auto"/>
        <w:rPr>
          <w:rFonts w:ascii="Times New Roman" w:hAnsi="Times New Roman"/>
          <w:b/>
          <w:bCs/>
          <w:color w:val="000000" w:themeColor="text1"/>
          <w:sz w:val="24"/>
        </w:rPr>
      </w:pPr>
      <w:r>
        <w:rPr>
          <w:rFonts w:ascii="Times New Roman" w:hAnsi="Times New Roman"/>
          <w:b/>
          <w:bCs/>
          <w:color w:val="000000" w:themeColor="text1"/>
          <w:sz w:val="24"/>
        </w:rPr>
        <w:t>Supplementary Figure 2 </w:t>
      </w:r>
      <w:r>
        <w:rPr>
          <w:rFonts w:ascii="Times New Roman" w:hAnsi="Times New Roman" w:hint="eastAsia"/>
          <w:b/>
          <w:bCs/>
          <w:color w:val="000000" w:themeColor="text1"/>
          <w:sz w:val="24"/>
        </w:rPr>
        <w:t>HBO1 does not regulate TRIM21</w:t>
      </w:r>
    </w:p>
    <w:p w14:paraId="06C3A56B" w14:textId="77777777" w:rsidR="00135C8C" w:rsidRDefault="00135C8C" w:rsidP="00135C8C">
      <w:pPr>
        <w:spacing w:line="480" w:lineRule="auto"/>
        <w:rPr>
          <w:rFonts w:ascii="Times New Roman" w:hAnsi="Times New Roman"/>
          <w:b/>
          <w:bCs/>
          <w:color w:val="000000" w:themeColor="text1"/>
          <w:sz w:val="24"/>
        </w:rPr>
      </w:pPr>
      <w:r>
        <w:rPr>
          <w:rFonts w:ascii="Times New Roman" w:hAnsi="Times New Roman" w:hint="eastAsia"/>
          <w:b/>
          <w:bCs/>
          <w:noProof/>
          <w:color w:val="000000" w:themeColor="text1"/>
          <w:sz w:val="24"/>
        </w:rPr>
        <w:lastRenderedPageBreak/>
        <w:drawing>
          <wp:inline distT="0" distB="0" distL="0" distR="0" wp14:anchorId="036559B9" wp14:editId="622FAFB3">
            <wp:extent cx="5274310" cy="2583815"/>
            <wp:effectExtent l="0" t="0" r="0" b="0"/>
            <wp:docPr id="26340888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408884" name="图片 26340888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ADA329" w14:textId="77777777" w:rsidR="00135C8C" w:rsidRDefault="00135C8C" w:rsidP="00135C8C">
      <w:pPr>
        <w:spacing w:line="480" w:lineRule="auto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 w:hint="eastAsia"/>
          <w:color w:val="000000" w:themeColor="text1"/>
          <w:sz w:val="24"/>
        </w:rPr>
        <w:t xml:space="preserve"> (A-B) Changes in TRIM21 mRNA levels upon overexpression and knockdown in TPC-1 and 8505C thyroid cancer cells were assessed by RT-qPCR. (C-F) The regulatory relationship between HBO1 and TRIM21 at the mRNA level in thyroid cancer cells was assessed by RT-qPCR. All experiments were performed with three or more technical replicates. Statistical significance: ns, not significant; *p &lt; 0.05; **p &lt; 0.01; ***p &lt; 0.001; ****p &lt; 0.0001.</w:t>
      </w:r>
    </w:p>
    <w:p w14:paraId="12591298" w14:textId="77777777" w:rsidR="00135C8C" w:rsidRDefault="00135C8C" w:rsidP="00135C8C">
      <w:pPr>
        <w:spacing w:line="480" w:lineRule="auto"/>
        <w:rPr>
          <w:rFonts w:ascii="Times New Roman" w:hAnsi="Times New Roman"/>
          <w:color w:val="000000" w:themeColor="text1"/>
          <w:sz w:val="24"/>
        </w:rPr>
      </w:pPr>
    </w:p>
    <w:p w14:paraId="7E2B1B9E" w14:textId="77777777" w:rsidR="00135C8C" w:rsidRDefault="00135C8C" w:rsidP="00135C8C">
      <w:pPr>
        <w:spacing w:line="480" w:lineRule="auto"/>
        <w:rPr>
          <w:rFonts w:ascii="Times New Roman" w:hAnsi="Times New Roman"/>
          <w:color w:val="000000" w:themeColor="text1"/>
          <w:sz w:val="24"/>
        </w:rPr>
      </w:pPr>
    </w:p>
    <w:p w14:paraId="56CF8AC3" w14:textId="77777777" w:rsidR="00135C8C" w:rsidRDefault="00135C8C" w:rsidP="00135C8C">
      <w:pPr>
        <w:spacing w:line="480" w:lineRule="auto"/>
        <w:rPr>
          <w:rFonts w:ascii="Times New Roman" w:hAnsi="Times New Roman"/>
          <w:color w:val="000000" w:themeColor="text1"/>
          <w:sz w:val="24"/>
        </w:rPr>
      </w:pPr>
    </w:p>
    <w:p w14:paraId="730B392C" w14:textId="77777777" w:rsidR="00135C8C" w:rsidRDefault="00135C8C" w:rsidP="00135C8C">
      <w:pPr>
        <w:spacing w:line="480" w:lineRule="auto"/>
        <w:rPr>
          <w:rFonts w:ascii="Times New Roman" w:hAnsi="Times New Roman"/>
          <w:color w:val="000000" w:themeColor="text1"/>
          <w:sz w:val="24"/>
        </w:rPr>
      </w:pPr>
    </w:p>
    <w:p w14:paraId="109D4120" w14:textId="77777777" w:rsidR="00135C8C" w:rsidRDefault="00135C8C" w:rsidP="00135C8C">
      <w:pPr>
        <w:spacing w:line="480" w:lineRule="auto"/>
        <w:rPr>
          <w:rFonts w:ascii="Times New Roman" w:hAnsi="Times New Roman"/>
          <w:color w:val="000000" w:themeColor="text1"/>
          <w:sz w:val="24"/>
        </w:rPr>
      </w:pPr>
    </w:p>
    <w:p w14:paraId="7BD83114" w14:textId="77777777" w:rsidR="00135C8C" w:rsidRDefault="00135C8C" w:rsidP="00135C8C">
      <w:pPr>
        <w:spacing w:line="480" w:lineRule="auto"/>
        <w:rPr>
          <w:rFonts w:ascii="Times New Roman" w:hAnsi="Times New Roman"/>
          <w:color w:val="000000" w:themeColor="text1"/>
          <w:sz w:val="24"/>
        </w:rPr>
      </w:pPr>
    </w:p>
    <w:p w14:paraId="2FDFBEE8" w14:textId="77777777" w:rsidR="00135C8C" w:rsidRDefault="00135C8C" w:rsidP="00135C8C">
      <w:pPr>
        <w:spacing w:line="480" w:lineRule="auto"/>
        <w:rPr>
          <w:rFonts w:ascii="Times New Roman" w:hAnsi="Times New Roman"/>
          <w:color w:val="000000" w:themeColor="text1"/>
          <w:sz w:val="24"/>
        </w:rPr>
      </w:pPr>
    </w:p>
    <w:p w14:paraId="35ABA0D3" w14:textId="77777777" w:rsidR="00135C8C" w:rsidRDefault="00135C8C" w:rsidP="00135C8C">
      <w:pPr>
        <w:spacing w:line="480" w:lineRule="auto"/>
        <w:rPr>
          <w:rFonts w:ascii="Times New Roman" w:hAnsi="Times New Roman"/>
          <w:color w:val="000000" w:themeColor="text1"/>
          <w:sz w:val="24"/>
        </w:rPr>
      </w:pPr>
    </w:p>
    <w:p w14:paraId="144590A0" w14:textId="77777777" w:rsidR="00135C8C" w:rsidRDefault="00135C8C" w:rsidP="00135C8C">
      <w:pPr>
        <w:spacing w:line="480" w:lineRule="auto"/>
        <w:rPr>
          <w:rFonts w:ascii="Times New Roman" w:hAnsi="Times New Roman"/>
          <w:color w:val="000000" w:themeColor="text1"/>
          <w:sz w:val="24"/>
        </w:rPr>
      </w:pPr>
    </w:p>
    <w:p w14:paraId="4BCA1906" w14:textId="77777777" w:rsidR="00135C8C" w:rsidRDefault="00135C8C" w:rsidP="00135C8C">
      <w:pPr>
        <w:spacing w:line="480" w:lineRule="auto"/>
        <w:rPr>
          <w:rFonts w:ascii="Times New Roman" w:hAnsi="Times New Roman"/>
          <w:color w:val="000000" w:themeColor="text1"/>
          <w:sz w:val="24"/>
        </w:rPr>
      </w:pPr>
    </w:p>
    <w:p w14:paraId="232EDF49" w14:textId="77777777" w:rsidR="00135C8C" w:rsidRDefault="00135C8C" w:rsidP="00135C8C">
      <w:pPr>
        <w:spacing w:line="480" w:lineRule="auto"/>
        <w:rPr>
          <w:rFonts w:ascii="Times New Roman" w:hAnsi="Times New Roman"/>
          <w:color w:val="000000" w:themeColor="text1"/>
          <w:sz w:val="24"/>
        </w:rPr>
      </w:pPr>
    </w:p>
    <w:p w14:paraId="5838C0C5" w14:textId="77777777" w:rsidR="00135C8C" w:rsidRDefault="00135C8C" w:rsidP="00135C8C">
      <w:pPr>
        <w:spacing w:line="480" w:lineRule="auto"/>
        <w:rPr>
          <w:rFonts w:ascii="Times New Roman" w:hAnsi="Times New Roman"/>
          <w:color w:val="000000" w:themeColor="text1"/>
          <w:sz w:val="24"/>
        </w:rPr>
      </w:pPr>
    </w:p>
    <w:p w14:paraId="144829D3" w14:textId="77777777" w:rsidR="00135C8C" w:rsidRDefault="00135C8C" w:rsidP="00135C8C">
      <w:pPr>
        <w:spacing w:line="480" w:lineRule="auto"/>
        <w:rPr>
          <w:rFonts w:ascii="Times New Roman" w:hAnsi="Times New Roman"/>
          <w:color w:val="000000" w:themeColor="text1"/>
          <w:sz w:val="24"/>
        </w:rPr>
      </w:pPr>
    </w:p>
    <w:p w14:paraId="2F79387A" w14:textId="77777777" w:rsidR="00135C8C" w:rsidRDefault="00135C8C" w:rsidP="00135C8C">
      <w:pPr>
        <w:spacing w:line="480" w:lineRule="auto"/>
        <w:rPr>
          <w:rFonts w:ascii="Times New Roman" w:hAnsi="Times New Roman"/>
          <w:color w:val="000000" w:themeColor="text1"/>
          <w:sz w:val="24"/>
        </w:rPr>
      </w:pPr>
    </w:p>
    <w:p w14:paraId="58787C55" w14:textId="77777777" w:rsidR="00135C8C" w:rsidRDefault="00135C8C" w:rsidP="00135C8C">
      <w:pPr>
        <w:spacing w:line="480" w:lineRule="auto"/>
        <w:rPr>
          <w:rFonts w:ascii="Times New Roman" w:hAnsi="Times New Roman"/>
          <w:color w:val="000000" w:themeColor="text1"/>
          <w:sz w:val="24"/>
        </w:rPr>
      </w:pPr>
    </w:p>
    <w:p w14:paraId="2146A4D1" w14:textId="77777777" w:rsidR="00135C8C" w:rsidRDefault="00135C8C" w:rsidP="00135C8C">
      <w:pPr>
        <w:spacing w:line="480" w:lineRule="auto"/>
        <w:rPr>
          <w:rFonts w:ascii="Times New Roman" w:hAnsi="Times New Roman"/>
          <w:color w:val="000000" w:themeColor="text1"/>
          <w:sz w:val="24"/>
        </w:rPr>
      </w:pPr>
    </w:p>
    <w:p w14:paraId="2E2DBAE5" w14:textId="77777777" w:rsidR="00135C8C" w:rsidRDefault="00135C8C" w:rsidP="00135C8C">
      <w:pPr>
        <w:spacing w:line="480" w:lineRule="auto"/>
        <w:rPr>
          <w:rFonts w:ascii="Times New Roman" w:eastAsia="KaiTi" w:hAnsi="Times New Roman"/>
          <w:color w:val="000000" w:themeColor="text1"/>
          <w:sz w:val="24"/>
        </w:rPr>
      </w:pPr>
      <w:r>
        <w:rPr>
          <w:rFonts w:ascii="Times New Roman" w:eastAsia="KaiTi" w:hAnsi="Times New Roman"/>
          <w:b/>
          <w:bCs/>
          <w:color w:val="000000" w:themeColor="text1"/>
          <w:sz w:val="24"/>
        </w:rPr>
        <w:t>Supplementary Table</w:t>
      </w:r>
    </w:p>
    <w:p w14:paraId="2B67BC48" w14:textId="77777777" w:rsidR="00135C8C" w:rsidRDefault="00135C8C" w:rsidP="00135C8C">
      <w:pPr>
        <w:spacing w:line="480" w:lineRule="auto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eastAsia="KaiTi" w:hAnsi="Times New Roman"/>
          <w:color w:val="000000" w:themeColor="text1"/>
          <w:sz w:val="24"/>
        </w:rPr>
        <w:t xml:space="preserve">Supplementary Table 1 </w:t>
      </w:r>
      <w:r>
        <w:rPr>
          <w:rFonts w:ascii="Times New Roman" w:hAnsi="Times New Roman"/>
          <w:color w:val="000000" w:themeColor="text1"/>
          <w:sz w:val="24"/>
        </w:rPr>
        <w:t>Primer information</w:t>
      </w:r>
    </w:p>
    <w:tbl>
      <w:tblPr>
        <w:tblStyle w:val="TableGrid"/>
        <w:tblW w:w="8522" w:type="dxa"/>
        <w:tblLook w:val="04A0" w:firstRow="1" w:lastRow="0" w:firstColumn="1" w:lastColumn="0" w:noHBand="0" w:noVBand="1"/>
      </w:tblPr>
      <w:tblGrid>
        <w:gridCol w:w="4261"/>
        <w:gridCol w:w="4261"/>
      </w:tblGrid>
      <w:tr w:rsidR="00135C8C" w14:paraId="477F0ABB" w14:textId="77777777" w:rsidTr="001C2E9A">
        <w:tc>
          <w:tcPr>
            <w:tcW w:w="4261" w:type="dxa"/>
            <w:tcBorders>
              <w:top w:val="single" w:sz="18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45AEEEDF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Primer name</w:t>
            </w:r>
          </w:p>
        </w:tc>
        <w:tc>
          <w:tcPr>
            <w:tcW w:w="4261" w:type="dxa"/>
            <w:tcBorders>
              <w:top w:val="single" w:sz="18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630EBD3F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Primer sequence</w:t>
            </w:r>
          </w:p>
        </w:tc>
      </w:tr>
      <w:tr w:rsidR="00135C8C" w14:paraId="78E37C7B" w14:textId="77777777" w:rsidTr="001C2E9A">
        <w:tc>
          <w:tcPr>
            <w:tcW w:w="4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FCB7089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HBO1-forward</w:t>
            </w:r>
          </w:p>
        </w:tc>
        <w:tc>
          <w:tcPr>
            <w:tcW w:w="4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AA93858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GCGAAGGAAGAGGAATGCAG</w:t>
            </w:r>
          </w:p>
        </w:tc>
      </w:tr>
      <w:tr w:rsidR="00135C8C" w14:paraId="3ECA2492" w14:textId="77777777" w:rsidTr="001C2E9A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2B65D5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HBO1-reverse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EE6CA0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AACTGTCTGTGTGCTCGAGA</w:t>
            </w:r>
          </w:p>
        </w:tc>
      </w:tr>
      <w:tr w:rsidR="00135C8C" w14:paraId="10B47F1F" w14:textId="77777777" w:rsidTr="001C2E9A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E9C4FC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VTCN1-forward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36F07C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AATGCCAGCTCAGAGACCTT</w:t>
            </w:r>
          </w:p>
        </w:tc>
      </w:tr>
      <w:tr w:rsidR="00135C8C" w14:paraId="6BFC505B" w14:textId="77777777" w:rsidTr="001C2E9A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7D72F8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VTCN1-reverse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B09978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GAGCACAGACACAACCTTCA</w:t>
            </w:r>
          </w:p>
        </w:tc>
      </w:tr>
      <w:tr w:rsidR="00135C8C" w14:paraId="1707C0F3" w14:textId="77777777" w:rsidTr="001C2E9A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A3A300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BRD4-forward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B11F3A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ACAACCCTCCTGACCATGAG</w:t>
            </w:r>
          </w:p>
        </w:tc>
      </w:tr>
      <w:tr w:rsidR="00135C8C" w14:paraId="4AAB1612" w14:textId="77777777" w:rsidTr="001C2E9A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81EBB1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BRD4-reverse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3BAEBB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AACTGTCACTGTCCGAGGAG</w:t>
            </w:r>
          </w:p>
        </w:tc>
      </w:tr>
      <w:tr w:rsidR="00135C8C" w14:paraId="3BEA9947" w14:textId="77777777" w:rsidTr="001C2E9A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7A9E16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TRIM21-forward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0F7AE6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AGAGGGAGCAGCTGAGAATC</w:t>
            </w:r>
          </w:p>
        </w:tc>
      </w:tr>
      <w:tr w:rsidR="00135C8C" w14:paraId="7C6A0932" w14:textId="77777777" w:rsidTr="001C2E9A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071CD3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TRIM21-reverse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E990EF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GGCACCTTCGATCTAGCTCT</w:t>
            </w:r>
          </w:p>
        </w:tc>
      </w:tr>
      <w:tr w:rsidR="00135C8C" w14:paraId="2206B842" w14:textId="77777777" w:rsidTr="001C2E9A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EFC458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TNF-α-forward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4C1D24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 xml:space="preserve">CTTCTGTCTACTGAACTTCGGG </w:t>
            </w:r>
          </w:p>
        </w:tc>
      </w:tr>
      <w:tr w:rsidR="00135C8C" w14:paraId="65E240CF" w14:textId="77777777" w:rsidTr="001C2E9A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D78F12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TNF-α-reverse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98903D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CACTTGGTGGTTTGCTACGAC</w:t>
            </w:r>
          </w:p>
        </w:tc>
      </w:tr>
      <w:tr w:rsidR="00135C8C" w14:paraId="26119DEA" w14:textId="77777777" w:rsidTr="001C2E9A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DD3E6F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IFN-γ-forward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B0FE1E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TCGTTTTGGGTTCTCTTGGC</w:t>
            </w:r>
          </w:p>
        </w:tc>
      </w:tr>
      <w:tr w:rsidR="00135C8C" w14:paraId="66088B0F" w14:textId="77777777" w:rsidTr="001C2E9A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E3EBC2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IFN-γ-reverse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D82B79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TGGTCTCCACACTCTTTTGG</w:t>
            </w:r>
          </w:p>
        </w:tc>
      </w:tr>
      <w:tr w:rsidR="00135C8C" w14:paraId="7ED1D713" w14:textId="77777777" w:rsidTr="001C2E9A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CBB0F0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GZMB-forward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4FD601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CCCTGGGAAAACACTCACAC</w:t>
            </w:r>
          </w:p>
        </w:tc>
      </w:tr>
      <w:tr w:rsidR="00135C8C" w14:paraId="28B855AD" w14:textId="77777777" w:rsidTr="001C2E9A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34F7A0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GZMB-reverse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0C9B8E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TTACACACAAGAGGGCCTCC</w:t>
            </w:r>
          </w:p>
        </w:tc>
      </w:tr>
      <w:tr w:rsidR="00135C8C" w14:paraId="6607BD57" w14:textId="77777777" w:rsidTr="001C2E9A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BBA570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IL-2-forward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C6A07D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CAACTCCTGTCTTGCATTGC</w:t>
            </w:r>
          </w:p>
        </w:tc>
      </w:tr>
      <w:tr w:rsidR="00135C8C" w14:paraId="21DF9BC0" w14:textId="77777777" w:rsidTr="001C2E9A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F79BF4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IL-2-reverse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26C851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TGTGAGCATCCTGGTGAGTT</w:t>
            </w:r>
          </w:p>
        </w:tc>
      </w:tr>
      <w:tr w:rsidR="00135C8C" w14:paraId="7CD8CC2C" w14:textId="77777777" w:rsidTr="001C2E9A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66E3CD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GAPDH-forward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3DFB26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CGACCACTTTGTCAAGCTCA</w:t>
            </w:r>
          </w:p>
        </w:tc>
      </w:tr>
      <w:tr w:rsidR="00135C8C" w14:paraId="1C436209" w14:textId="77777777" w:rsidTr="001C2E9A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1DBF6E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GAPDH-reverse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4593CA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ACTGAGTGTGGCAGGGACTC</w:t>
            </w:r>
          </w:p>
        </w:tc>
      </w:tr>
      <w:tr w:rsidR="00135C8C" w14:paraId="385B10C7" w14:textId="77777777" w:rsidTr="001C2E9A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14A8D7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lastRenderedPageBreak/>
              <w:t>VTCN1-CHIP-Site1-forward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9E3B71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GGGCTGGAGGAAACAATAAGG</w:t>
            </w:r>
          </w:p>
        </w:tc>
      </w:tr>
      <w:tr w:rsidR="00135C8C" w14:paraId="3AEFE936" w14:textId="77777777" w:rsidTr="001C2E9A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9F7B03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VTCN1-CHIP-Site1-reverse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3ED7F7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TCAAAGGTGAGTGGGTTAGCA</w:t>
            </w:r>
          </w:p>
        </w:tc>
      </w:tr>
      <w:tr w:rsidR="00135C8C" w14:paraId="0B48ECE3" w14:textId="77777777" w:rsidTr="001C2E9A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D2853A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VTCN1-CHIP-Site2-forward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4DB5EC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CAGAGAGAGGGGCAGTTGAA</w:t>
            </w:r>
          </w:p>
        </w:tc>
      </w:tr>
      <w:tr w:rsidR="00135C8C" w14:paraId="53750ED7" w14:textId="77777777" w:rsidTr="001C2E9A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B48541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VTCN1-CHIP-Site2-reverse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68B859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TTTCAGTGGGAGCAGGAGAG</w:t>
            </w:r>
          </w:p>
        </w:tc>
      </w:tr>
      <w:tr w:rsidR="00135C8C" w14:paraId="57A4A681" w14:textId="77777777" w:rsidTr="001C2E9A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C72625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VTCN1-CHIP-Site3-forward-2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0F43B1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CCCTCTCCTGCTGCCTTATT</w:t>
            </w:r>
          </w:p>
        </w:tc>
      </w:tr>
      <w:tr w:rsidR="00135C8C" w14:paraId="01F7624B" w14:textId="77777777" w:rsidTr="001C2E9A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948E75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VTCN1-CHIP-Site3-reverse-2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2A1869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CCTAGTGTTTGCGTATGGGC</w:t>
            </w:r>
          </w:p>
        </w:tc>
      </w:tr>
      <w:tr w:rsidR="00135C8C" w14:paraId="05F87340" w14:textId="77777777" w:rsidTr="001C2E9A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828B53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VTCN1-CHIP-Site4-forward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27ABD9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TTGAGGTGGGGCTGCTTTT</w:t>
            </w:r>
          </w:p>
        </w:tc>
      </w:tr>
      <w:tr w:rsidR="00135C8C" w14:paraId="76C6920A" w14:textId="77777777" w:rsidTr="001C2E9A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6A171F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VTCN1-CHIP-Site4-reverse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05D4EF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AGCCATGATCGTGCCAGTAT</w:t>
            </w:r>
          </w:p>
        </w:tc>
      </w:tr>
      <w:tr w:rsidR="00135C8C" w14:paraId="62C1C776" w14:textId="77777777" w:rsidTr="001C2E9A">
        <w:tc>
          <w:tcPr>
            <w:tcW w:w="4261" w:type="dxa"/>
            <w:tcBorders>
              <w:top w:val="nil"/>
              <w:left w:val="nil"/>
              <w:bottom w:val="nil"/>
              <w:right w:val="nil"/>
              <w:tl2br w:val="nil"/>
            </w:tcBorders>
            <w:shd w:val="clear" w:color="auto" w:fill="FFFFFF"/>
          </w:tcPr>
          <w:p w14:paraId="3ADD72D5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VTCN1-CHIP-Site5-forward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  <w:tl2br w:val="nil"/>
            </w:tcBorders>
            <w:shd w:val="clear" w:color="auto" w:fill="FFFFFF"/>
          </w:tcPr>
          <w:p w14:paraId="5C8B301E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GAGCAGCTGGGACTATATGC</w:t>
            </w:r>
          </w:p>
        </w:tc>
      </w:tr>
      <w:tr w:rsidR="00135C8C" w14:paraId="407F7BD8" w14:textId="77777777" w:rsidTr="001C2E9A">
        <w:tc>
          <w:tcPr>
            <w:tcW w:w="426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</w:tcPr>
          <w:p w14:paraId="3F0DEE88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VTCN1-CHIP-Site5-reverse</w:t>
            </w:r>
          </w:p>
        </w:tc>
        <w:tc>
          <w:tcPr>
            <w:tcW w:w="426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</w:tcPr>
          <w:p w14:paraId="1484AA21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TCTTGAGCCTAGCAGTTCGA</w:t>
            </w:r>
          </w:p>
        </w:tc>
      </w:tr>
    </w:tbl>
    <w:p w14:paraId="75BEEEB9" w14:textId="77777777" w:rsidR="00135C8C" w:rsidRDefault="00135C8C" w:rsidP="00135C8C">
      <w:pPr>
        <w:spacing w:line="480" w:lineRule="auto"/>
        <w:rPr>
          <w:rFonts w:ascii="Times New Roman" w:hAnsi="Times New Roman"/>
          <w:color w:val="000000" w:themeColor="text1"/>
          <w:sz w:val="24"/>
        </w:rPr>
      </w:pPr>
    </w:p>
    <w:p w14:paraId="38D92692" w14:textId="77777777" w:rsidR="00135C8C" w:rsidRDefault="00135C8C" w:rsidP="00135C8C">
      <w:pPr>
        <w:widowControl/>
        <w:spacing w:line="480" w:lineRule="auto"/>
        <w:jc w:val="left"/>
        <w:rPr>
          <w:rFonts w:ascii="Times New Roman" w:eastAsia="KaiTi" w:hAnsi="Times New Roman"/>
          <w:color w:val="000000" w:themeColor="text1"/>
          <w:sz w:val="24"/>
        </w:rPr>
      </w:pPr>
      <w:r>
        <w:rPr>
          <w:rFonts w:ascii="Times New Roman" w:eastAsia="KaiTi" w:hAnsi="Times New Roman"/>
          <w:color w:val="000000" w:themeColor="text1"/>
          <w:sz w:val="24"/>
        </w:rPr>
        <w:br w:type="page"/>
      </w:r>
    </w:p>
    <w:p w14:paraId="7DA97026" w14:textId="77777777" w:rsidR="00135C8C" w:rsidRDefault="00135C8C" w:rsidP="00135C8C">
      <w:pPr>
        <w:spacing w:line="480" w:lineRule="auto"/>
        <w:rPr>
          <w:rFonts w:ascii="Times New Roman" w:eastAsia="KaiTi" w:hAnsi="Times New Roman"/>
          <w:color w:val="000000" w:themeColor="text1"/>
          <w:sz w:val="24"/>
        </w:rPr>
      </w:pPr>
      <w:r>
        <w:rPr>
          <w:rFonts w:ascii="Times New Roman" w:eastAsia="KaiTi" w:hAnsi="Times New Roman"/>
          <w:color w:val="000000" w:themeColor="text1"/>
          <w:sz w:val="24"/>
        </w:rPr>
        <w:lastRenderedPageBreak/>
        <w:t>Supplementary Table 2</w:t>
      </w:r>
      <w:r>
        <w:rPr>
          <w:rFonts w:ascii="Times New Roman" w:hAnsi="Times New Roman"/>
          <w:color w:val="000000" w:themeColor="text1"/>
          <w:sz w:val="24"/>
        </w:rPr>
        <w:t xml:space="preserve"> </w:t>
      </w:r>
      <w:r>
        <w:rPr>
          <w:rFonts w:ascii="Times New Roman" w:eastAsia="KaiTi" w:hAnsi="Times New Roman"/>
          <w:color w:val="000000" w:themeColor="text1"/>
          <w:sz w:val="24"/>
        </w:rPr>
        <w:t>Antibody information</w:t>
      </w:r>
    </w:p>
    <w:tbl>
      <w:tblPr>
        <w:tblStyle w:val="TableGrid"/>
        <w:tblW w:w="9573" w:type="dxa"/>
        <w:tblLayout w:type="fixed"/>
        <w:tblLook w:val="04A0" w:firstRow="1" w:lastRow="0" w:firstColumn="1" w:lastColumn="0" w:noHBand="0" w:noVBand="1"/>
      </w:tblPr>
      <w:tblGrid>
        <w:gridCol w:w="5214"/>
        <w:gridCol w:w="1423"/>
        <w:gridCol w:w="2936"/>
      </w:tblGrid>
      <w:tr w:rsidR="00135C8C" w14:paraId="0719F5A0" w14:textId="77777777" w:rsidTr="001C2E9A">
        <w:tc>
          <w:tcPr>
            <w:tcW w:w="5214" w:type="dxa"/>
            <w:tcBorders>
              <w:top w:val="single" w:sz="18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68405C16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Antibody name</w:t>
            </w:r>
          </w:p>
        </w:tc>
        <w:tc>
          <w:tcPr>
            <w:tcW w:w="1423" w:type="dxa"/>
            <w:tcBorders>
              <w:top w:val="single" w:sz="18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0819A29E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Item number</w:t>
            </w:r>
          </w:p>
        </w:tc>
        <w:tc>
          <w:tcPr>
            <w:tcW w:w="2936" w:type="dxa"/>
            <w:tcBorders>
              <w:top w:val="single" w:sz="18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5A804D15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Company</w:t>
            </w:r>
          </w:p>
        </w:tc>
      </w:tr>
      <w:tr w:rsidR="00135C8C" w14:paraId="6EA078CB" w14:textId="77777777" w:rsidTr="001C2E9A">
        <w:tc>
          <w:tcPr>
            <w:tcW w:w="5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F0AA2F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KAT7 (DGR32553) Rabbit mAb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BD833F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db13014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60EE3D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Diagbio</w:t>
            </w:r>
          </w:p>
        </w:tc>
      </w:tr>
      <w:tr w:rsidR="00135C8C" w14:paraId="04C1AE19" w14:textId="77777777" w:rsidTr="001C2E9A">
        <w:tc>
          <w:tcPr>
            <w:tcW w:w="5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46ED66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beta-Actin Mouse Monoclonal Antibody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0E1A07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EM21002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094C51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HUABIO</w:t>
            </w:r>
          </w:p>
        </w:tc>
      </w:tr>
      <w:tr w:rsidR="00135C8C" w14:paraId="4436ABF2" w14:textId="77777777" w:rsidTr="001C2E9A">
        <w:tc>
          <w:tcPr>
            <w:tcW w:w="5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40B36D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Acetyl-Histone H3 (Lys14) Rabbit Monoclonal Antibody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3014DE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AG3826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9D724C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Beyotime</w:t>
            </w:r>
          </w:p>
        </w:tc>
      </w:tr>
      <w:tr w:rsidR="00135C8C" w14:paraId="4BE4CE30" w14:textId="77777777" w:rsidTr="001C2E9A">
        <w:tc>
          <w:tcPr>
            <w:tcW w:w="5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6F30B2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Histone H3K9ac (Acetyl H3K9) Polyclonal Antibody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ABBE9B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A-4022-025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BC2504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EPIGENTEK</w:t>
            </w:r>
          </w:p>
        </w:tc>
      </w:tr>
      <w:tr w:rsidR="00135C8C" w14:paraId="4194AF13" w14:textId="77777777" w:rsidTr="001C2E9A">
        <w:tc>
          <w:tcPr>
            <w:tcW w:w="5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C6E912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Acetyl-Histone H4 (Lys5) (DGR15095) Rabbit mAb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E82504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db12176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E0DD41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Diagbio</w:t>
            </w:r>
          </w:p>
        </w:tc>
      </w:tr>
      <w:tr w:rsidR="00135C8C" w14:paraId="29A3DEE4" w14:textId="77777777" w:rsidTr="001C2E9A">
        <w:tc>
          <w:tcPr>
            <w:tcW w:w="5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0D490B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Histone H4(Acetyl Lys12) Rabbit Polyclonal Antibody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B7D602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AWA46862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99C83E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Abiowell</w:t>
            </w:r>
          </w:p>
        </w:tc>
      </w:tr>
      <w:tr w:rsidR="00135C8C" w14:paraId="7E6C7F8E" w14:textId="77777777" w:rsidTr="001C2E9A">
        <w:tc>
          <w:tcPr>
            <w:tcW w:w="5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AA9577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Histone H3 Mouse Monoclonal Antibody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34B864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AF0009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92BD15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Beyotime</w:t>
            </w:r>
          </w:p>
        </w:tc>
      </w:tr>
      <w:tr w:rsidR="00135C8C" w14:paraId="76C6C931" w14:textId="77777777" w:rsidTr="001C2E9A">
        <w:tc>
          <w:tcPr>
            <w:tcW w:w="5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665BE1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HRP-conjugated-GAPDH Monoclonal Antibody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DF92CB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HRP-60004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0F373C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Proteintech,Inc</w:t>
            </w:r>
          </w:p>
        </w:tc>
      </w:tr>
      <w:tr w:rsidR="00135C8C" w14:paraId="421BDA6E" w14:textId="77777777" w:rsidTr="001C2E9A">
        <w:tc>
          <w:tcPr>
            <w:tcW w:w="5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21592F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B7-H4(VTCN1) Rabbit Polyclonal Antibody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6727A1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R1512-1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68373D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HUABIO</w:t>
            </w:r>
          </w:p>
        </w:tc>
      </w:tr>
      <w:tr w:rsidR="00135C8C" w14:paraId="6A025925" w14:textId="77777777" w:rsidTr="001C2E9A">
        <w:tc>
          <w:tcPr>
            <w:tcW w:w="5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977B70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Brd4 Rabbit Polyclonal Antibody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674A7B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ER1901-02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A145DE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HUABIO</w:t>
            </w:r>
          </w:p>
        </w:tc>
      </w:tr>
      <w:tr w:rsidR="00135C8C" w14:paraId="5BFE2FDA" w14:textId="77777777" w:rsidTr="001C2E9A">
        <w:tc>
          <w:tcPr>
            <w:tcW w:w="5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22D840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TRIM21 Mouse Monoclonal Antibody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CEFA1A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AG3311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5D6BD2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Beyotime</w:t>
            </w:r>
          </w:p>
        </w:tc>
      </w:tr>
      <w:tr w:rsidR="00135C8C" w14:paraId="5C90645D" w14:textId="77777777" w:rsidTr="001C2E9A">
        <w:tc>
          <w:tcPr>
            <w:tcW w:w="5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7EB2DC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DDDDK-Tag(binds to flag sequnence) (12M11) Mouse mAb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A074A5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YM3808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A7A5CD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Immunoway</w:t>
            </w:r>
          </w:p>
        </w:tc>
      </w:tr>
      <w:tr w:rsidR="00135C8C" w14:paraId="37A93F9E" w14:textId="77777777" w:rsidTr="001C2E9A">
        <w:tc>
          <w:tcPr>
            <w:tcW w:w="5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673B26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HA-Tag(6E2) Mouse mAb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54E1D7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2367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68E86C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Cell Signaling Technology</w:t>
            </w:r>
          </w:p>
        </w:tc>
      </w:tr>
      <w:tr w:rsidR="00135C8C" w14:paraId="1CAA1F3C" w14:textId="77777777" w:rsidTr="001C2E9A">
        <w:tc>
          <w:tcPr>
            <w:tcW w:w="5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FA55B4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Goat Anti-Rabbit IgG(H+L)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B6DB45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E-AB-1003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06A9B9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Elabscience</w:t>
            </w:r>
          </w:p>
        </w:tc>
      </w:tr>
      <w:tr w:rsidR="00135C8C" w14:paraId="1BFCA27B" w14:textId="77777777" w:rsidTr="001C2E9A">
        <w:tc>
          <w:tcPr>
            <w:tcW w:w="5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7D1265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Goat Anti-Mouse IgG(H+L)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377F1C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E-AB-1001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144DE1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Elabscience</w:t>
            </w:r>
          </w:p>
        </w:tc>
      </w:tr>
      <w:tr w:rsidR="00135C8C" w14:paraId="5AC7FCB7" w14:textId="77777777" w:rsidTr="001C2E9A">
        <w:tc>
          <w:tcPr>
            <w:tcW w:w="52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F21855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CoraLite594-Goat Anti-Rabbit IgG(H+L)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9C51F0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SA00013-3</w:t>
            </w:r>
          </w:p>
        </w:tc>
        <w:tc>
          <w:tcPr>
            <w:tcW w:w="29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0054F4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Proteintech</w:t>
            </w:r>
          </w:p>
        </w:tc>
      </w:tr>
      <w:tr w:rsidR="00135C8C" w14:paraId="2EC1563A" w14:textId="77777777" w:rsidTr="001C2E9A">
        <w:tc>
          <w:tcPr>
            <w:tcW w:w="521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</w:tcPr>
          <w:p w14:paraId="4536DDC9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CoraLite488-Goat Anti-Rabbit IgG(H+L)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</w:tcPr>
          <w:p w14:paraId="64E731AC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SA00013-3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</w:tcPr>
          <w:p w14:paraId="14698288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Proteintech</w:t>
            </w:r>
          </w:p>
        </w:tc>
      </w:tr>
    </w:tbl>
    <w:p w14:paraId="4A15B919" w14:textId="77777777" w:rsidR="00135C8C" w:rsidRDefault="00135C8C" w:rsidP="00135C8C">
      <w:pPr>
        <w:spacing w:line="480" w:lineRule="auto"/>
        <w:rPr>
          <w:rFonts w:ascii="Times New Roman" w:eastAsia="KaiTi" w:hAnsi="Times New Roman"/>
          <w:color w:val="000000" w:themeColor="text1"/>
          <w:sz w:val="24"/>
        </w:rPr>
      </w:pPr>
    </w:p>
    <w:p w14:paraId="3E6ADF9B" w14:textId="77777777" w:rsidR="00135C8C" w:rsidRDefault="00135C8C" w:rsidP="00135C8C">
      <w:pPr>
        <w:widowControl/>
        <w:spacing w:line="480" w:lineRule="auto"/>
        <w:jc w:val="left"/>
        <w:rPr>
          <w:rFonts w:ascii="Times New Roman" w:eastAsia="KaiTi" w:hAnsi="Times New Roman"/>
          <w:color w:val="000000" w:themeColor="text1"/>
          <w:sz w:val="24"/>
        </w:rPr>
      </w:pPr>
      <w:r>
        <w:rPr>
          <w:rFonts w:ascii="Times New Roman" w:eastAsia="KaiTi" w:hAnsi="Times New Roman"/>
          <w:color w:val="000000" w:themeColor="text1"/>
          <w:sz w:val="24"/>
        </w:rPr>
        <w:br w:type="page"/>
      </w:r>
    </w:p>
    <w:p w14:paraId="251109E3" w14:textId="77777777" w:rsidR="00135C8C" w:rsidRDefault="00135C8C" w:rsidP="00135C8C">
      <w:pPr>
        <w:spacing w:line="480" w:lineRule="auto"/>
        <w:rPr>
          <w:rFonts w:ascii="Times New Roman" w:eastAsia="KaiTi" w:hAnsi="Times New Roman"/>
          <w:color w:val="000000" w:themeColor="text1"/>
          <w:sz w:val="24"/>
        </w:rPr>
      </w:pPr>
      <w:r>
        <w:rPr>
          <w:rFonts w:ascii="Times New Roman" w:eastAsia="KaiTi" w:hAnsi="Times New Roman"/>
          <w:color w:val="000000" w:themeColor="text1"/>
          <w:sz w:val="24"/>
        </w:rPr>
        <w:lastRenderedPageBreak/>
        <w:t>Supplementary Table 3</w:t>
      </w:r>
      <w:r>
        <w:rPr>
          <w:rFonts w:ascii="Times New Roman" w:hAnsi="Times New Roman"/>
          <w:color w:val="000000" w:themeColor="text1"/>
          <w:sz w:val="24"/>
        </w:rPr>
        <w:t xml:space="preserve"> </w:t>
      </w:r>
      <w:r>
        <w:rPr>
          <w:rFonts w:ascii="Times New Roman" w:eastAsia="KaiTi" w:hAnsi="Times New Roman"/>
          <w:color w:val="000000" w:themeColor="text1"/>
          <w:sz w:val="24"/>
        </w:rPr>
        <w:t>Reagent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51"/>
        <w:gridCol w:w="2814"/>
      </w:tblGrid>
      <w:tr w:rsidR="00135C8C" w14:paraId="7E26EB73" w14:textId="77777777" w:rsidTr="001C2E9A">
        <w:tc>
          <w:tcPr>
            <w:tcW w:w="4151" w:type="dxa"/>
            <w:tcBorders>
              <w:top w:val="single" w:sz="18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19B5155F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bookmarkStart w:id="0" w:name="OLE_LINK2"/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Reagent name</w:t>
            </w:r>
          </w:p>
        </w:tc>
        <w:tc>
          <w:tcPr>
            <w:tcW w:w="2814" w:type="dxa"/>
            <w:tcBorders>
              <w:top w:val="single" w:sz="18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53019110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Company</w:t>
            </w:r>
          </w:p>
        </w:tc>
      </w:tr>
      <w:tr w:rsidR="00135C8C" w14:paraId="62B80F5B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239669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Fetal bovine serum (FBS)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4E08E6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Procell</w:t>
            </w:r>
          </w:p>
        </w:tc>
      </w:tr>
      <w:tr w:rsidR="00135C8C" w14:paraId="00A080D3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3211EA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RPMI-1640 medium 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E62182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Procell</w:t>
            </w:r>
          </w:p>
        </w:tc>
      </w:tr>
      <w:tr w:rsidR="00135C8C" w14:paraId="01B911DB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7AD73A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DMEM medium 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9F84DF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Procell</w:t>
            </w:r>
          </w:p>
        </w:tc>
      </w:tr>
      <w:tr w:rsidR="00135C8C" w14:paraId="323AAD52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EEA82F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opti-MEM medium 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B6D5F3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Gibco</w:t>
            </w:r>
          </w:p>
        </w:tc>
      </w:tr>
      <w:tr w:rsidR="00135C8C" w14:paraId="02536857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180373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Neofect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491265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Invitrogen</w:t>
            </w:r>
          </w:p>
        </w:tc>
      </w:tr>
      <w:tr w:rsidR="00135C8C" w14:paraId="33DEF18C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D67532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jetPRIME®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5AE3B8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Polyplus</w:t>
            </w:r>
          </w:p>
        </w:tc>
      </w:tr>
      <w:tr w:rsidR="00135C8C" w14:paraId="3ACB5B88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E54A53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PBS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solution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610A0D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NCMBiotech</w:t>
            </w:r>
          </w:p>
        </w:tc>
      </w:tr>
      <w:tr w:rsidR="00135C8C" w14:paraId="057F50EA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833CD6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Penicillin–streptomycin solution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C19BB6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NCMBiotech</w:t>
            </w:r>
          </w:p>
        </w:tc>
      </w:tr>
      <w:tr w:rsidR="00135C8C" w14:paraId="45BF2D14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4FD28A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Serum‑free cell freezing medium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4CAE16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NCMBiotech</w:t>
            </w:r>
          </w:p>
        </w:tc>
      </w:tr>
      <w:tr w:rsidR="00135C8C" w14:paraId="6E7278BC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312B1E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Trypsin digestion solution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4FFB8F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NCMBiotech</w:t>
            </w:r>
          </w:p>
        </w:tc>
      </w:tr>
      <w:tr w:rsidR="00135C8C" w14:paraId="217582D2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8EB1B1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DMSO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43B4A2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Sigma</w:t>
            </w:r>
          </w:p>
        </w:tc>
      </w:tr>
      <w:tr w:rsidR="00135C8C" w14:paraId="249245FD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286F35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m:oMath>
              <m:r>
                <m:rPr>
                  <m:sty m:val="p"/>
                </m:rPr>
                <w:rPr>
                  <w:rFonts w:ascii="Cambria Math" w:eastAsia="KaiTi" w:hAnsi="Cambria Math"/>
                  <w:color w:val="000000" w:themeColor="text1"/>
                  <w:sz w:val="24"/>
                  <w:szCs w:val="24"/>
                </w:rPr>
                <m:t>dd</m:t>
              </m:r>
              <m:sSub>
                <m:sSubPr>
                  <m:ctrlPr>
                    <w:rPr>
                      <w:rFonts w:ascii="Cambria Math" w:eastAsia="KaiTi" w:hAnsi="Cambria Math"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KaiTi" w:hAnsi="Cambria Math"/>
                      <w:color w:val="000000" w:themeColor="text1"/>
                      <w:sz w:val="24"/>
                      <w:szCs w:val="24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KaiTi" w:hAnsi="Cambria Math"/>
                      <w:color w:val="000000" w:themeColor="text1"/>
                      <w:sz w:val="24"/>
                      <w:szCs w:val="24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eastAsia="KaiTi" w:hAnsi="Cambria Math"/>
                  <w:color w:val="000000" w:themeColor="text1"/>
                  <w:sz w:val="24"/>
                  <w:szCs w:val="24"/>
                </w:rPr>
                <m:t>O</m:t>
              </m:r>
            </m:oMath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(DNase/RNase free)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3F1195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Genecopoeia</w:t>
            </w:r>
          </w:p>
        </w:tc>
      </w:tr>
      <w:tr w:rsidR="00135C8C" w14:paraId="630B09AB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93D1FB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Total RNA rapid extraction kit 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EB4035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NCMBiotech</w:t>
            </w:r>
          </w:p>
        </w:tc>
      </w:tr>
      <w:tr w:rsidR="00135C8C" w14:paraId="6C2D3F37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7ECBD9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Nuclear and cytoplasmic protein extraction kit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5F1ECB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Beyotime</w:t>
            </w:r>
          </w:p>
        </w:tc>
      </w:tr>
      <w:tr w:rsidR="00135C8C" w14:paraId="11D85AA8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DF0948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RIPA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lysis buffer 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73E300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NCMBiotech</w:t>
            </w:r>
          </w:p>
        </w:tc>
      </w:tr>
      <w:tr w:rsidR="00135C8C" w14:paraId="705DA624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1AA8FD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Western blot &amp; IP lysis buffer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D1B019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NCMBiotech</w:t>
            </w:r>
          </w:p>
        </w:tc>
      </w:tr>
      <w:tr w:rsidR="00135C8C" w14:paraId="7A08C10C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BBA50B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5× protein loading buffer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B77B79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NCMBiotech</w:t>
            </w:r>
          </w:p>
        </w:tc>
      </w:tr>
      <w:tr w:rsidR="00135C8C" w14:paraId="2777DDAE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E2DF5F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Universal antibody diluent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A01CA5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NCMBiotech</w:t>
            </w:r>
          </w:p>
        </w:tc>
      </w:tr>
      <w:tr w:rsidR="00135C8C" w14:paraId="3F213B69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8019BA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Membrane regeneration solution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67D348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Cwbio</w:t>
            </w:r>
          </w:p>
        </w:tc>
      </w:tr>
      <w:tr w:rsidR="00135C8C" w14:paraId="2A96C07B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F10535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Protease inhibitor cocktail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61A8D4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NCMBiotech</w:t>
            </w:r>
          </w:p>
        </w:tc>
      </w:tr>
      <w:tr w:rsidR="00135C8C" w14:paraId="0FEDBB4D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630500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PMSF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C3B46F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Beyotime</w:t>
            </w:r>
          </w:p>
        </w:tc>
      </w:tr>
      <w:tr w:rsidR="00135C8C" w14:paraId="60E748A8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373C8F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Protein A/G magnetic beads 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1B0DA6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Biolinkedin</w:t>
            </w:r>
          </w:p>
        </w:tc>
      </w:tr>
      <w:tr w:rsidR="00135C8C" w14:paraId="6220C05A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DB4D71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lastRenderedPageBreak/>
              <w:t>Protein marker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36BDEC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Affinity</w:t>
            </w:r>
          </w:p>
        </w:tc>
      </w:tr>
      <w:tr w:rsidR="00135C8C" w14:paraId="633EBF48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8030B0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PVDF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membrane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D88A4E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Millipore</w:t>
            </w:r>
          </w:p>
        </w:tc>
      </w:tr>
      <w:tr w:rsidR="00135C8C" w14:paraId="0B04A430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3D0B0A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Skim milk powder 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DD6F53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Yili</w:t>
            </w:r>
          </w:p>
        </w:tc>
      </w:tr>
      <w:tr w:rsidR="00135C8C" w14:paraId="31E2D007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1B8188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Methanol 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450BCE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Sinopharm</w:t>
            </w:r>
          </w:p>
        </w:tc>
      </w:tr>
      <w:tr w:rsidR="00135C8C" w14:paraId="1E92CBE1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536F7D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Anhydrous ethanol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E8EB2C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Sinopharm</w:t>
            </w:r>
          </w:p>
        </w:tc>
      </w:tr>
      <w:tr w:rsidR="00135C8C" w14:paraId="4A6C7A57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A448DD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Tween‑20 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8BFCC2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Sinopharm</w:t>
            </w:r>
          </w:p>
        </w:tc>
      </w:tr>
      <w:tr w:rsidR="00135C8C" w14:paraId="402F9BEE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9E3512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PBS powder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66C8BB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Servicebio</w:t>
            </w:r>
          </w:p>
        </w:tc>
      </w:tr>
      <w:tr w:rsidR="00135C8C" w14:paraId="608FD929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7DC5CF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TBS powder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1A99EC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Servicebio</w:t>
            </w:r>
          </w:p>
        </w:tc>
      </w:tr>
      <w:tr w:rsidR="00135C8C" w14:paraId="3C0CB489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8ADF5A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Tris–glycine SDS‑PAGE buffer (high‑resolution rapid electrophoresis, powder) 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A730ED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Servicebio</w:t>
            </w:r>
          </w:p>
        </w:tc>
      </w:tr>
      <w:tr w:rsidR="00135C8C" w14:paraId="22128C8D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76CDB3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Ice‑free tank transfer buffer (powder)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BE3560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Servicebio</w:t>
            </w:r>
          </w:p>
        </w:tc>
      </w:tr>
      <w:tr w:rsidR="00135C8C" w14:paraId="319BB053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A6CD8C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Glycerol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2842E8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Sinopharm</w:t>
            </w:r>
          </w:p>
        </w:tc>
      </w:tr>
      <w:tr w:rsidR="00135C8C" w14:paraId="5BE59DB3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C82529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Yeast extract 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467AE5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OXOID</w:t>
            </w:r>
          </w:p>
        </w:tc>
      </w:tr>
      <w:tr w:rsidR="00135C8C" w14:paraId="76E78529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DFB532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Tryptone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36F87C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Solarbio</w:t>
            </w:r>
          </w:p>
        </w:tc>
      </w:tr>
      <w:tr w:rsidR="00135C8C" w14:paraId="0F54E13E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EC671D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Sodium chloride 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3C88B2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Sinopharm</w:t>
            </w:r>
          </w:p>
        </w:tc>
      </w:tr>
      <w:tr w:rsidR="00135C8C" w14:paraId="55BA383B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51D36D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Potassium chloride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28D683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Sinopharm</w:t>
            </w:r>
          </w:p>
        </w:tc>
      </w:tr>
      <w:tr w:rsidR="00135C8C" w14:paraId="48934781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0C04B3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Disodium phosphate dodecahydrate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1D3BFE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Sinopharm</w:t>
            </w:r>
          </w:p>
        </w:tc>
      </w:tr>
      <w:tr w:rsidR="00135C8C" w14:paraId="26860185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2AFD99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Sodium bicarbonate 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4FB956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Sinopharm</w:t>
            </w:r>
          </w:p>
        </w:tc>
      </w:tr>
      <w:tr w:rsidR="00135C8C" w14:paraId="54E951AB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F506BB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Potassium phosphate dibasic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1035B6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Sinopharm</w:t>
            </w:r>
          </w:p>
        </w:tc>
      </w:tr>
      <w:tr w:rsidR="00135C8C" w14:paraId="179A9F06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EF0310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Phenol red 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552C8C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Sinopharm</w:t>
            </w:r>
          </w:p>
        </w:tc>
      </w:tr>
      <w:tr w:rsidR="00135C8C" w14:paraId="1C2470AA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D36A72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4%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paraformaldehyde 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A752E8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Servicebio</w:t>
            </w:r>
          </w:p>
        </w:tc>
      </w:tr>
      <w:tr w:rsidR="00135C8C" w14:paraId="11C43353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02F031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Triton X-100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C557C0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Coolaber</w:t>
            </w:r>
          </w:p>
        </w:tc>
      </w:tr>
      <w:tr w:rsidR="00135C8C" w14:paraId="1B52F4E2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F1B113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QuickBlock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immunofluorescence blocking buffer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22E90B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Beyotime</w:t>
            </w:r>
          </w:p>
        </w:tc>
      </w:tr>
      <w:tr w:rsidR="00135C8C" w14:paraId="792DA202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894A2E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Antifade mounting medium with DAPI 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EFBCE0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Beyotime</w:t>
            </w:r>
          </w:p>
        </w:tc>
      </w:tr>
      <w:tr w:rsidR="00135C8C" w14:paraId="5C2FFE29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AD0F40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ChIP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assay kit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2EF314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Beyotime</w:t>
            </w:r>
          </w:p>
        </w:tc>
      </w:tr>
      <w:tr w:rsidR="00135C8C" w14:paraId="206A0847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365811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Endotoxin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noBreakHyphen/>
              <w:t>free plasmid extraction kit 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DD509B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Tiangen</w:t>
            </w:r>
          </w:p>
        </w:tc>
      </w:tr>
      <w:tr w:rsidR="00135C8C" w14:paraId="2CEB14EA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CC4797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EDU-488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cell proliferation detection kit 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E31D63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Beyotime</w:t>
            </w:r>
          </w:p>
        </w:tc>
      </w:tr>
      <w:tr w:rsidR="00135C8C" w14:paraId="49263680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8E2674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cDNA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synthesis kit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661AFD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Kermey</w:t>
            </w:r>
          </w:p>
        </w:tc>
      </w:tr>
      <w:tr w:rsidR="00135C8C" w14:paraId="0C256A62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059721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RT-qPCR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reagent 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83A388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Kermey</w:t>
            </w:r>
          </w:p>
        </w:tc>
      </w:tr>
      <w:tr w:rsidR="00135C8C" w14:paraId="17C9C98B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6EDA24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BCA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protein assay kit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B354D2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NCMBiotech</w:t>
            </w:r>
          </w:p>
        </w:tc>
      </w:tr>
      <w:tr w:rsidR="00135C8C" w14:paraId="5B86902E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459763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Dual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noBreakHyphen/>
              <w:t>luciferase reporter assay kit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CD8C28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Uelandy</w:t>
            </w:r>
          </w:p>
        </w:tc>
      </w:tr>
      <w:tr w:rsidR="00135C8C" w14:paraId="420AA785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5610A6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 xml:space="preserve">IFN-γ ELISA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kit</w:t>
            </w: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C98547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bookmarkStart w:id="1" w:name="OLE_LINK6"/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Elkbiotech</w:t>
            </w:r>
            <w:bookmarkEnd w:id="1"/>
          </w:p>
        </w:tc>
      </w:tr>
      <w:tr w:rsidR="00135C8C" w14:paraId="3FBC4AEC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C97208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 xml:space="preserve">TNF-α ELISA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kit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287925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Elkbiotech</w:t>
            </w:r>
          </w:p>
        </w:tc>
      </w:tr>
      <w:tr w:rsidR="00135C8C" w14:paraId="609F0570" w14:textId="77777777" w:rsidTr="001C2E9A"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930857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 xml:space="preserve">GZMB ELISA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kit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B3CBD1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Elkbiotech</w:t>
            </w:r>
          </w:p>
        </w:tc>
      </w:tr>
      <w:tr w:rsidR="00135C8C" w14:paraId="265C799D" w14:textId="77777777" w:rsidTr="001C2E9A">
        <w:tc>
          <w:tcPr>
            <w:tcW w:w="415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</w:tcPr>
          <w:p w14:paraId="4FA084D6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Apoptosis detection kit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</w:tcPr>
          <w:p w14:paraId="5C14D5D7" w14:textId="77777777" w:rsidR="00135C8C" w:rsidRDefault="00135C8C" w:rsidP="001C2E9A">
            <w:pPr>
              <w:spacing w:line="480" w:lineRule="auto"/>
              <w:rPr>
                <w:rFonts w:ascii="Times New Roman" w:eastAsia="KaiTi" w:hAnsi="Times New Roman"/>
                <w:color w:val="000000" w:themeColor="text1"/>
                <w:sz w:val="24"/>
              </w:rPr>
            </w:pPr>
            <w:r>
              <w:rPr>
                <w:rFonts w:ascii="Times New Roman" w:eastAsia="KaiTi" w:hAnsi="Times New Roman"/>
                <w:color w:val="000000" w:themeColor="text1"/>
                <w:sz w:val="24"/>
                <w:szCs w:val="24"/>
              </w:rPr>
              <w:t>Lianke Biotech</w:t>
            </w:r>
          </w:p>
        </w:tc>
      </w:tr>
      <w:bookmarkEnd w:id="0"/>
    </w:tbl>
    <w:p w14:paraId="44B25413" w14:textId="77777777" w:rsidR="00135C8C" w:rsidRDefault="00135C8C" w:rsidP="00135C8C">
      <w:pPr>
        <w:spacing w:line="480" w:lineRule="auto"/>
        <w:rPr>
          <w:rFonts w:ascii="Times New Roman" w:eastAsia="KaiTi" w:hAnsi="Times New Roman"/>
          <w:color w:val="000000" w:themeColor="text1"/>
          <w:sz w:val="24"/>
        </w:rPr>
      </w:pPr>
    </w:p>
    <w:p w14:paraId="08504728" w14:textId="77777777" w:rsidR="00135C8C" w:rsidRDefault="00135C8C" w:rsidP="00135C8C">
      <w:pPr>
        <w:spacing w:line="480" w:lineRule="auto"/>
        <w:rPr>
          <w:rFonts w:ascii="Times New Roman" w:hAnsi="Times New Roman"/>
          <w:color w:val="000000" w:themeColor="text1"/>
          <w:sz w:val="24"/>
        </w:rPr>
      </w:pPr>
    </w:p>
    <w:p w14:paraId="4293A0FD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C8C"/>
    <w:rsid w:val="000C4033"/>
    <w:rsid w:val="00135C8C"/>
    <w:rsid w:val="004B42CB"/>
    <w:rsid w:val="005F2B46"/>
    <w:rsid w:val="006E1731"/>
    <w:rsid w:val="00AD5149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EE643"/>
  <w15:chartTrackingRefBased/>
  <w15:docId w15:val="{04F19F2C-BA02-40B5-B6E6-77234F8F9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5C8C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szCs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5C8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5C8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5C8C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5C8C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5C8C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5C8C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5C8C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5C8C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5C8C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5C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5C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5C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5C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5C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5C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5C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5C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5C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5C8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35C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5C8C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35C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5C8C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35C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5C8C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35C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5C8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5C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5C8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135C8C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722</Words>
  <Characters>4500</Characters>
  <Application>Microsoft Office Word</Application>
  <DocSecurity>0</DocSecurity>
  <Lines>91</Lines>
  <Paragraphs>28</Paragraphs>
  <ScaleCrop>false</ScaleCrop>
  <Company/>
  <LinksUpToDate>false</LinksUpToDate>
  <CharactersWithSpaces>5194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2026-03-25T16:46:00Z</dcterms:created>
  <dcterms:modified xsi:type="dcterms:W3CDTF">2026-03-25T16:46:00Z</dcterms:modified>
</cp:coreProperties>
</file>