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54B77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b/>
          <w:bCs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Figure S1: MOI adaptation does not impact the differences observed between virulent and attenuated ASFV strains </w:t>
      </w:r>
      <w:r>
        <w:rPr>
          <w:rFonts w:ascii="Calibri" w:hAnsi="Calibri" w:cs="Calibri"/>
          <w:b/>
          <w:bCs/>
          <w:color w:val="002060"/>
          <w:lang w:val="en-US"/>
        </w:rPr>
        <w:t>during the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 early phase of DNA replication. </w:t>
      </w:r>
    </w:p>
    <w:p w14:paraId="697CDD22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>(A</w:t>
      </w:r>
      <w:r>
        <w:rPr>
          <w:rFonts w:ascii="Calibri" w:hAnsi="Calibri" w:cs="Calibri"/>
          <w:b/>
          <w:bCs/>
          <w:color w:val="002060"/>
          <w:lang w:val="en-US"/>
        </w:rPr>
        <w:t>-C</w:t>
      </w:r>
      <w:r w:rsidRPr="00DA3AA9">
        <w:rPr>
          <w:rFonts w:ascii="Calibri" w:hAnsi="Calibri" w:cs="Calibri"/>
          <w:b/>
          <w:bCs/>
          <w:color w:val="002060"/>
          <w:lang w:val="en-US"/>
        </w:rPr>
        <w:t>)</w:t>
      </w:r>
      <w:r w:rsidRPr="00DA3AA9">
        <w:rPr>
          <w:rFonts w:ascii="Calibri" w:hAnsi="Calibri" w:cs="Calibri"/>
          <w:color w:val="002060"/>
          <w:lang w:val="en-US"/>
        </w:rPr>
        <w:t xml:space="preserve"> Infection rate at 24 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hpi</w:t>
      </w:r>
      <w:proofErr w:type="spellEnd"/>
      <w:r w:rsidRPr="00DA3AA9">
        <w:rPr>
          <w:rFonts w:ascii="Calibri" w:hAnsi="Calibri" w:cs="Calibri"/>
          <w:color w:val="002060"/>
          <w:lang w:val="en-US"/>
        </w:rPr>
        <w:t xml:space="preserve"> assessed by flow cytometry. PAMs from </w:t>
      </w:r>
      <w:r>
        <w:rPr>
          <w:rFonts w:ascii="Calibri" w:hAnsi="Calibri" w:cs="Calibri"/>
          <w:color w:val="002060"/>
          <w:lang w:val="en-US"/>
        </w:rPr>
        <w:t>three piglet</w:t>
      </w:r>
      <w:r w:rsidRPr="00DA3AA9">
        <w:rPr>
          <w:rFonts w:ascii="Calibri" w:hAnsi="Calibri" w:cs="Calibri"/>
          <w:color w:val="002060"/>
          <w:lang w:val="en-US"/>
        </w:rPr>
        <w:t xml:space="preserve"> donors were plated in 12-well plates at a concentration of 1.0 x 10</w:t>
      </w:r>
      <w:r w:rsidRPr="00DA3AA9">
        <w:rPr>
          <w:rFonts w:ascii="Calibri" w:hAnsi="Calibri" w:cs="Calibri"/>
          <w:color w:val="002060"/>
          <w:vertAlign w:val="superscript"/>
          <w:lang w:val="en-US"/>
        </w:rPr>
        <w:t>6</w:t>
      </w:r>
      <w:r w:rsidRPr="00DA3AA9">
        <w:rPr>
          <w:rFonts w:ascii="Calibri" w:hAnsi="Calibri" w:cs="Calibri"/>
          <w:color w:val="002060"/>
          <w:lang w:val="en-US"/>
        </w:rPr>
        <w:t xml:space="preserve"> cells per well. 24 h later, cells were infected at </w:t>
      </w:r>
      <w:r>
        <w:rPr>
          <w:rFonts w:ascii="Calibri" w:hAnsi="Calibri" w:cs="Calibri"/>
          <w:color w:val="002060"/>
          <w:lang w:val="en-US"/>
        </w:rPr>
        <w:t xml:space="preserve">the indicated </w:t>
      </w:r>
      <w:r w:rsidRPr="00DA3AA9">
        <w:rPr>
          <w:rFonts w:ascii="Calibri" w:hAnsi="Calibri" w:cs="Calibri"/>
          <w:color w:val="002060"/>
          <w:lang w:val="en-US"/>
        </w:rPr>
        <w:t xml:space="preserve">MOI with virulent (L60 and OURT88/1) and attenuated (NH/P68 and OURT88/3) strains. After 24 h of infection, PAMs were stained intracellularly with </w:t>
      </w:r>
      <w:r>
        <w:rPr>
          <w:rFonts w:ascii="Calibri" w:hAnsi="Calibri" w:cs="Calibri"/>
          <w:color w:val="002060"/>
          <w:lang w:val="en-US"/>
        </w:rPr>
        <w:t xml:space="preserve">a </w:t>
      </w:r>
      <w:r w:rsidRPr="00DA3AA9">
        <w:rPr>
          <w:rFonts w:ascii="Calibri" w:hAnsi="Calibri" w:cs="Calibri"/>
          <w:color w:val="002060"/>
          <w:lang w:val="en-US"/>
        </w:rPr>
        <w:t>p72 antibody and infection rate was quantified using a flow cytometer. A one-way ANOVA test was performed to compare infection rate among strains conditions (</w:t>
      </w:r>
      <w:r w:rsidRPr="00DA3AA9">
        <w:rPr>
          <w:rFonts w:ascii="Calibri" w:hAnsi="Calibri" w:cs="Calibri"/>
          <w:i/>
          <w:iCs/>
          <w:color w:val="002060"/>
          <w:lang w:val="en-US"/>
        </w:rPr>
        <w:t>ns: non-significant</w:t>
      </w:r>
      <w:r w:rsidRPr="00DA3AA9">
        <w:rPr>
          <w:rFonts w:ascii="Calibri" w:hAnsi="Calibri" w:cs="Calibri"/>
          <w:color w:val="002060"/>
          <w:lang w:val="en-US"/>
        </w:rPr>
        <w:t xml:space="preserve">). </w:t>
      </w:r>
      <w:r w:rsidRPr="00DA3AA9">
        <w:rPr>
          <w:rFonts w:ascii="Calibri" w:hAnsi="Calibri" w:cs="Calibri"/>
          <w:b/>
          <w:bCs/>
          <w:color w:val="002060"/>
          <w:lang w:val="en-US"/>
        </w:rPr>
        <w:t>(B</w:t>
      </w:r>
      <w:r>
        <w:rPr>
          <w:rFonts w:ascii="Calibri" w:hAnsi="Calibri" w:cs="Calibri"/>
          <w:b/>
          <w:bCs/>
          <w:color w:val="002060"/>
          <w:lang w:val="en-US"/>
        </w:rPr>
        <w:t>-D</w:t>
      </w:r>
      <w:r w:rsidRPr="00DA3AA9">
        <w:rPr>
          <w:rFonts w:ascii="Calibri" w:hAnsi="Calibri" w:cs="Calibri"/>
          <w:b/>
          <w:bCs/>
          <w:color w:val="002060"/>
          <w:lang w:val="en-US"/>
        </w:rPr>
        <w:t>)</w:t>
      </w:r>
      <w:r w:rsidRPr="00DA3AA9">
        <w:rPr>
          <w:rFonts w:ascii="Calibri" w:hAnsi="Calibri" w:cs="Calibri"/>
          <w:color w:val="002060"/>
          <w:lang w:val="en-US"/>
        </w:rPr>
        <w:t xml:space="preserve"> Detection of viral DNA replication by qPCR. PAMs from 3 donors were plated in 12-well plates at a concentration of 1.0 x 10</w:t>
      </w:r>
      <w:r w:rsidRPr="00DA3AA9">
        <w:rPr>
          <w:rFonts w:ascii="Calibri" w:hAnsi="Calibri" w:cs="Calibri"/>
          <w:color w:val="002060"/>
          <w:vertAlign w:val="superscript"/>
          <w:lang w:val="en-US"/>
        </w:rPr>
        <w:t>6</w:t>
      </w:r>
      <w:r w:rsidRPr="00DA3AA9">
        <w:rPr>
          <w:rFonts w:ascii="Calibri" w:hAnsi="Calibri" w:cs="Calibri"/>
          <w:color w:val="002060"/>
          <w:lang w:val="en-US"/>
        </w:rPr>
        <w:t xml:space="preserve"> cells per well. 24 h later, cells were infected at </w:t>
      </w:r>
      <w:r>
        <w:rPr>
          <w:rFonts w:ascii="Calibri" w:hAnsi="Calibri" w:cs="Calibri"/>
          <w:color w:val="002060"/>
          <w:lang w:val="en-US"/>
        </w:rPr>
        <w:t xml:space="preserve">the indicated </w:t>
      </w:r>
      <w:r w:rsidRPr="00DA3AA9">
        <w:rPr>
          <w:rFonts w:ascii="Calibri" w:hAnsi="Calibri" w:cs="Calibri"/>
          <w:color w:val="002060"/>
          <w:lang w:val="en-US"/>
        </w:rPr>
        <w:t xml:space="preserve">MOI with virulent (L60 and OURT88/1) and attenuated (NH/P68 and OURT88/3) strains. DNA </w:t>
      </w:r>
      <w:r>
        <w:rPr>
          <w:rFonts w:ascii="Calibri" w:hAnsi="Calibri" w:cs="Calibri"/>
          <w:color w:val="002060"/>
          <w:lang w:val="en-US"/>
        </w:rPr>
        <w:t xml:space="preserve">samples </w:t>
      </w:r>
      <w:r w:rsidRPr="00DA3AA9">
        <w:rPr>
          <w:rFonts w:ascii="Calibri" w:hAnsi="Calibri" w:cs="Calibri"/>
          <w:color w:val="002060"/>
          <w:lang w:val="en-US"/>
        </w:rPr>
        <w:t>of infected PAMs w</w:t>
      </w:r>
      <w:r>
        <w:rPr>
          <w:rFonts w:ascii="Calibri" w:hAnsi="Calibri" w:cs="Calibri"/>
          <w:color w:val="002060"/>
          <w:lang w:val="en-US"/>
        </w:rPr>
        <w:t>ere</w:t>
      </w:r>
      <w:r w:rsidRPr="00DA3AA9">
        <w:rPr>
          <w:rFonts w:ascii="Calibri" w:hAnsi="Calibri" w:cs="Calibri"/>
          <w:color w:val="002060"/>
          <w:lang w:val="en-US"/>
        </w:rPr>
        <w:t xml:space="preserve"> collected </w:t>
      </w:r>
      <w:r>
        <w:rPr>
          <w:rFonts w:ascii="Calibri" w:hAnsi="Calibri" w:cs="Calibri"/>
          <w:color w:val="002060"/>
          <w:lang w:val="en-US"/>
        </w:rPr>
        <w:t xml:space="preserve">at 2, 4, 8, 24 and 48 </w:t>
      </w:r>
      <w:proofErr w:type="spellStart"/>
      <w:r>
        <w:rPr>
          <w:rFonts w:ascii="Calibri" w:hAnsi="Calibri" w:cs="Calibri"/>
          <w:color w:val="002060"/>
          <w:lang w:val="en-US"/>
        </w:rPr>
        <w:t>hpi</w:t>
      </w:r>
      <w:proofErr w:type="spellEnd"/>
      <w:r>
        <w:rPr>
          <w:rFonts w:ascii="Calibri" w:hAnsi="Calibri" w:cs="Calibri"/>
          <w:color w:val="002060"/>
          <w:lang w:val="en-US"/>
        </w:rPr>
        <w:t xml:space="preserve"> </w:t>
      </w:r>
      <w:r w:rsidRPr="00DA3AA9">
        <w:rPr>
          <w:rFonts w:ascii="Calibri" w:hAnsi="Calibri" w:cs="Calibri"/>
          <w:color w:val="002060"/>
          <w:lang w:val="en-US"/>
        </w:rPr>
        <w:t xml:space="preserve">and analyzed by qPCR for the </w:t>
      </w:r>
      <w:r>
        <w:rPr>
          <w:rFonts w:ascii="Calibri" w:hAnsi="Calibri" w:cs="Calibri"/>
          <w:color w:val="002060"/>
          <w:lang w:val="en-US"/>
        </w:rPr>
        <w:t xml:space="preserve">quantification </w:t>
      </w:r>
      <w:r w:rsidRPr="00DA3AA9">
        <w:rPr>
          <w:rFonts w:ascii="Calibri" w:hAnsi="Calibri" w:cs="Calibri"/>
          <w:color w:val="002060"/>
          <w:lang w:val="en-US"/>
        </w:rPr>
        <w:t xml:space="preserve">of </w:t>
      </w:r>
      <w:r>
        <w:rPr>
          <w:rFonts w:ascii="Calibri" w:hAnsi="Calibri" w:cs="Calibri"/>
          <w:color w:val="002060"/>
          <w:lang w:val="en-US"/>
        </w:rPr>
        <w:t xml:space="preserve">the </w:t>
      </w:r>
      <w:r w:rsidRPr="00DA3AA9">
        <w:rPr>
          <w:rFonts w:ascii="Calibri" w:hAnsi="Calibri" w:cs="Calibri"/>
          <w:i/>
          <w:iCs/>
          <w:color w:val="002060"/>
          <w:lang w:val="en-US"/>
        </w:rPr>
        <w:t>B646L</w:t>
      </w:r>
      <w:r w:rsidRPr="00DA3AA9">
        <w:rPr>
          <w:rFonts w:ascii="Calibri" w:hAnsi="Calibri" w:cs="Calibri"/>
          <w:color w:val="002060"/>
          <w:lang w:val="en-US"/>
        </w:rPr>
        <w:t xml:space="preserve"> gene. A two-way ANOVA test was performed to compare virulent (L60 and OURT88/1) and attenuated (NH/P68 and OURT88/3) strains replication (</w:t>
      </w:r>
      <w:r w:rsidRPr="00DA3AA9">
        <w:rPr>
          <w:rFonts w:ascii="Calibri" w:hAnsi="Calibri" w:cs="Calibri"/>
          <w:i/>
          <w:iCs/>
          <w:color w:val="002060"/>
          <w:lang w:val="en-US"/>
        </w:rPr>
        <w:t>*: p&lt;0.05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**: p&lt;0.01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***: p&lt;0.001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****: p&lt;0.0001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ns: non-significant</w:t>
      </w:r>
      <w:r w:rsidRPr="00DA3AA9">
        <w:rPr>
          <w:rFonts w:ascii="Calibri" w:hAnsi="Calibri" w:cs="Calibri"/>
          <w:color w:val="002060"/>
          <w:lang w:val="en-US"/>
        </w:rPr>
        <w:t>).</w:t>
      </w:r>
    </w:p>
    <w:p w14:paraId="763C5770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highlight w:val="cyan"/>
          <w:lang w:val="en-US"/>
        </w:rPr>
      </w:pPr>
    </w:p>
    <w:p w14:paraId="03F347B9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Figure S2: Overview of global dynamics of viral gene expression. </w:t>
      </w:r>
    </w:p>
    <w:p w14:paraId="27132434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color w:val="002060"/>
          <w:lang w:val="en-US"/>
        </w:rPr>
        <w:t xml:space="preserve">Principal Component Analyses (PCA) were performed on fold change expression data at 4, 8, 24 and 48 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hpi</w:t>
      </w:r>
      <w:proofErr w:type="spellEnd"/>
      <w:r w:rsidRPr="00DA3AA9">
        <w:rPr>
          <w:rFonts w:ascii="Calibri" w:hAnsi="Calibri" w:cs="Calibri"/>
          <w:color w:val="002060"/>
          <w:lang w:val="en-US"/>
        </w:rPr>
        <w:t xml:space="preserve">. Each point represents a sample, colored accordingly to the viral strain used for the infection.  </w:t>
      </w:r>
    </w:p>
    <w:p w14:paraId="2460A7DF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highlight w:val="cyan"/>
          <w:lang w:val="en-US"/>
        </w:rPr>
      </w:pPr>
    </w:p>
    <w:p w14:paraId="2B14ECB5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b/>
          <w:bCs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>Figure S3</w:t>
      </w:r>
      <w:r w:rsidRPr="00DA3AA9">
        <w:rPr>
          <w:rFonts w:ascii="Calibri" w:hAnsi="Calibri" w:cs="Calibri"/>
          <w:color w:val="002060"/>
          <w:lang w:val="en-US"/>
        </w:rPr>
        <w:t xml:space="preserve">: </w:t>
      </w:r>
      <w:r w:rsidRPr="00DA3AA9">
        <w:rPr>
          <w:rFonts w:ascii="Calibri" w:hAnsi="Calibri" w:cs="Calibri"/>
          <w:b/>
          <w:bCs/>
          <w:color w:val="002060"/>
          <w:lang w:val="en-US"/>
        </w:rPr>
        <w:t>Dynamics of expression of</w:t>
      </w:r>
      <w:r>
        <w:rPr>
          <w:rFonts w:ascii="Calibri" w:hAnsi="Calibri" w:cs="Calibri"/>
          <w:b/>
          <w:bCs/>
          <w:color w:val="002060"/>
          <w:lang w:val="en-US"/>
        </w:rPr>
        <w:t xml:space="preserve"> viral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 genes </w:t>
      </w:r>
      <w:r>
        <w:rPr>
          <w:rFonts w:ascii="Calibri" w:hAnsi="Calibri" w:cs="Calibri"/>
          <w:b/>
          <w:bCs/>
          <w:color w:val="002060"/>
          <w:lang w:val="en-US"/>
        </w:rPr>
        <w:t>and spatial mapping of viral gene clusters.</w:t>
      </w:r>
    </w:p>
    <w:p w14:paraId="5CC9954C" w14:textId="77777777" w:rsidR="00542D19" w:rsidRPr="003F1837" w:rsidRDefault="00542D19" w:rsidP="00542D19">
      <w:pPr>
        <w:spacing w:line="480" w:lineRule="auto"/>
        <w:contextualSpacing/>
        <w:jc w:val="both"/>
        <w:rPr>
          <w:rFonts w:ascii="Calibri" w:hAnsi="Calibri" w:cs="Calibri"/>
          <w:color w:val="002060"/>
          <w:lang w:val="en-GB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lastRenderedPageBreak/>
        <w:t>(A)</w:t>
      </w:r>
      <w:r w:rsidRPr="00DA3AA9">
        <w:rPr>
          <w:rFonts w:ascii="Calibri" w:hAnsi="Calibri" w:cs="Calibri"/>
          <w:color w:val="002060"/>
          <w:lang w:val="en-US"/>
        </w:rPr>
        <w:t xml:space="preserve"> Expression profiles of the upregulated genes at 24 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hpi</w:t>
      </w:r>
      <w:proofErr w:type="spellEnd"/>
      <w:r w:rsidRPr="00DA3AA9">
        <w:rPr>
          <w:rFonts w:ascii="Calibri" w:hAnsi="Calibri" w:cs="Calibri"/>
          <w:color w:val="002060"/>
          <w:lang w:val="en-US"/>
        </w:rPr>
        <w:t xml:space="preserve"> </w:t>
      </w:r>
      <w:r>
        <w:rPr>
          <w:rFonts w:ascii="Calibri" w:hAnsi="Calibri" w:cs="Calibri"/>
          <w:color w:val="002060"/>
          <w:lang w:val="en-US"/>
        </w:rPr>
        <w:t>during</w:t>
      </w:r>
      <w:r w:rsidRPr="00DA3AA9">
        <w:rPr>
          <w:rFonts w:ascii="Calibri" w:hAnsi="Calibri" w:cs="Calibri"/>
          <w:color w:val="002060"/>
          <w:lang w:val="en-US"/>
        </w:rPr>
        <w:t xml:space="preserve"> virulent strains infection. For each sample, </w:t>
      </w:r>
      <w:r>
        <w:rPr>
          <w:rFonts w:ascii="Calibri" w:hAnsi="Calibri" w:cs="Calibri"/>
          <w:color w:val="002060"/>
          <w:lang w:val="en-US"/>
        </w:rPr>
        <w:t>t</w:t>
      </w:r>
      <w:r w:rsidRPr="00DA3AA9">
        <w:rPr>
          <w:rFonts w:ascii="Calibri" w:hAnsi="Calibri" w:cs="Calibri"/>
          <w:color w:val="002060"/>
          <w:lang w:val="en-US"/>
        </w:rPr>
        <w:t xml:space="preserve">he expression of each viral gene was normalized against </w:t>
      </w:r>
      <w:r w:rsidRPr="00DA3AA9">
        <w:rPr>
          <w:rFonts w:ascii="Calibri" w:hAnsi="Calibri" w:cs="Calibri"/>
          <w:i/>
          <w:iCs/>
          <w:color w:val="002060"/>
          <w:lang w:val="en-US"/>
        </w:rPr>
        <w:t>GAPDH</w:t>
      </w:r>
      <w:r w:rsidRPr="00DA3AA9"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i/>
          <w:iCs/>
          <w:color w:val="002060"/>
          <w:lang w:val="en-US"/>
        </w:rPr>
        <w:t>RPL19</w:t>
      </w:r>
      <w:r w:rsidRPr="00DA3AA9">
        <w:rPr>
          <w:rFonts w:ascii="Calibri" w:hAnsi="Calibri" w:cs="Calibri"/>
          <w:color w:val="002060"/>
          <w:lang w:val="en-US"/>
        </w:rPr>
        <w:t xml:space="preserve"> expression and fold change values were normalized against the pool of all cDNA analyzed in microfluidic RT-qPCR. A two-way ANOVA test was performed to compare gene expression among times post-infection of attenuated and virulent strain infection (</w:t>
      </w:r>
      <w:r w:rsidRPr="00DA3AA9">
        <w:rPr>
          <w:rFonts w:ascii="Calibri" w:hAnsi="Calibri" w:cs="Calibri"/>
          <w:i/>
          <w:iCs/>
          <w:color w:val="002060"/>
          <w:lang w:val="en-US"/>
        </w:rPr>
        <w:t>ns: non-significant, *: p &lt;0.05, ****: p&lt;0.0001</w:t>
      </w:r>
      <w:r w:rsidRPr="00DA3AA9">
        <w:rPr>
          <w:rFonts w:ascii="Calibri" w:hAnsi="Calibri" w:cs="Calibri"/>
          <w:color w:val="002060"/>
          <w:lang w:val="en-US"/>
        </w:rPr>
        <w:t>).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 (B) </w:t>
      </w:r>
      <w:r w:rsidRPr="00DA3AA9">
        <w:rPr>
          <w:rFonts w:ascii="Calibri" w:hAnsi="Calibri" w:cs="Calibri"/>
          <w:color w:val="002060"/>
          <w:lang w:val="en-US"/>
        </w:rPr>
        <w:t xml:space="preserve">Expression profiles of the 23 genes of the cluster V3. For each sample, the expression of each viral gene was normalized against </w:t>
      </w:r>
      <w:r w:rsidRPr="00DA3AA9">
        <w:rPr>
          <w:rFonts w:ascii="Calibri" w:hAnsi="Calibri" w:cs="Calibri"/>
          <w:i/>
          <w:iCs/>
          <w:color w:val="002060"/>
          <w:lang w:val="en-US"/>
        </w:rPr>
        <w:t>GAPDH</w:t>
      </w:r>
      <w:r w:rsidRPr="00DA3AA9"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i/>
          <w:iCs/>
          <w:color w:val="002060"/>
          <w:lang w:val="en-US"/>
        </w:rPr>
        <w:t>RPL19</w:t>
      </w:r>
      <w:r w:rsidRPr="00DA3AA9">
        <w:rPr>
          <w:rFonts w:ascii="Calibri" w:hAnsi="Calibri" w:cs="Calibri"/>
          <w:color w:val="002060"/>
          <w:lang w:val="en-US"/>
        </w:rPr>
        <w:t xml:space="preserve"> expression and fold change values were normalized against the pool of all cDNA </w:t>
      </w:r>
      <w:r>
        <w:rPr>
          <w:rFonts w:ascii="Calibri" w:hAnsi="Calibri" w:cs="Calibri"/>
          <w:color w:val="002060"/>
          <w:lang w:val="en-US"/>
        </w:rPr>
        <w:t xml:space="preserve">samples </w:t>
      </w:r>
      <w:r w:rsidRPr="00DA3AA9">
        <w:rPr>
          <w:rFonts w:ascii="Calibri" w:hAnsi="Calibri" w:cs="Calibri"/>
          <w:color w:val="002060"/>
          <w:lang w:val="en-US"/>
        </w:rPr>
        <w:t>analyzed in microfluidic RT-qPCR. A two-way ANOVA test was performed to compare gene expression among times post-infection of attenuated and virulent strains infection (</w:t>
      </w:r>
      <w:r w:rsidRPr="00DA3AA9">
        <w:rPr>
          <w:rFonts w:ascii="Calibri" w:hAnsi="Calibri" w:cs="Calibri"/>
          <w:i/>
          <w:iCs/>
          <w:color w:val="002060"/>
          <w:lang w:val="en-US"/>
        </w:rPr>
        <w:t>ns: non-significant, *: p &lt;0.05, **: p&lt;0.01, ***: p&lt;0.001</w:t>
      </w:r>
      <w:r w:rsidRPr="00DA3AA9">
        <w:rPr>
          <w:rFonts w:ascii="Calibri" w:hAnsi="Calibri" w:cs="Calibri"/>
          <w:color w:val="002060"/>
          <w:lang w:val="en-US"/>
        </w:rPr>
        <w:t xml:space="preserve">). </w:t>
      </w:r>
      <w:r w:rsidRPr="003F1837">
        <w:rPr>
          <w:rFonts w:ascii="Calibri" w:hAnsi="Calibri" w:cs="Calibri"/>
          <w:b/>
          <w:bCs/>
          <w:color w:val="002060"/>
          <w:lang w:val="en-US"/>
        </w:rPr>
        <w:t>(</w:t>
      </w:r>
      <w:r>
        <w:rPr>
          <w:rFonts w:ascii="Calibri" w:hAnsi="Calibri" w:cs="Calibri"/>
          <w:b/>
          <w:bCs/>
          <w:color w:val="002060"/>
          <w:lang w:val="en-US"/>
        </w:rPr>
        <w:t>C</w:t>
      </w:r>
      <w:r w:rsidRPr="003F1837">
        <w:rPr>
          <w:rFonts w:ascii="Calibri" w:hAnsi="Calibri" w:cs="Calibri"/>
          <w:b/>
          <w:bCs/>
          <w:color w:val="002060"/>
          <w:lang w:val="en-US"/>
        </w:rPr>
        <w:t>)</w:t>
      </w:r>
      <w:r w:rsidRPr="003F1837">
        <w:rPr>
          <w:rFonts w:ascii="Calibri" w:hAnsi="Calibri" w:cs="Calibri"/>
          <w:color w:val="002060"/>
          <w:lang w:val="en-US"/>
        </w:rPr>
        <w:t xml:space="preserve"> Spatial mapping of viral genes clusters in the L60 genome. The graphical representation of the L60 genome with genes colored according to their classification in clustering analysis was made using </w:t>
      </w:r>
      <w:proofErr w:type="spellStart"/>
      <w:r w:rsidRPr="003F1837">
        <w:rPr>
          <w:rFonts w:ascii="Calibri" w:hAnsi="Calibri" w:cs="Calibri"/>
          <w:color w:val="002060"/>
          <w:lang w:val="en-US"/>
        </w:rPr>
        <w:t>SnapGene</w:t>
      </w:r>
      <w:proofErr w:type="spellEnd"/>
      <w:r w:rsidRPr="003F1837">
        <w:rPr>
          <w:rFonts w:ascii="Calibri" w:hAnsi="Calibri" w:cs="Calibri"/>
          <w:color w:val="002060"/>
          <w:lang w:val="en-US"/>
        </w:rPr>
        <w:t xml:space="preserve"> Viewer software (v6.2.1). </w:t>
      </w:r>
      <w:r w:rsidRPr="003F1837">
        <w:rPr>
          <w:rFonts w:ascii="Calibri" w:hAnsi="Calibri" w:cs="Calibri"/>
          <w:b/>
          <w:bCs/>
          <w:color w:val="002060"/>
          <w:lang w:val="en-US"/>
        </w:rPr>
        <w:t>(</w:t>
      </w:r>
      <w:r>
        <w:rPr>
          <w:rFonts w:ascii="Calibri" w:hAnsi="Calibri" w:cs="Calibri"/>
          <w:b/>
          <w:bCs/>
          <w:color w:val="002060"/>
          <w:lang w:val="en-US"/>
        </w:rPr>
        <w:t>D</w:t>
      </w:r>
      <w:r w:rsidRPr="003F1837">
        <w:rPr>
          <w:rFonts w:ascii="Calibri" w:hAnsi="Calibri" w:cs="Calibri"/>
          <w:b/>
          <w:bCs/>
          <w:color w:val="002060"/>
          <w:lang w:val="en-US"/>
        </w:rPr>
        <w:t>)</w:t>
      </w:r>
      <w:r w:rsidRPr="003F1837">
        <w:rPr>
          <w:rFonts w:ascii="Calibri" w:hAnsi="Calibri" w:cs="Calibri"/>
          <w:color w:val="002060"/>
          <w:lang w:val="en-US"/>
        </w:rPr>
        <w:t xml:space="preserve"> Statistical analysis of the distribution of cluster V3 genes in the L60 genome. </w:t>
      </w:r>
      <w:r w:rsidRPr="003F1837">
        <w:rPr>
          <w:color w:val="002060"/>
          <w:lang w:val="en-US"/>
        </w:rPr>
        <w:t xml:space="preserve"> </w:t>
      </w:r>
      <w:r w:rsidRPr="003F1837">
        <w:rPr>
          <w:rFonts w:ascii="Calibri" w:hAnsi="Calibri" w:cs="Calibri"/>
          <w:color w:val="002060"/>
          <w:lang w:val="en-US"/>
        </w:rPr>
        <w:t>Histogram showing the distribution of pairwise gene distances obtained after random shuffling of cluster V3 labels. The red line represents the observed value in the original dataset.</w:t>
      </w:r>
    </w:p>
    <w:p w14:paraId="3C7171A1" w14:textId="77777777" w:rsidR="00542D1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b/>
          <w:bCs/>
          <w:color w:val="002060"/>
          <w:lang w:val="en-US"/>
        </w:rPr>
      </w:pPr>
    </w:p>
    <w:p w14:paraId="67211257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>Figure S4</w:t>
      </w:r>
      <w:r w:rsidRPr="00DA3AA9">
        <w:rPr>
          <w:rFonts w:ascii="Calibri" w:hAnsi="Calibri" w:cs="Calibri"/>
          <w:color w:val="002060"/>
          <w:lang w:val="en-US"/>
        </w:rPr>
        <w:t xml:space="preserve">: 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Profiles of expression of host genes in ASFV infected PAMs. </w:t>
      </w:r>
    </w:p>
    <w:p w14:paraId="7AC9802C" w14:textId="77777777" w:rsidR="00542D1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(A) </w:t>
      </w:r>
      <w:r w:rsidRPr="00DA3AA9">
        <w:rPr>
          <w:rFonts w:ascii="Calibri" w:hAnsi="Calibri" w:cs="Calibri"/>
          <w:color w:val="002060"/>
          <w:lang w:val="en-US"/>
        </w:rPr>
        <w:t xml:space="preserve">Genes specifically triggered by attenuated ASFV </w:t>
      </w:r>
      <w:r>
        <w:rPr>
          <w:rFonts w:ascii="Calibri" w:hAnsi="Calibri" w:cs="Calibri"/>
          <w:color w:val="002060"/>
          <w:lang w:val="en-US"/>
        </w:rPr>
        <w:t xml:space="preserve">strain </w:t>
      </w:r>
      <w:r w:rsidRPr="00DA3AA9">
        <w:rPr>
          <w:rFonts w:ascii="Calibri" w:hAnsi="Calibri" w:cs="Calibri"/>
          <w:color w:val="002060"/>
          <w:lang w:val="en-US"/>
        </w:rPr>
        <w:t>infection</w:t>
      </w:r>
      <w:r>
        <w:rPr>
          <w:rFonts w:ascii="Calibri" w:hAnsi="Calibri" w:cs="Calibri"/>
          <w:color w:val="002060"/>
          <w:lang w:val="en-US"/>
        </w:rPr>
        <w:t>. The</w:t>
      </w:r>
      <w:r w:rsidRPr="00DA3AA9">
        <w:rPr>
          <w:rFonts w:ascii="Calibri" w:hAnsi="Calibri" w:cs="Calibri"/>
          <w:color w:val="002060"/>
          <w:lang w:val="en-US"/>
        </w:rPr>
        <w:t xml:space="preserve"> microfluidic RT-qPCR data for </w:t>
      </w:r>
      <w:r w:rsidRPr="00C70DFF">
        <w:rPr>
          <w:rFonts w:ascii="Calibri" w:hAnsi="Calibri" w:cs="Calibri"/>
          <w:i/>
          <w:iCs/>
          <w:color w:val="002060"/>
          <w:lang w:val="en-US"/>
        </w:rPr>
        <w:t>IFNA1</w:t>
      </w:r>
      <w:r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color w:val="002060"/>
          <w:lang w:val="en-US"/>
        </w:rPr>
        <w:t>selected genes of host cluster H</w:t>
      </w:r>
      <w:r>
        <w:rPr>
          <w:rFonts w:ascii="Calibri" w:hAnsi="Calibri" w:cs="Calibri"/>
          <w:color w:val="002060"/>
          <w:lang w:val="en-US"/>
        </w:rPr>
        <w:t>6 are shown.</w:t>
      </w:r>
      <w:r w:rsidRPr="00DA3AA9">
        <w:rPr>
          <w:rFonts w:ascii="Calibri" w:hAnsi="Calibri" w:cs="Calibri"/>
          <w:color w:val="002060"/>
          <w:lang w:val="en-US"/>
        </w:rPr>
        <w:t xml:space="preserve"> (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B) </w:t>
      </w:r>
      <w:r w:rsidRPr="00DA3AA9">
        <w:rPr>
          <w:rFonts w:ascii="Calibri" w:hAnsi="Calibri" w:cs="Calibri"/>
          <w:color w:val="002060"/>
          <w:lang w:val="en-US"/>
        </w:rPr>
        <w:t>Genes downregulated by both attenuated and virulent ASFV strains. Microfluidic RT-qPCR data for selected genes of host gene cluster H</w:t>
      </w:r>
      <w:r>
        <w:rPr>
          <w:rFonts w:ascii="Calibri" w:hAnsi="Calibri" w:cs="Calibri"/>
          <w:color w:val="002060"/>
          <w:lang w:val="en-US"/>
        </w:rPr>
        <w:t>1</w:t>
      </w:r>
      <w:r w:rsidRPr="00DA3AA9">
        <w:rPr>
          <w:rFonts w:ascii="Calibri" w:hAnsi="Calibri" w:cs="Calibri"/>
          <w:color w:val="002060"/>
          <w:lang w:val="en-US"/>
        </w:rPr>
        <w:t xml:space="preserve"> are shown. For each sample, the expression of each host gene was normalized </w:t>
      </w:r>
      <w:r w:rsidRPr="00DA3AA9">
        <w:rPr>
          <w:rFonts w:ascii="Calibri" w:hAnsi="Calibri" w:cs="Calibri"/>
          <w:color w:val="002060"/>
          <w:lang w:val="en-US"/>
        </w:rPr>
        <w:lastRenderedPageBreak/>
        <w:t xml:space="preserve">against </w:t>
      </w:r>
      <w:r w:rsidRPr="00DA3AA9">
        <w:rPr>
          <w:rFonts w:ascii="Calibri" w:hAnsi="Calibri" w:cs="Calibri"/>
          <w:i/>
          <w:iCs/>
          <w:color w:val="002060"/>
          <w:lang w:val="en-US"/>
        </w:rPr>
        <w:t>GAPDH</w:t>
      </w:r>
      <w:r w:rsidRPr="00DA3AA9"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i/>
          <w:iCs/>
          <w:color w:val="002060"/>
          <w:lang w:val="en-US"/>
        </w:rPr>
        <w:t>RPL19</w:t>
      </w:r>
      <w:r w:rsidRPr="00DA3AA9">
        <w:rPr>
          <w:rFonts w:ascii="Calibri" w:hAnsi="Calibri" w:cs="Calibri"/>
          <w:color w:val="002060"/>
          <w:lang w:val="en-US"/>
        </w:rPr>
        <w:t xml:space="preserve"> expression and fold changes value were normalized using</w:t>
      </w:r>
      <w:r>
        <w:rPr>
          <w:rFonts w:ascii="Calibri" w:hAnsi="Calibri" w:cs="Calibri"/>
          <w:color w:val="002060"/>
          <w:lang w:val="en-US"/>
        </w:rPr>
        <w:t xml:space="preserve"> uninfected</w:t>
      </w:r>
      <w:r w:rsidRPr="00DA3AA9">
        <w:rPr>
          <w:rFonts w:ascii="Calibri" w:hAnsi="Calibri" w:cs="Calibri"/>
          <w:color w:val="002060"/>
          <w:lang w:val="en-US"/>
        </w:rPr>
        <w:t xml:space="preserve"> PAMs collected at the beginning of the experiment (0 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hpi</w:t>
      </w:r>
      <w:proofErr w:type="spellEnd"/>
      <w:r w:rsidRPr="00DA3AA9">
        <w:rPr>
          <w:rFonts w:ascii="Calibri" w:hAnsi="Calibri" w:cs="Calibri"/>
          <w:color w:val="002060"/>
          <w:lang w:val="en-US"/>
        </w:rPr>
        <w:t>). A two-way ANOVA test was performed to compare the fold change of gene expression between virulent and attenuated strain infection with non-infected condition at each time-point (</w:t>
      </w:r>
      <w:r w:rsidRPr="00DA3AA9">
        <w:rPr>
          <w:rFonts w:ascii="Calibri" w:hAnsi="Calibri" w:cs="Calibri"/>
          <w:i/>
          <w:iCs/>
          <w:color w:val="002060"/>
          <w:lang w:val="en-US"/>
        </w:rPr>
        <w:t>*: p &lt;0.05, **: p&lt;0.01, ****: p&lt;0.0001</w:t>
      </w:r>
      <w:r w:rsidRPr="00DA3AA9">
        <w:rPr>
          <w:rFonts w:ascii="Calibri" w:hAnsi="Calibri" w:cs="Calibri"/>
          <w:color w:val="002060"/>
          <w:lang w:val="en-US"/>
        </w:rPr>
        <w:t>).</w:t>
      </w:r>
    </w:p>
    <w:p w14:paraId="1F471FC2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highlight w:val="cyan"/>
          <w:lang w:val="en-US"/>
        </w:rPr>
      </w:pPr>
    </w:p>
    <w:p w14:paraId="069A0E0D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b/>
          <w:bCs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Figure S5: Early induction of ISGs is independent of type I interferon present in viral stocks. </w:t>
      </w:r>
    </w:p>
    <w:p w14:paraId="5F19C184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>(A</w:t>
      </w:r>
      <w:r w:rsidRPr="00DA3AA9">
        <w:rPr>
          <w:rFonts w:ascii="Calibri" w:hAnsi="Calibri" w:cs="Calibri"/>
          <w:color w:val="002060"/>
          <w:lang w:val="en-US"/>
        </w:rPr>
        <w:t>,</w:t>
      </w:r>
      <w:r w:rsidRPr="00DA3AA9">
        <w:rPr>
          <w:rFonts w:ascii="Calibri" w:hAnsi="Calibri" w:cs="Calibri"/>
          <w:b/>
          <w:bCs/>
          <w:color w:val="002060"/>
          <w:lang w:val="en-US"/>
        </w:rPr>
        <w:t>B</w:t>
      </w:r>
      <w:r w:rsidRPr="00DA3AA9">
        <w:rPr>
          <w:rFonts w:ascii="Calibri" w:hAnsi="Calibri" w:cs="Calibri"/>
          <w:color w:val="002060"/>
          <w:lang w:val="en-US"/>
        </w:rPr>
        <w:t>)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 </w:t>
      </w:r>
      <w:r w:rsidRPr="00DA3AA9">
        <w:rPr>
          <w:rFonts w:ascii="Calibri" w:hAnsi="Calibri" w:cs="Calibri"/>
          <w:color w:val="002060"/>
          <w:lang w:val="en-US"/>
        </w:rPr>
        <w:t>Detection of IFN</w:t>
      </w:r>
      <w:r w:rsidRPr="00DA3AA9">
        <w:rPr>
          <w:rFonts w:ascii="Calibri" w:hAnsi="Calibri" w:cs="Calibri"/>
          <w:color w:val="002060"/>
          <w:lang w:val="el-GR"/>
        </w:rPr>
        <w:t>α</w:t>
      </w:r>
      <w:r w:rsidRPr="00DA3AA9">
        <w:rPr>
          <w:rFonts w:ascii="Calibri" w:hAnsi="Calibri" w:cs="Calibri"/>
          <w:color w:val="002060"/>
          <w:lang w:val="en-US"/>
        </w:rPr>
        <w:t xml:space="preserve"> (</w:t>
      </w:r>
      <w:r w:rsidRPr="00DA3AA9">
        <w:rPr>
          <w:rFonts w:ascii="Calibri" w:hAnsi="Calibri" w:cs="Calibri"/>
          <w:b/>
          <w:bCs/>
          <w:color w:val="002060"/>
          <w:lang w:val="en-US"/>
        </w:rPr>
        <w:t>A</w:t>
      </w:r>
      <w:r w:rsidRPr="00DA3AA9">
        <w:rPr>
          <w:rFonts w:ascii="Calibri" w:hAnsi="Calibri" w:cs="Calibri"/>
          <w:color w:val="002060"/>
          <w:lang w:val="en-US"/>
        </w:rPr>
        <w:t>) and IFN</w:t>
      </w:r>
      <w:r w:rsidRPr="00DA3AA9">
        <w:rPr>
          <w:rFonts w:ascii="Calibri" w:hAnsi="Calibri" w:cs="Calibri"/>
          <w:color w:val="002060"/>
          <w:lang w:val="el-GR"/>
        </w:rPr>
        <w:t>β</w:t>
      </w:r>
      <w:r w:rsidRPr="00DA3AA9">
        <w:rPr>
          <w:rFonts w:ascii="Calibri" w:hAnsi="Calibri" w:cs="Calibri"/>
          <w:color w:val="002060"/>
          <w:lang w:val="en-US"/>
        </w:rPr>
        <w:t xml:space="preserve"> (</w:t>
      </w:r>
      <w:r w:rsidRPr="00DA3AA9">
        <w:rPr>
          <w:rFonts w:ascii="Calibri" w:hAnsi="Calibri" w:cs="Calibri"/>
          <w:b/>
          <w:bCs/>
          <w:color w:val="002060"/>
          <w:lang w:val="en-US"/>
        </w:rPr>
        <w:t>B</w:t>
      </w:r>
      <w:r w:rsidRPr="00DA3AA9">
        <w:rPr>
          <w:rFonts w:ascii="Calibri" w:hAnsi="Calibri" w:cs="Calibri"/>
          <w:color w:val="002060"/>
          <w:lang w:val="en-US"/>
        </w:rPr>
        <w:t xml:space="preserve">) in viral </w:t>
      </w:r>
      <w:r>
        <w:rPr>
          <w:rFonts w:ascii="Calibri" w:hAnsi="Calibri" w:cs="Calibri"/>
          <w:color w:val="002060"/>
          <w:lang w:val="en-US"/>
        </w:rPr>
        <w:t xml:space="preserve">stocks </w:t>
      </w:r>
      <w:r w:rsidRPr="00DA3AA9">
        <w:rPr>
          <w:rFonts w:ascii="Calibri" w:hAnsi="Calibri" w:cs="Calibri"/>
          <w:color w:val="002060"/>
          <w:lang w:val="en-US"/>
        </w:rPr>
        <w:t xml:space="preserve">used in </w:t>
      </w:r>
      <w:r>
        <w:rPr>
          <w:rFonts w:ascii="Calibri" w:hAnsi="Calibri" w:cs="Calibri"/>
          <w:color w:val="002060"/>
          <w:lang w:val="en-US"/>
        </w:rPr>
        <w:t xml:space="preserve">this study by </w:t>
      </w:r>
      <w:r w:rsidRPr="00DA3AA9">
        <w:rPr>
          <w:rFonts w:ascii="Calibri" w:hAnsi="Calibri" w:cs="Calibri"/>
          <w:color w:val="002060"/>
          <w:lang w:val="en-US"/>
        </w:rPr>
        <w:t>ELISA. The threshold of detection is symbolized by the dotted line.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 (C) </w:t>
      </w:r>
      <w:r w:rsidRPr="00DA3AA9">
        <w:rPr>
          <w:rFonts w:ascii="Calibri" w:hAnsi="Calibri" w:cs="Calibri"/>
          <w:color w:val="002060"/>
          <w:lang w:val="en-US"/>
        </w:rPr>
        <w:t>Induction of genes in PAMs stimulated with porcine IFN</w:t>
      </w:r>
      <w:r w:rsidRPr="00DA3AA9">
        <w:rPr>
          <w:rFonts w:ascii="Calibri" w:hAnsi="Calibri" w:cs="Calibri"/>
          <w:color w:val="002060"/>
          <w:lang w:val="el-GR"/>
        </w:rPr>
        <w:t>α</w:t>
      </w:r>
      <w:r w:rsidRPr="00DA3AA9">
        <w:rPr>
          <w:rFonts w:ascii="Calibri" w:hAnsi="Calibri" w:cs="Calibri"/>
          <w:color w:val="002060"/>
          <w:lang w:val="en-US"/>
        </w:rPr>
        <w:t>.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 </w:t>
      </w:r>
      <w:r w:rsidRPr="00DA3AA9">
        <w:rPr>
          <w:rFonts w:ascii="Calibri" w:hAnsi="Calibri" w:cs="Calibri"/>
          <w:color w:val="002060"/>
          <w:lang w:val="en-US"/>
        </w:rPr>
        <w:t>5.0 x 10</w:t>
      </w:r>
      <w:r w:rsidRPr="00DA3AA9">
        <w:rPr>
          <w:rFonts w:ascii="Calibri" w:hAnsi="Calibri" w:cs="Calibri"/>
          <w:color w:val="002060"/>
          <w:vertAlign w:val="superscript"/>
          <w:lang w:val="en-US"/>
        </w:rPr>
        <w:t>5</w:t>
      </w:r>
      <w:r w:rsidRPr="00DA3AA9">
        <w:rPr>
          <w:rFonts w:ascii="Calibri" w:hAnsi="Calibri" w:cs="Calibri"/>
          <w:color w:val="002060"/>
          <w:lang w:val="en-US"/>
        </w:rPr>
        <w:t xml:space="preserve"> PAMs isolated f</w:t>
      </w:r>
      <w:r>
        <w:rPr>
          <w:rFonts w:ascii="Calibri" w:hAnsi="Calibri" w:cs="Calibri"/>
          <w:color w:val="002060"/>
          <w:lang w:val="en-US"/>
        </w:rPr>
        <w:t>ro</w:t>
      </w:r>
      <w:r w:rsidRPr="00DA3AA9">
        <w:rPr>
          <w:rFonts w:ascii="Calibri" w:hAnsi="Calibri" w:cs="Calibri"/>
          <w:color w:val="002060"/>
          <w:lang w:val="en-US"/>
        </w:rPr>
        <w:t>m 3 donors were plated in 24-well plates and stimulated for 8, 16 and 24h with recombinant porcine IFN</w:t>
      </w:r>
      <w:r w:rsidRPr="00DA3AA9">
        <w:rPr>
          <w:rFonts w:ascii="Calibri" w:hAnsi="Calibri" w:cs="Calibri"/>
          <w:color w:val="002060"/>
          <w:lang w:val="el-GR"/>
        </w:rPr>
        <w:t>α</w:t>
      </w:r>
      <w:r w:rsidRPr="00DA3AA9">
        <w:rPr>
          <w:rFonts w:ascii="Calibri" w:hAnsi="Calibri" w:cs="Calibri"/>
          <w:color w:val="002060"/>
          <w:lang w:val="en-US"/>
        </w:rPr>
        <w:t xml:space="preserve"> at 1 or 250 U/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mL.</w:t>
      </w:r>
      <w:proofErr w:type="spellEnd"/>
      <w:r w:rsidRPr="00DA3AA9">
        <w:rPr>
          <w:rFonts w:ascii="Calibri" w:hAnsi="Calibri" w:cs="Calibri"/>
          <w:color w:val="002060"/>
          <w:lang w:val="en-US"/>
        </w:rPr>
        <w:t xml:space="preserve"> PRRs (</w:t>
      </w:r>
      <w:r w:rsidRPr="00DA3AA9">
        <w:rPr>
          <w:rFonts w:ascii="Calibri" w:hAnsi="Calibri" w:cs="Calibri"/>
          <w:i/>
          <w:iCs/>
          <w:color w:val="002060"/>
          <w:lang w:val="en-US"/>
        </w:rPr>
        <w:t>CGAS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ZBP1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EIF2AK2</w:t>
      </w:r>
      <w:r w:rsidRPr="00DA3AA9">
        <w:rPr>
          <w:rFonts w:ascii="Calibri" w:hAnsi="Calibri" w:cs="Calibri"/>
          <w:color w:val="002060"/>
          <w:lang w:val="en-US"/>
        </w:rPr>
        <w:t xml:space="preserve">),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ISG15</w:t>
      </w:r>
      <w:r w:rsidRPr="00DA3AA9"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i/>
          <w:iCs/>
          <w:color w:val="002060"/>
          <w:lang w:val="en-US"/>
        </w:rPr>
        <w:t>HSP70.2</w:t>
      </w:r>
      <w:r w:rsidRPr="00DA3AA9">
        <w:rPr>
          <w:rFonts w:ascii="Calibri" w:hAnsi="Calibri" w:cs="Calibri"/>
          <w:color w:val="002060"/>
          <w:lang w:val="en-US"/>
        </w:rPr>
        <w:t xml:space="preserve"> induction was determined by RT-qPCR using non stimulated sample as reference. 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(D) </w:t>
      </w:r>
      <w:r w:rsidRPr="00DA3AA9">
        <w:rPr>
          <w:rFonts w:ascii="Calibri" w:hAnsi="Calibri" w:cs="Calibri"/>
          <w:color w:val="002060"/>
          <w:lang w:val="en-US"/>
        </w:rPr>
        <w:t>Comparison of genes induction between NH/P68 and OURT88/3 attenuated strains. PRRs (</w:t>
      </w:r>
      <w:r w:rsidRPr="00DA3AA9">
        <w:rPr>
          <w:rFonts w:ascii="Calibri" w:hAnsi="Calibri" w:cs="Calibri"/>
          <w:i/>
          <w:iCs/>
          <w:color w:val="002060"/>
          <w:lang w:val="en-US"/>
        </w:rPr>
        <w:t>CGAS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ZBP1</w:t>
      </w:r>
      <w:r w:rsidRPr="00DA3AA9">
        <w:rPr>
          <w:rFonts w:ascii="Calibri" w:hAnsi="Calibri" w:cs="Calibri"/>
          <w:color w:val="002060"/>
          <w:lang w:val="en-US"/>
        </w:rPr>
        <w:t xml:space="preserve">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EIF2AK2</w:t>
      </w:r>
      <w:r w:rsidRPr="00DA3AA9">
        <w:rPr>
          <w:rFonts w:ascii="Calibri" w:hAnsi="Calibri" w:cs="Calibri"/>
          <w:color w:val="002060"/>
          <w:lang w:val="en-US"/>
        </w:rPr>
        <w:t xml:space="preserve">), </w:t>
      </w:r>
      <w:r w:rsidRPr="00DA3AA9">
        <w:rPr>
          <w:rFonts w:ascii="Calibri" w:hAnsi="Calibri" w:cs="Calibri"/>
          <w:i/>
          <w:iCs/>
          <w:color w:val="002060"/>
          <w:lang w:val="en-US"/>
        </w:rPr>
        <w:t>ISG15</w:t>
      </w:r>
      <w:r w:rsidRPr="00DA3AA9"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i/>
          <w:iCs/>
          <w:color w:val="002060"/>
          <w:lang w:val="en-US"/>
        </w:rPr>
        <w:t>HSP70.2</w:t>
      </w:r>
      <w:r w:rsidRPr="00DA3AA9">
        <w:rPr>
          <w:rFonts w:ascii="Calibri" w:hAnsi="Calibri" w:cs="Calibri"/>
          <w:color w:val="002060"/>
          <w:lang w:val="en-US"/>
        </w:rPr>
        <w:t xml:space="preserve"> induction after 4 and 8h of infection with NH/P68 (light blue) or OURT88/3 (dark blue) strains, detected by microfluidic </w:t>
      </w:r>
      <w:r>
        <w:rPr>
          <w:rFonts w:ascii="Calibri" w:hAnsi="Calibri" w:cs="Calibri"/>
          <w:color w:val="002060"/>
          <w:lang w:val="en-US"/>
        </w:rPr>
        <w:t>RT-</w:t>
      </w:r>
      <w:r w:rsidRPr="00DA3AA9">
        <w:rPr>
          <w:rFonts w:ascii="Calibri" w:hAnsi="Calibri" w:cs="Calibri"/>
          <w:color w:val="002060"/>
          <w:lang w:val="en-US"/>
        </w:rPr>
        <w:t xml:space="preserve">qPCR assay. The expression of each host gene was normalized against </w:t>
      </w:r>
      <w:r w:rsidRPr="00DA3AA9">
        <w:rPr>
          <w:rFonts w:ascii="Calibri" w:hAnsi="Calibri" w:cs="Calibri"/>
          <w:i/>
          <w:iCs/>
          <w:color w:val="002060"/>
          <w:lang w:val="en-US"/>
        </w:rPr>
        <w:t>GAPDH</w:t>
      </w:r>
      <w:r w:rsidRPr="00DA3AA9"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i/>
          <w:iCs/>
          <w:color w:val="002060"/>
          <w:lang w:val="en-US"/>
        </w:rPr>
        <w:t>RPL19</w:t>
      </w:r>
      <w:r w:rsidRPr="00DA3AA9">
        <w:rPr>
          <w:rFonts w:ascii="Calibri" w:hAnsi="Calibri" w:cs="Calibri"/>
          <w:color w:val="002060"/>
          <w:lang w:val="en-US"/>
        </w:rPr>
        <w:t xml:space="preserve"> expression and fold change values were normalized using </w:t>
      </w:r>
      <w:r>
        <w:rPr>
          <w:rFonts w:ascii="Calibri" w:hAnsi="Calibri" w:cs="Calibri"/>
          <w:color w:val="002060"/>
          <w:lang w:val="en-US"/>
        </w:rPr>
        <w:t xml:space="preserve">uninfected </w:t>
      </w:r>
      <w:r w:rsidRPr="00DA3AA9">
        <w:rPr>
          <w:rFonts w:ascii="Calibri" w:hAnsi="Calibri" w:cs="Calibri"/>
          <w:color w:val="002060"/>
          <w:lang w:val="en-US"/>
        </w:rPr>
        <w:t xml:space="preserve">PAMs collected at the beginning of the experiment (0 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hpi</w:t>
      </w:r>
      <w:proofErr w:type="spellEnd"/>
      <w:r w:rsidRPr="00DA3AA9">
        <w:rPr>
          <w:rFonts w:ascii="Calibri" w:hAnsi="Calibri" w:cs="Calibri"/>
          <w:color w:val="002060"/>
          <w:lang w:val="en-US"/>
        </w:rPr>
        <w:t xml:space="preserve">). </w:t>
      </w:r>
      <w:r w:rsidRPr="00DA3AA9">
        <w:rPr>
          <w:rFonts w:ascii="Calibri" w:hAnsi="Calibri" w:cs="Calibri"/>
          <w:b/>
          <w:bCs/>
          <w:color w:val="002060"/>
          <w:lang w:val="en-US"/>
        </w:rPr>
        <w:t xml:space="preserve">(E) </w:t>
      </w:r>
      <w:r w:rsidRPr="00DA3AA9">
        <w:rPr>
          <w:rFonts w:ascii="Calibri" w:hAnsi="Calibri" w:cs="Calibri"/>
          <w:color w:val="002060"/>
          <w:lang w:val="en-US"/>
        </w:rPr>
        <w:t>Differentially expressed genes between NH/P68 and OURT88/3</w:t>
      </w:r>
      <w:r>
        <w:rPr>
          <w:rFonts w:ascii="Calibri" w:hAnsi="Calibri" w:cs="Calibri"/>
          <w:color w:val="002060"/>
          <w:lang w:val="en-US"/>
        </w:rPr>
        <w:t xml:space="preserve"> strain</w:t>
      </w:r>
      <w:r w:rsidRPr="00DA3AA9">
        <w:rPr>
          <w:rFonts w:ascii="Calibri" w:hAnsi="Calibri" w:cs="Calibri"/>
          <w:color w:val="002060"/>
          <w:lang w:val="en-US"/>
        </w:rPr>
        <w:t xml:space="preserve"> infection at 4</w:t>
      </w:r>
      <w:r w:rsidRPr="00DA3AA9">
        <w:rPr>
          <w:rFonts w:ascii="Calibri" w:hAnsi="Calibri" w:cs="Calibri"/>
          <w:b/>
          <w:bCs/>
          <w:color w:val="002060"/>
          <w:lang w:val="en-US"/>
        </w:rPr>
        <w:t>,</w:t>
      </w:r>
      <w:r w:rsidRPr="00DA3AA9">
        <w:rPr>
          <w:rFonts w:ascii="Calibri" w:hAnsi="Calibri" w:cs="Calibri"/>
          <w:color w:val="002060"/>
          <w:lang w:val="en-US"/>
        </w:rPr>
        <w:t xml:space="preserve"> 8, 24 and 48 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hpi</w:t>
      </w:r>
      <w:proofErr w:type="spellEnd"/>
      <w:r w:rsidRPr="00DA3AA9">
        <w:rPr>
          <w:rFonts w:ascii="Calibri" w:hAnsi="Calibri" w:cs="Calibri"/>
          <w:color w:val="002060"/>
          <w:lang w:val="en-US"/>
        </w:rPr>
        <w:t xml:space="preserve"> determined by microfluidic RT-qPCR and visualized as volcano plots. Each point represents a host gene. </w:t>
      </w:r>
      <w:r>
        <w:rPr>
          <w:rFonts w:ascii="Calibri" w:hAnsi="Calibri" w:cs="Calibri"/>
          <w:color w:val="002060"/>
          <w:lang w:val="en-US"/>
        </w:rPr>
        <w:t xml:space="preserve">Expression data was normalized the same way as in </w:t>
      </w:r>
      <w:r>
        <w:rPr>
          <w:rFonts w:ascii="Calibri" w:hAnsi="Calibri" w:cs="Calibri"/>
          <w:b/>
          <w:bCs/>
          <w:color w:val="002060"/>
          <w:lang w:val="en-US"/>
        </w:rPr>
        <w:t>(D)</w:t>
      </w:r>
      <w:r>
        <w:rPr>
          <w:rFonts w:ascii="Calibri" w:hAnsi="Calibri" w:cs="Calibri"/>
          <w:color w:val="002060"/>
          <w:lang w:val="en-US"/>
        </w:rPr>
        <w:t>.</w:t>
      </w:r>
      <w:r w:rsidRPr="00DA3AA9">
        <w:rPr>
          <w:rFonts w:ascii="Calibri" w:hAnsi="Calibri" w:cs="Calibri"/>
          <w:color w:val="002060"/>
          <w:lang w:val="en-US"/>
        </w:rPr>
        <w:t xml:space="preserve"> X axis represent the log</w:t>
      </w:r>
      <w:r w:rsidRPr="00DA3AA9">
        <w:rPr>
          <w:rFonts w:ascii="Calibri" w:hAnsi="Calibri" w:cs="Calibri"/>
          <w:color w:val="002060"/>
          <w:vertAlign w:val="subscript"/>
          <w:lang w:val="en-US"/>
        </w:rPr>
        <w:t>2</w:t>
      </w:r>
      <w:r w:rsidRPr="00DA3AA9">
        <w:rPr>
          <w:rFonts w:ascii="Calibri" w:hAnsi="Calibri" w:cs="Calibri"/>
          <w:color w:val="002060"/>
          <w:lang w:val="en-US"/>
        </w:rPr>
        <w:t xml:space="preserve"> of the </w:t>
      </w:r>
      <w:r>
        <w:rPr>
          <w:rFonts w:ascii="Calibri" w:hAnsi="Calibri" w:cs="Calibri"/>
          <w:color w:val="002060"/>
          <w:lang w:val="en-US"/>
        </w:rPr>
        <w:t xml:space="preserve">ratio </w:t>
      </w:r>
      <w:r w:rsidRPr="00DA3AA9">
        <w:rPr>
          <w:rFonts w:ascii="Calibri" w:hAnsi="Calibri" w:cs="Calibri"/>
          <w:color w:val="002060"/>
          <w:lang w:val="en-US"/>
        </w:rPr>
        <w:t>of the mean fold change of NH/P68 and OURT88/3 strains infection. Y axis represent the –log</w:t>
      </w:r>
      <w:r w:rsidRPr="00DA3AA9">
        <w:rPr>
          <w:rFonts w:ascii="Calibri" w:hAnsi="Calibri" w:cs="Calibri"/>
          <w:color w:val="002060"/>
          <w:vertAlign w:val="subscript"/>
          <w:lang w:val="en-US"/>
        </w:rPr>
        <w:t>10</w:t>
      </w:r>
      <w:r w:rsidRPr="00DA3AA9">
        <w:rPr>
          <w:rFonts w:ascii="Calibri" w:hAnsi="Calibri" w:cs="Calibri"/>
          <w:color w:val="002060"/>
          <w:lang w:val="en-US"/>
        </w:rPr>
        <w:t xml:space="preserve"> of p-value obtained by an independent t-test comparing the fold change of genotype I attenuated strains at each time post-infection. Genes with significant </w:t>
      </w:r>
      <w:r w:rsidRPr="00DA3AA9">
        <w:rPr>
          <w:rFonts w:ascii="Calibri" w:hAnsi="Calibri" w:cs="Calibri"/>
          <w:color w:val="002060"/>
          <w:lang w:val="en-US"/>
        </w:rPr>
        <w:lastRenderedPageBreak/>
        <w:t>upregulation in NH/P68 infection are shown in light blue (Log</w:t>
      </w:r>
      <w:r w:rsidRPr="00DA3AA9">
        <w:rPr>
          <w:rFonts w:ascii="Calibri" w:hAnsi="Calibri" w:cs="Calibri"/>
          <w:color w:val="002060"/>
          <w:vertAlign w:val="subscript"/>
          <w:lang w:val="en-US"/>
        </w:rPr>
        <w:t>2</w:t>
      </w:r>
      <w:r w:rsidRPr="00DA3AA9">
        <w:rPr>
          <w:rFonts w:ascii="Calibri" w:hAnsi="Calibri" w:cs="Calibri"/>
          <w:color w:val="002060"/>
          <w:lang w:val="en-US"/>
        </w:rPr>
        <w:t>FC &lt; 0 and p-value &lt; 0.05), and genes with significant upregulation in OURT88/3 infection are shown in dark blue (Log</w:t>
      </w:r>
      <w:r w:rsidRPr="00DA3AA9">
        <w:rPr>
          <w:rFonts w:ascii="Calibri" w:hAnsi="Calibri" w:cs="Calibri"/>
          <w:color w:val="002060"/>
          <w:vertAlign w:val="subscript"/>
          <w:lang w:val="en-US"/>
        </w:rPr>
        <w:t>2</w:t>
      </w:r>
      <w:r w:rsidRPr="00DA3AA9">
        <w:rPr>
          <w:rFonts w:ascii="Calibri" w:hAnsi="Calibri" w:cs="Calibri"/>
          <w:color w:val="002060"/>
          <w:lang w:val="en-US"/>
        </w:rPr>
        <w:t xml:space="preserve">FC &gt; 0 and p-value &lt; 0.05). Non-significant genes are shown in grey. </w:t>
      </w:r>
    </w:p>
    <w:p w14:paraId="7A21D904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highlight w:val="cyan"/>
          <w:lang w:val="en-US"/>
        </w:rPr>
      </w:pPr>
    </w:p>
    <w:p w14:paraId="7F8F5626" w14:textId="77777777" w:rsidR="00542D19" w:rsidRPr="00DA3AA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b/>
          <w:bCs/>
          <w:color w:val="002060"/>
          <w:lang w:val="en-US"/>
        </w:rPr>
        <w:t>Figure S6</w:t>
      </w:r>
      <w:r w:rsidRPr="00DA3AA9">
        <w:rPr>
          <w:rFonts w:ascii="Calibri" w:hAnsi="Calibri" w:cs="Calibri"/>
          <w:color w:val="002060"/>
          <w:lang w:val="en-US"/>
        </w:rPr>
        <w:t xml:space="preserve">: </w:t>
      </w:r>
      <w:r w:rsidRPr="00DA3AA9">
        <w:rPr>
          <w:rFonts w:ascii="Calibri" w:hAnsi="Calibri" w:cs="Calibri"/>
          <w:b/>
          <w:bCs/>
          <w:color w:val="002060"/>
          <w:lang w:val="en-US"/>
        </w:rPr>
        <w:t>Profiles of expression of host genes in Georgia 2007/1 infected PAMs.</w:t>
      </w:r>
    </w:p>
    <w:p w14:paraId="38E8FEFE" w14:textId="77777777" w:rsidR="00542D19" w:rsidRDefault="00542D19" w:rsidP="00542D19">
      <w:pPr>
        <w:pStyle w:val="NormalWeb"/>
        <w:spacing w:line="480" w:lineRule="auto"/>
        <w:contextualSpacing/>
        <w:jc w:val="both"/>
        <w:rPr>
          <w:rFonts w:ascii="Calibri" w:hAnsi="Calibri" w:cs="Calibri"/>
          <w:color w:val="002060"/>
          <w:lang w:val="en-US"/>
        </w:rPr>
      </w:pPr>
      <w:r w:rsidRPr="00DA3AA9">
        <w:rPr>
          <w:rFonts w:ascii="Calibri" w:hAnsi="Calibri" w:cs="Calibri"/>
          <w:color w:val="002060"/>
          <w:lang w:val="en-US"/>
        </w:rPr>
        <w:t xml:space="preserve">For each sample, expression of each host gene was normalized against </w:t>
      </w:r>
      <w:r w:rsidRPr="00DA3AA9">
        <w:rPr>
          <w:rFonts w:ascii="Calibri" w:hAnsi="Calibri" w:cs="Calibri"/>
          <w:i/>
          <w:iCs/>
          <w:color w:val="002060"/>
          <w:lang w:val="en-US"/>
        </w:rPr>
        <w:t>GAPDH</w:t>
      </w:r>
      <w:r w:rsidRPr="00DA3AA9">
        <w:rPr>
          <w:rFonts w:ascii="Calibri" w:hAnsi="Calibri" w:cs="Calibri"/>
          <w:color w:val="002060"/>
          <w:lang w:val="en-US"/>
        </w:rPr>
        <w:t xml:space="preserve"> and </w:t>
      </w:r>
      <w:r w:rsidRPr="00DA3AA9">
        <w:rPr>
          <w:rFonts w:ascii="Calibri" w:hAnsi="Calibri" w:cs="Calibri"/>
          <w:i/>
          <w:iCs/>
          <w:color w:val="002060"/>
          <w:lang w:val="en-US"/>
        </w:rPr>
        <w:t>RPL19</w:t>
      </w:r>
      <w:r w:rsidRPr="00DA3AA9">
        <w:rPr>
          <w:rFonts w:ascii="Calibri" w:hAnsi="Calibri" w:cs="Calibri"/>
          <w:color w:val="002060"/>
          <w:lang w:val="en-US"/>
        </w:rPr>
        <w:t xml:space="preserve"> expression and fold change values were normalized using </w:t>
      </w:r>
      <w:r>
        <w:rPr>
          <w:rFonts w:ascii="Calibri" w:hAnsi="Calibri" w:cs="Calibri"/>
          <w:color w:val="002060"/>
          <w:lang w:val="en-US"/>
        </w:rPr>
        <w:t xml:space="preserve">uninfected </w:t>
      </w:r>
      <w:r w:rsidRPr="00DA3AA9">
        <w:rPr>
          <w:rFonts w:ascii="Calibri" w:hAnsi="Calibri" w:cs="Calibri"/>
          <w:color w:val="002060"/>
          <w:lang w:val="en-US"/>
        </w:rPr>
        <w:t xml:space="preserve">PAMs collected at the beginning of the experiment (0 </w:t>
      </w:r>
      <w:proofErr w:type="spellStart"/>
      <w:r w:rsidRPr="00DA3AA9">
        <w:rPr>
          <w:rFonts w:ascii="Calibri" w:hAnsi="Calibri" w:cs="Calibri"/>
          <w:color w:val="002060"/>
          <w:lang w:val="en-US"/>
        </w:rPr>
        <w:t>hpi</w:t>
      </w:r>
      <w:proofErr w:type="spellEnd"/>
      <w:r w:rsidRPr="00A202AC">
        <w:rPr>
          <w:rFonts w:ascii="Calibri" w:hAnsi="Calibri" w:cs="Calibri"/>
          <w:color w:val="002060"/>
          <w:lang w:val="en-US"/>
        </w:rPr>
        <w:t>). A two-way ANOVA test was performed to compare the fold change of gene expression between genotype I virulent or attenuated strain infection and genotype II virulent Georgia 2007/1 strain infection with the non-infected condition at each time-point (</w:t>
      </w:r>
      <w:r w:rsidRPr="00A202AC">
        <w:rPr>
          <w:rFonts w:ascii="Calibri" w:hAnsi="Calibri" w:cs="Calibri"/>
          <w:i/>
          <w:iCs/>
          <w:color w:val="002060"/>
          <w:lang w:val="en-US"/>
        </w:rPr>
        <w:t>*: p &lt;0.05, **: p&lt;0.01, ****: p&lt;0.0001</w:t>
      </w:r>
      <w:r w:rsidRPr="00A202AC">
        <w:rPr>
          <w:rFonts w:ascii="Calibri" w:hAnsi="Calibri" w:cs="Calibri"/>
          <w:color w:val="002060"/>
          <w:lang w:val="en-US"/>
        </w:rPr>
        <w:t>).</w:t>
      </w:r>
    </w:p>
    <w:p w14:paraId="605B479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D19"/>
    <w:rsid w:val="00066677"/>
    <w:rsid w:val="003A4E89"/>
    <w:rsid w:val="00542D19"/>
    <w:rsid w:val="00556784"/>
    <w:rsid w:val="006529E8"/>
    <w:rsid w:val="006F4560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E65C1"/>
  <w15:chartTrackingRefBased/>
  <w15:docId w15:val="{97470881-29F2-45F9-B11D-81D8DCA04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D19"/>
    <w:pPr>
      <w:spacing w:after="0" w:line="240" w:lineRule="auto"/>
    </w:pPr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2D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D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D1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D1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D1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D1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D1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D1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D1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D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D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D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D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42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D1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42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D19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42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D19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542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D1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542D1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customStyle="1" w:styleId="NormalWebChar">
    <w:name w:val="Normal (Web) Char"/>
    <w:basedOn w:val="DefaultParagraphFont"/>
    <w:link w:val="NormalWeb"/>
    <w:uiPriority w:val="99"/>
    <w:rsid w:val="00542D19"/>
    <w:rPr>
      <w:rFonts w:ascii="Times New Roman" w:eastAsia="Times New Roman" w:hAnsi="Times New Roman" w:cs="Times New Roman"/>
      <w:kern w:val="0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1009</Words>
  <Characters>5353</Characters>
  <Application>Microsoft Office Word</Application>
  <DocSecurity>0</DocSecurity>
  <Lines>77</Lines>
  <Paragraphs>12</Paragraphs>
  <ScaleCrop>false</ScaleCrop>
  <Company/>
  <LinksUpToDate>false</LinksUpToDate>
  <CharactersWithSpaces>6358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2026-03-26T06:32:00Z</dcterms:created>
  <dcterms:modified xsi:type="dcterms:W3CDTF">2026-03-26T06:33:00Z</dcterms:modified>
</cp:coreProperties>
</file>