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/>
          <w:b/>
          <w:color w:val="1F4E79"/>
          <w:sz w:val="30"/>
        </w:rPr>
        <w:t>Supplementary File 1. English-language questionnaire sections relevant to the present PSMU analysis</w:t>
      </w:r>
    </w:p>
    <w:p>
      <w:pPr>
        <w:jc w:val="center"/>
      </w:pPr>
      <w:r>
        <w:rPr>
          <w:rFonts w:ascii="Times New Roman" w:hAnsi="Times New Roman" w:eastAsia="Times New Roman"/>
          <w:sz w:val="21"/>
        </w:rPr>
        <w:t>Study: Explainable machine learning-based identification of Chinese college students at risk of problematic social media use: a multicenter cross-sectional online survey</w:t>
      </w:r>
    </w:p>
    <w:p>
      <w:pPr>
        <w:spacing w:before="120" w:after="160"/>
      </w:pPr>
      <w:r>
        <w:rPr>
          <w:rFonts w:ascii="Times New Roman" w:hAnsi="Times New Roman" w:eastAsia="Times New Roman"/>
          <w:b/>
          <w:sz w:val="21"/>
        </w:rPr>
        <w:t xml:space="preserve">Note. </w:t>
      </w:r>
      <w:r>
        <w:rPr>
          <w:rFonts w:ascii="Times New Roman" w:hAnsi="Times New Roman" w:eastAsia="Times New Roman"/>
          <w:sz w:val="21"/>
        </w:rPr>
        <w:t>The parent online questionnaire was assembled for the multicenter survey and combined previously published scales with study-developed or adapted items. For the published scales, the English wording below follows the source instruments; the actual survey administered Chinese-language versions. The present manuscript used only the sections reproduced here. Additional modules from the broader parent survey are listed at the end for completeness.</w:t>
      </w:r>
    </w:p>
    <w:p>
      <w:pPr>
        <w:pStyle w:val="Heading1"/>
        <w:spacing w:before="160" w:after="80"/>
      </w:pPr>
      <w:r>
        <w:rPr>
          <w:rFonts w:ascii="Times New Roman" w:hAnsi="Times New Roman" w:eastAsia="Times New Roman"/>
          <w:b/>
          <w:color w:val="1F4E79"/>
          <w:sz w:val="28"/>
        </w:rPr>
        <w:t>1. Survey administration and scope</w:t>
      </w:r>
    </w:p>
    <w:p>
      <w:pPr>
        <w:pStyle w:val="ListBullet"/>
        <w:ind w:left="0"/>
      </w:pPr>
      <w:r>
        <w:rPr>
          <w:rFonts w:ascii="Times New Roman" w:hAnsi="Times New Roman" w:eastAsia="Times New Roman"/>
          <w:sz w:val="22"/>
        </w:rPr>
        <w:t>Platform: Wenjuanxing online questionnaire platform.</w:t>
      </w:r>
    </w:p>
    <w:p>
      <w:pPr>
        <w:pStyle w:val="ListBullet"/>
        <w:ind w:left="0"/>
      </w:pPr>
      <w:r>
        <w:rPr>
          <w:rFonts w:ascii="Times New Roman" w:hAnsi="Times New Roman" w:eastAsia="Times New Roman"/>
          <w:sz w:val="22"/>
        </w:rPr>
        <w:t>Target population: current college or university students in China.</w:t>
      </w:r>
    </w:p>
    <w:p>
      <w:pPr>
        <w:pStyle w:val="ListBullet"/>
        <w:ind w:left="0"/>
      </w:pPr>
      <w:r>
        <w:rPr>
          <w:rFonts w:ascii="Times New Roman" w:hAnsi="Times New Roman" w:eastAsia="Times New Roman"/>
          <w:sz w:val="22"/>
        </w:rPr>
        <w:t>Recruitment: dissemination through university-related WeChat and QQ groups.</w:t>
      </w:r>
    </w:p>
    <w:p>
      <w:pPr>
        <w:pStyle w:val="ListBullet"/>
        <w:ind w:left="0"/>
      </w:pPr>
      <w:r>
        <w:rPr>
          <w:rFonts w:ascii="Times New Roman" w:hAnsi="Times New Roman" w:eastAsia="Times New Roman"/>
          <w:sz w:val="22"/>
        </w:rPr>
        <w:t>Consent: electronic informed consent was required before survey initiation.</w:t>
      </w:r>
    </w:p>
    <w:p>
      <w:pPr>
        <w:pStyle w:val="ListBullet"/>
        <w:ind w:left="0"/>
      </w:pPr>
      <w:r>
        <w:rPr>
          <w:rFonts w:ascii="Times New Roman" w:hAnsi="Times New Roman" w:eastAsia="Times New Roman"/>
          <w:sz w:val="22"/>
        </w:rPr>
        <w:t>Current manuscript: only the questionnaire sections relevant to the problematic social media use (PSMU) analysis are reproduced below.</w:t>
      </w:r>
    </w:p>
    <w:p>
      <w:pPr>
        <w:pStyle w:val="Heading1"/>
        <w:spacing w:before="160" w:after="80"/>
      </w:pPr>
      <w:r>
        <w:rPr>
          <w:rFonts w:ascii="Times New Roman" w:hAnsi="Times New Roman" w:eastAsia="Times New Roman"/>
          <w:b/>
          <w:color w:val="1F4E79"/>
          <w:sz w:val="28"/>
        </w:rPr>
        <w:t>2. Demographic and background items used in the present analysis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1. </w:t>
      </w:r>
      <w:r>
        <w:rPr>
          <w:rFonts w:ascii="Times New Roman" w:hAnsi="Times New Roman" w:eastAsia="Times New Roman"/>
          <w:sz w:val="22"/>
        </w:rPr>
        <w:t>Sex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Male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Female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Other (specify)</w:t>
      </w:r>
    </w:p>
    <w:p>
      <w:pPr>
        <w:spacing w:after="80"/>
        <w:ind w:left="360"/>
      </w:pPr>
      <w:r>
        <w:rPr>
          <w:rFonts w:ascii="Times New Roman" w:hAnsi="Times New Roman" w:eastAsia="Times New Roman"/>
          <w:b/>
          <w:color w:val="595959"/>
          <w:sz w:val="20"/>
        </w:rPr>
        <w:t xml:space="preserve">Analytic note: </w:t>
      </w:r>
      <w:r>
        <w:rPr>
          <w:rFonts w:ascii="Times New Roman" w:hAnsi="Times New Roman" w:eastAsia="Times New Roman"/>
          <w:color w:val="595959"/>
          <w:sz w:val="20"/>
        </w:rPr>
        <w:t>Used as a binary sex predictor in the cleaned analytic dataset.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2. </w:t>
      </w:r>
      <w:r>
        <w:rPr>
          <w:rFonts w:ascii="Times New Roman" w:hAnsi="Times New Roman" w:eastAsia="Times New Roman"/>
          <w:sz w:val="22"/>
        </w:rPr>
        <w:t>Current grade level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Freshman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Sophomore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Junior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Senior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Fifth-year student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Master's student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Doctoral student</w:t>
      </w:r>
    </w:p>
    <w:p>
      <w:pPr>
        <w:spacing w:after="80"/>
        <w:ind w:left="360"/>
      </w:pPr>
      <w:r>
        <w:rPr>
          <w:rFonts w:ascii="Times New Roman" w:hAnsi="Times New Roman" w:eastAsia="Times New Roman"/>
          <w:b/>
          <w:color w:val="595959"/>
          <w:sz w:val="20"/>
        </w:rPr>
        <w:t xml:space="preserve">Analytic note: </w:t>
      </w:r>
      <w:r>
        <w:rPr>
          <w:rFonts w:ascii="Times New Roman" w:hAnsi="Times New Roman" w:eastAsia="Times New Roman"/>
          <w:color w:val="595959"/>
          <w:sz w:val="20"/>
        </w:rPr>
        <w:t>Collapsed in the manuscript to Freshman/Sophomore; Junior/Senior/Fifth-year; and Master's/Doctoral.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3. </w:t>
      </w:r>
      <w:r>
        <w:rPr>
          <w:rFonts w:ascii="Times New Roman" w:hAnsi="Times New Roman" w:eastAsia="Times New Roman"/>
          <w:sz w:val="22"/>
        </w:rPr>
        <w:t>Current institution and institution location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Institution name (free text)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Province/city where the institution is located</w:t>
      </w:r>
    </w:p>
    <w:p>
      <w:pPr>
        <w:spacing w:after="80"/>
        <w:ind w:left="360"/>
      </w:pPr>
      <w:r>
        <w:rPr>
          <w:rFonts w:ascii="Times New Roman" w:hAnsi="Times New Roman" w:eastAsia="Times New Roman"/>
          <w:b/>
          <w:color w:val="595959"/>
          <w:sz w:val="20"/>
        </w:rPr>
        <w:t xml:space="preserve">Analytic note: </w:t>
      </w:r>
      <w:r>
        <w:rPr>
          <w:rFonts w:ascii="Times New Roman" w:hAnsi="Times New Roman" w:eastAsia="Times New Roman"/>
          <w:color w:val="595959"/>
          <w:sz w:val="20"/>
        </w:rPr>
        <w:t>Institution location was used to derive the university city-tier variable in the cleaned dataset.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4. </w:t>
      </w:r>
      <w:r>
        <w:rPr>
          <w:rFonts w:ascii="Times New Roman" w:hAnsi="Times New Roman" w:eastAsia="Times New Roman"/>
          <w:sz w:val="22"/>
        </w:rPr>
        <w:t>Are you an only child?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Yes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No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5. </w:t>
      </w:r>
      <w:r>
        <w:rPr>
          <w:rFonts w:ascii="Times New Roman" w:hAnsi="Times New Roman" w:eastAsia="Times New Roman"/>
          <w:sz w:val="22"/>
        </w:rPr>
        <w:t>Highest parental education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Junior high school or below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High school or technical secondary school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College or above</w:t>
      </w:r>
    </w:p>
    <w:p>
      <w:pPr>
        <w:spacing w:after="80"/>
        <w:ind w:left="360"/>
      </w:pPr>
      <w:r>
        <w:rPr>
          <w:rFonts w:ascii="Times New Roman" w:hAnsi="Times New Roman" w:eastAsia="Times New Roman"/>
          <w:b/>
          <w:color w:val="595959"/>
          <w:sz w:val="20"/>
        </w:rPr>
        <w:t xml:space="preserve">Analytic note: </w:t>
      </w:r>
      <w:r>
        <w:rPr>
          <w:rFonts w:ascii="Times New Roman" w:hAnsi="Times New Roman" w:eastAsia="Times New Roman"/>
          <w:color w:val="595959"/>
          <w:sz w:val="20"/>
        </w:rPr>
        <w:t>Defined as the highest educational attainment of either parent/guardian in the cleaned dataset.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6. </w:t>
      </w:r>
      <w:r>
        <w:rPr>
          <w:rFonts w:ascii="Times New Roman" w:hAnsi="Times New Roman" w:eastAsia="Times New Roman"/>
          <w:sz w:val="22"/>
        </w:rPr>
        <w:t>Average monthly expenditure over the past 12 months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&lt; CNY 1500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CNY 1500-2000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CNY 2000-3000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CNY 3000-4000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&gt; CNY 4000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7. </w:t>
      </w:r>
      <w:r>
        <w:rPr>
          <w:rFonts w:ascii="Times New Roman" w:hAnsi="Times New Roman" w:eastAsia="Times New Roman"/>
          <w:sz w:val="22"/>
        </w:rPr>
        <w:t>Family structure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Complete family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Non-intact family</w:t>
      </w:r>
    </w:p>
    <w:p>
      <w:pPr>
        <w:spacing w:after="80"/>
        <w:ind w:left="360"/>
      </w:pPr>
      <w:r>
        <w:rPr>
          <w:rFonts w:ascii="Times New Roman" w:hAnsi="Times New Roman" w:eastAsia="Times New Roman"/>
          <w:b/>
          <w:color w:val="595959"/>
          <w:sz w:val="20"/>
        </w:rPr>
        <w:t xml:space="preserve">Analytic note: </w:t>
      </w:r>
      <w:r>
        <w:rPr>
          <w:rFonts w:ascii="Times New Roman" w:hAnsi="Times New Roman" w:eastAsia="Times New Roman"/>
          <w:color w:val="595959"/>
          <w:sz w:val="20"/>
        </w:rPr>
        <w:t>Complete family indicated no parental divorce, bereavement, or long-term separation during childhood/adolescence.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8. </w:t>
      </w:r>
      <w:r>
        <w:rPr>
          <w:rFonts w:ascii="Times New Roman" w:hAnsi="Times New Roman" w:eastAsia="Times New Roman"/>
          <w:sz w:val="22"/>
        </w:rPr>
        <w:t>Residence before college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Urban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Suburban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Rural</w:t>
      </w:r>
    </w:p>
    <w:p>
      <w:pPr>
        <w:spacing w:after="80"/>
        <w:ind w:left="360"/>
      </w:pPr>
      <w:r>
        <w:rPr>
          <w:rFonts w:ascii="Times New Roman" w:hAnsi="Times New Roman" w:eastAsia="Times New Roman"/>
          <w:b/>
          <w:color w:val="595959"/>
          <w:sz w:val="20"/>
        </w:rPr>
        <w:t xml:space="preserve">Analytic note: </w:t>
      </w:r>
      <w:r>
        <w:rPr>
          <w:rFonts w:ascii="Times New Roman" w:hAnsi="Times New Roman" w:eastAsia="Times New Roman"/>
          <w:color w:val="595959"/>
          <w:sz w:val="20"/>
        </w:rPr>
        <w:t>Collapsed in the manuscript to Urban versus Rural/suburban county.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9. </w:t>
      </w:r>
      <w:r>
        <w:rPr>
          <w:rFonts w:ascii="Times New Roman" w:hAnsi="Times New Roman" w:eastAsia="Times New Roman"/>
          <w:sz w:val="22"/>
        </w:rPr>
        <w:t>Sexual orientation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Heterosexual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Sexual minority/other</w:t>
      </w:r>
    </w:p>
    <w:p>
      <w:pPr>
        <w:spacing w:after="80"/>
        <w:ind w:left="360"/>
      </w:pPr>
      <w:r>
        <w:rPr>
          <w:rFonts w:ascii="Times New Roman" w:hAnsi="Times New Roman" w:eastAsia="Times New Roman"/>
          <w:b/>
          <w:color w:val="595959"/>
          <w:sz w:val="20"/>
        </w:rPr>
        <w:t xml:space="preserve">Analytic note: </w:t>
      </w:r>
      <w:r>
        <w:rPr>
          <w:rFonts w:ascii="Times New Roman" w:hAnsi="Times New Roman" w:eastAsia="Times New Roman"/>
          <w:color w:val="595959"/>
          <w:sz w:val="20"/>
        </w:rPr>
        <w:t>Collapsed in the manuscript to Heterosexual versus Other.</w:t>
      </w:r>
    </w:p>
    <w:p>
      <w:pPr>
        <w:pStyle w:val="Heading1"/>
        <w:spacing w:before="160" w:after="80"/>
      </w:pPr>
      <w:r>
        <w:rPr>
          <w:rFonts w:ascii="Times New Roman" w:hAnsi="Times New Roman" w:eastAsia="Times New Roman"/>
          <w:b/>
          <w:color w:val="1F4E79"/>
          <w:sz w:val="28"/>
        </w:rPr>
        <w:t>3. Health behaviors, social media exposure, and online health behavior items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10. </w:t>
      </w:r>
      <w:r>
        <w:rPr>
          <w:rFonts w:ascii="Times New Roman" w:hAnsi="Times New Roman" w:eastAsia="Times New Roman"/>
          <w:sz w:val="22"/>
        </w:rPr>
        <w:t>Smoking frequency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Never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0-5 cigarettes per day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&gt;5 cigarettes per day</w:t>
      </w:r>
    </w:p>
    <w:p>
      <w:pPr>
        <w:spacing w:after="80"/>
        <w:ind w:left="360"/>
      </w:pPr>
      <w:r>
        <w:rPr>
          <w:rFonts w:ascii="Times New Roman" w:hAnsi="Times New Roman" w:eastAsia="Times New Roman"/>
          <w:b/>
          <w:color w:val="595959"/>
          <w:sz w:val="20"/>
        </w:rPr>
        <w:t xml:space="preserve">Analytic note: </w:t>
      </w:r>
      <w:r>
        <w:rPr>
          <w:rFonts w:ascii="Times New Roman" w:hAnsi="Times New Roman" w:eastAsia="Times New Roman"/>
          <w:color w:val="595959"/>
          <w:sz w:val="20"/>
        </w:rPr>
        <w:t>Collapsed to a binary current smoking variable (Yes/No) in the manuscript.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11. </w:t>
      </w:r>
      <w:r>
        <w:rPr>
          <w:rFonts w:ascii="Times New Roman" w:hAnsi="Times New Roman" w:eastAsia="Times New Roman"/>
          <w:sz w:val="22"/>
        </w:rPr>
        <w:t>Alcohol use frequency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Non-drinker / never or seldom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Occasional drinker (&lt;1 time per week)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Frequent drinker (&gt;=1 time per week)</w:t>
      </w:r>
    </w:p>
    <w:p>
      <w:pPr>
        <w:spacing w:after="80"/>
        <w:ind w:left="360"/>
      </w:pPr>
      <w:r>
        <w:rPr>
          <w:rFonts w:ascii="Times New Roman" w:hAnsi="Times New Roman" w:eastAsia="Times New Roman"/>
          <w:b/>
          <w:color w:val="595959"/>
          <w:sz w:val="20"/>
        </w:rPr>
        <w:t xml:space="preserve">Analytic note: </w:t>
      </w:r>
      <w:r>
        <w:rPr>
          <w:rFonts w:ascii="Times New Roman" w:hAnsi="Times New Roman" w:eastAsia="Times New Roman"/>
          <w:color w:val="595959"/>
          <w:sz w:val="20"/>
        </w:rPr>
        <w:t>Collapsed to a binary drinking variable (Yes/No) in the manuscript.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12. </w:t>
      </w:r>
      <w:r>
        <w:rPr>
          <w:rFonts w:ascii="Times New Roman" w:hAnsi="Times New Roman" w:eastAsia="Times New Roman"/>
          <w:sz w:val="22"/>
        </w:rPr>
        <w:t>How often do you use social media?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Rarely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Sometimes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Often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Always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13. </w:t>
      </w:r>
      <w:r>
        <w:rPr>
          <w:rFonts w:ascii="Times New Roman" w:hAnsi="Times New Roman" w:eastAsia="Times New Roman"/>
          <w:sz w:val="22"/>
        </w:rPr>
        <w:t>Which social media or online social platforms do you use?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Multiple-response item; respondents selected all currently used platforms.</w:t>
      </w:r>
    </w:p>
    <w:p>
      <w:pPr>
        <w:spacing w:after="80"/>
        <w:ind w:left="360"/>
      </w:pPr>
      <w:r>
        <w:rPr>
          <w:rFonts w:ascii="Times New Roman" w:hAnsi="Times New Roman" w:eastAsia="Times New Roman"/>
          <w:b/>
          <w:color w:val="595959"/>
          <w:sz w:val="20"/>
        </w:rPr>
        <w:t xml:space="preserve">Analytic note: </w:t>
      </w:r>
      <w:r>
        <w:rPr>
          <w:rFonts w:ascii="Times New Roman" w:hAnsi="Times New Roman" w:eastAsia="Times New Roman"/>
          <w:color w:val="595959"/>
          <w:sz w:val="20"/>
        </w:rPr>
        <w:t>The number of endorsed platforms was summed to derive platform count in the cleaned dataset.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14. </w:t>
      </w:r>
      <w:r>
        <w:rPr>
          <w:rFonts w:ascii="Times New Roman" w:hAnsi="Times New Roman" w:eastAsia="Times New Roman"/>
          <w:sz w:val="22"/>
        </w:rPr>
        <w:t>Do you use short-video platforms?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Yes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No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15. </w:t>
      </w:r>
      <w:r>
        <w:rPr>
          <w:rFonts w:ascii="Times New Roman" w:hAnsi="Times New Roman" w:eastAsia="Times New Roman"/>
          <w:sz w:val="22"/>
        </w:rPr>
        <w:t>Do you use dating apps or stranger-social apps?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Yes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No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16. </w:t>
      </w:r>
      <w:r>
        <w:rPr>
          <w:rFonts w:ascii="Times New Roman" w:hAnsi="Times New Roman" w:eastAsia="Times New Roman"/>
          <w:sz w:val="22"/>
        </w:rPr>
        <w:t>In the past 12 months, have you shared health-related information online?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Yes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No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17. </w:t>
      </w:r>
      <w:r>
        <w:rPr>
          <w:rFonts w:ascii="Times New Roman" w:hAnsi="Times New Roman" w:eastAsia="Times New Roman"/>
          <w:sz w:val="22"/>
        </w:rPr>
        <w:t>In the past 12 months, have you searched for health-related information online?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Yes</w:t>
      </w:r>
    </w:p>
    <w:p>
      <w:pPr>
        <w:pStyle w:val="ListBullet"/>
        <w:spacing w:after="0"/>
        <w:ind w:left="504"/>
      </w:pPr>
      <w:r>
        <w:rPr>
          <w:rFonts w:ascii="Times New Roman" w:hAnsi="Times New Roman" w:eastAsia="Times New Roman"/>
          <w:sz w:val="21"/>
        </w:rPr>
        <w:t>No</w:t>
      </w:r>
    </w:p>
    <w:p>
      <w:pPr>
        <w:pStyle w:val="Heading1"/>
        <w:spacing w:before="160" w:after="80"/>
      </w:pPr>
      <w:r>
        <w:rPr>
          <w:rFonts w:ascii="Times New Roman" w:hAnsi="Times New Roman" w:eastAsia="Times New Roman"/>
          <w:b/>
          <w:color w:val="1F4E79"/>
          <w:sz w:val="28"/>
        </w:rPr>
        <w:t>4. Bergen Social Media Addiction Scale (BSMAS)</w:t>
      </w:r>
    </w:p>
    <w:p>
      <w:pPr/>
      <w:r>
        <w:rPr>
          <w:rFonts w:ascii="Times New Roman" w:hAnsi="Times New Roman" w:eastAsia="Times New Roman"/>
        </w:rPr>
        <w:t>Instruction: Please indicate how often each statement described you during the past year. Response options for each item: 1 = Very rarely, 2 = Rarely, 3 = Sometimes, 4 = Often, 5 = Very often.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1. </w:t>
      </w:r>
      <w:r>
        <w:rPr>
          <w:rFonts w:ascii="Times New Roman" w:hAnsi="Times New Roman" w:eastAsia="Times New Roman"/>
          <w:sz w:val="22"/>
        </w:rPr>
        <w:t>You spend a lot of time thinking about social media or planning how to use it.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2. </w:t>
      </w:r>
      <w:r>
        <w:rPr>
          <w:rFonts w:ascii="Times New Roman" w:hAnsi="Times New Roman" w:eastAsia="Times New Roman"/>
          <w:sz w:val="22"/>
        </w:rPr>
        <w:t>You feel an increasing urge to use social media more and more.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3. </w:t>
      </w:r>
      <w:r>
        <w:rPr>
          <w:rFonts w:ascii="Times New Roman" w:hAnsi="Times New Roman" w:eastAsia="Times New Roman"/>
          <w:sz w:val="22"/>
        </w:rPr>
        <w:t>You use social media in order to forget about personal problems.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4. </w:t>
      </w:r>
      <w:r>
        <w:rPr>
          <w:rFonts w:ascii="Times New Roman" w:hAnsi="Times New Roman" w:eastAsia="Times New Roman"/>
          <w:sz w:val="22"/>
        </w:rPr>
        <w:t>You have tried to cut down on social media use without success.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5. </w:t>
      </w:r>
      <w:r>
        <w:rPr>
          <w:rFonts w:ascii="Times New Roman" w:hAnsi="Times New Roman" w:eastAsia="Times New Roman"/>
          <w:sz w:val="22"/>
        </w:rPr>
        <w:t>You become restless or troubled if you are prohibited from using social media.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6. </w:t>
      </w:r>
      <w:r>
        <w:rPr>
          <w:rFonts w:ascii="Times New Roman" w:hAnsi="Times New Roman" w:eastAsia="Times New Roman"/>
          <w:sz w:val="22"/>
        </w:rPr>
        <w:t>You use social media so much that it has a negative impact on your job or studies.</w:t>
      </w:r>
    </w:p>
    <w:p>
      <w:pPr/>
      <w:r>
        <w:rPr>
          <w:rFonts w:ascii="Times New Roman" w:hAnsi="Times New Roman" w:eastAsia="Times New Roman"/>
          <w:i/>
          <w:color w:val="595959"/>
          <w:sz w:val="20"/>
        </w:rPr>
        <w:t>Scoring note: Total score range = 6-30. In this manuscript, potential PSMU was defined as a BSMAS total score of 19 or higher.</w:t>
      </w:r>
    </w:p>
    <w:p>
      <w:pPr>
        <w:pStyle w:val="Heading1"/>
        <w:spacing w:before="160" w:after="80"/>
      </w:pPr>
      <w:r>
        <w:rPr>
          <w:rFonts w:ascii="Times New Roman" w:hAnsi="Times New Roman" w:eastAsia="Times New Roman"/>
          <w:b/>
          <w:color w:val="1F4E79"/>
          <w:sz w:val="28"/>
        </w:rPr>
        <w:t>5. Depression Anxiety Stress Scale-21 (DASS-21)</w:t>
      </w:r>
    </w:p>
    <w:p>
      <w:pPr/>
      <w:r>
        <w:rPr>
          <w:rFonts w:ascii="Times New Roman" w:hAnsi="Times New Roman" w:eastAsia="Times New Roman"/>
        </w:rPr>
        <w:t>Instruction: Please read each statement and indicate how much it applied to you over the past week. Response options for each item: 0 = Did not apply to me at all; 1 = Applied to me to some degree, or some of the time; 2 = Applied to me to a considerable degree or a good part of time; 3 = Applied to me very much or most of the time.</w:t>
      </w:r>
    </w:p>
    <w:p>
      <w:pPr>
        <w:pStyle w:val="Heading2"/>
        <w:spacing w:before="120" w:after="40"/>
      </w:pPr>
      <w:r>
        <w:rPr>
          <w:rFonts w:ascii="Times New Roman" w:hAnsi="Times New Roman" w:eastAsia="Times New Roman"/>
          <w:b/>
          <w:color w:val="1F4E79"/>
          <w:sz w:val="24"/>
        </w:rPr>
        <w:t>Depression subscale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1. </w:t>
      </w:r>
      <w:r>
        <w:rPr>
          <w:rFonts w:ascii="Times New Roman" w:hAnsi="Times New Roman" w:eastAsia="Times New Roman"/>
          <w:sz w:val="22"/>
        </w:rPr>
        <w:t>I couldn't seem to experience any positive feeling at all.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2. </w:t>
      </w:r>
      <w:r>
        <w:rPr>
          <w:rFonts w:ascii="Times New Roman" w:hAnsi="Times New Roman" w:eastAsia="Times New Roman"/>
          <w:sz w:val="22"/>
        </w:rPr>
        <w:t>I found it difficult to work up the initiative to do things.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3. </w:t>
      </w:r>
      <w:r>
        <w:rPr>
          <w:rFonts w:ascii="Times New Roman" w:hAnsi="Times New Roman" w:eastAsia="Times New Roman"/>
          <w:sz w:val="22"/>
        </w:rPr>
        <w:t>I felt that I had nothing to look forward to.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4. </w:t>
      </w:r>
      <w:r>
        <w:rPr>
          <w:rFonts w:ascii="Times New Roman" w:hAnsi="Times New Roman" w:eastAsia="Times New Roman"/>
          <w:sz w:val="22"/>
        </w:rPr>
        <w:t>I felt down-hearted and blue.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5. </w:t>
      </w:r>
      <w:r>
        <w:rPr>
          <w:rFonts w:ascii="Times New Roman" w:hAnsi="Times New Roman" w:eastAsia="Times New Roman"/>
          <w:sz w:val="22"/>
        </w:rPr>
        <w:t>I was unable to become enthusiastic about anything.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6. </w:t>
      </w:r>
      <w:r>
        <w:rPr>
          <w:rFonts w:ascii="Times New Roman" w:hAnsi="Times New Roman" w:eastAsia="Times New Roman"/>
          <w:sz w:val="22"/>
        </w:rPr>
        <w:t>I felt I wasn't worth much as a person.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7. </w:t>
      </w:r>
      <w:r>
        <w:rPr>
          <w:rFonts w:ascii="Times New Roman" w:hAnsi="Times New Roman" w:eastAsia="Times New Roman"/>
          <w:sz w:val="22"/>
        </w:rPr>
        <w:t>I felt that life was meaningless.</w:t>
      </w:r>
    </w:p>
    <w:p>
      <w:pPr>
        <w:pStyle w:val="Heading2"/>
        <w:spacing w:before="120" w:after="40"/>
      </w:pPr>
      <w:r>
        <w:rPr>
          <w:rFonts w:ascii="Times New Roman" w:hAnsi="Times New Roman" w:eastAsia="Times New Roman"/>
          <w:b/>
          <w:color w:val="1F4E79"/>
          <w:sz w:val="24"/>
        </w:rPr>
        <w:t>Anxiety subscale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8. </w:t>
      </w:r>
      <w:r>
        <w:rPr>
          <w:rFonts w:ascii="Times New Roman" w:hAnsi="Times New Roman" w:eastAsia="Times New Roman"/>
          <w:sz w:val="22"/>
        </w:rPr>
        <w:t>I was aware of dryness of my mouth.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9. </w:t>
      </w:r>
      <w:r>
        <w:rPr>
          <w:rFonts w:ascii="Times New Roman" w:hAnsi="Times New Roman" w:eastAsia="Times New Roman"/>
          <w:sz w:val="22"/>
        </w:rPr>
        <w:t>I experienced breathing difficulty (e.g., excessively rapid breathing, breathlessness in the absence of physical exertion).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10. </w:t>
      </w:r>
      <w:r>
        <w:rPr>
          <w:rFonts w:ascii="Times New Roman" w:hAnsi="Times New Roman" w:eastAsia="Times New Roman"/>
          <w:sz w:val="22"/>
        </w:rPr>
        <w:t>I experienced trembling (e.g., in the hands).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11. </w:t>
      </w:r>
      <w:r>
        <w:rPr>
          <w:rFonts w:ascii="Times New Roman" w:hAnsi="Times New Roman" w:eastAsia="Times New Roman"/>
          <w:sz w:val="22"/>
        </w:rPr>
        <w:t>I was worried about situations in which I might panic and make a fool of myself.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12. </w:t>
      </w:r>
      <w:r>
        <w:rPr>
          <w:rFonts w:ascii="Times New Roman" w:hAnsi="Times New Roman" w:eastAsia="Times New Roman"/>
          <w:sz w:val="22"/>
        </w:rPr>
        <w:t>I felt I was close to panic.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13. </w:t>
      </w:r>
      <w:r>
        <w:rPr>
          <w:rFonts w:ascii="Times New Roman" w:hAnsi="Times New Roman" w:eastAsia="Times New Roman"/>
          <w:sz w:val="22"/>
        </w:rPr>
        <w:t>I was aware of the action of my heart in the absence of physical exertion (e.g., sense of heart rate increase, heart missing a beat).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14. </w:t>
      </w:r>
      <w:r>
        <w:rPr>
          <w:rFonts w:ascii="Times New Roman" w:hAnsi="Times New Roman" w:eastAsia="Times New Roman"/>
          <w:sz w:val="22"/>
        </w:rPr>
        <w:t>I felt scared without any good reason.</w:t>
      </w:r>
    </w:p>
    <w:p>
      <w:pPr>
        <w:pStyle w:val="Heading2"/>
        <w:spacing w:before="120" w:after="40"/>
      </w:pPr>
      <w:r>
        <w:rPr>
          <w:rFonts w:ascii="Times New Roman" w:hAnsi="Times New Roman" w:eastAsia="Times New Roman"/>
          <w:b/>
          <w:color w:val="1F4E79"/>
          <w:sz w:val="24"/>
        </w:rPr>
        <w:t>Stress subscale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15. </w:t>
      </w:r>
      <w:r>
        <w:rPr>
          <w:rFonts w:ascii="Times New Roman" w:hAnsi="Times New Roman" w:eastAsia="Times New Roman"/>
          <w:sz w:val="22"/>
        </w:rPr>
        <w:t>I found it hard to wind down.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16. </w:t>
      </w:r>
      <w:r>
        <w:rPr>
          <w:rFonts w:ascii="Times New Roman" w:hAnsi="Times New Roman" w:eastAsia="Times New Roman"/>
          <w:sz w:val="22"/>
        </w:rPr>
        <w:t>I tended to over-react to situations.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17. </w:t>
      </w:r>
      <w:r>
        <w:rPr>
          <w:rFonts w:ascii="Times New Roman" w:hAnsi="Times New Roman" w:eastAsia="Times New Roman"/>
          <w:sz w:val="22"/>
        </w:rPr>
        <w:t>I felt that I was using a lot of nervous energy.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18. </w:t>
      </w:r>
      <w:r>
        <w:rPr>
          <w:rFonts w:ascii="Times New Roman" w:hAnsi="Times New Roman" w:eastAsia="Times New Roman"/>
          <w:sz w:val="22"/>
        </w:rPr>
        <w:t>I found myself getting agitated.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19. </w:t>
      </w:r>
      <w:r>
        <w:rPr>
          <w:rFonts w:ascii="Times New Roman" w:hAnsi="Times New Roman" w:eastAsia="Times New Roman"/>
          <w:sz w:val="22"/>
        </w:rPr>
        <w:t>I found it difficult to relax.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20. </w:t>
      </w:r>
      <w:r>
        <w:rPr>
          <w:rFonts w:ascii="Times New Roman" w:hAnsi="Times New Roman" w:eastAsia="Times New Roman"/>
          <w:sz w:val="22"/>
        </w:rPr>
        <w:t>I was intolerant of anything that kept me from getting on with what I was doing.</w:t>
      </w:r>
    </w:p>
    <w:p>
      <w:pPr>
        <w:spacing w:after="40" w:before="40"/>
      </w:pPr>
      <w:r>
        <w:rPr>
          <w:rFonts w:ascii="Times New Roman" w:hAnsi="Times New Roman" w:eastAsia="Times New Roman"/>
          <w:b/>
          <w:sz w:val="22"/>
        </w:rPr>
        <w:t xml:space="preserve">21. </w:t>
      </w:r>
      <w:r>
        <w:rPr>
          <w:rFonts w:ascii="Times New Roman" w:hAnsi="Times New Roman" w:eastAsia="Times New Roman"/>
          <w:sz w:val="22"/>
        </w:rPr>
        <w:t>I felt that I was rather touchy.</w:t>
      </w:r>
    </w:p>
    <w:p>
      <w:pPr/>
      <w:r>
        <w:rPr>
          <w:rFonts w:ascii="Times New Roman" w:hAnsi="Times New Roman" w:eastAsia="Times New Roman"/>
          <w:i/>
          <w:color w:val="595959"/>
          <w:sz w:val="20"/>
        </w:rPr>
        <w:t>Derived variable used in this manuscript: DASS_any = 1 when at least one DASS-21 subscale reached the moderate-or-higher severity range; otherwise DASS_any = 0.</w:t>
      </w:r>
    </w:p>
    <w:p>
      <w:pPr>
        <w:pStyle w:val="Heading1"/>
        <w:spacing w:before="160" w:after="80"/>
      </w:pPr>
      <w:r>
        <w:rPr>
          <w:rFonts w:ascii="Times New Roman" w:hAnsi="Times New Roman" w:eastAsia="Times New Roman"/>
          <w:b/>
          <w:color w:val="1F4E79"/>
          <w:sz w:val="28"/>
        </w:rPr>
        <w:t>6. Additional modules included in the broader parent survey but not analyzed in this manuscript</w:t>
      </w:r>
    </w:p>
    <w:p>
      <w:pPr>
        <w:pStyle w:val="ListBullet"/>
        <w:ind w:left="0"/>
      </w:pPr>
      <w:r>
        <w:rPr>
          <w:rFonts w:ascii="Times New Roman" w:hAnsi="Times New Roman" w:eastAsia="Times New Roman"/>
          <w:sz w:val="22"/>
        </w:rPr>
        <w:t>Sexual behavior history and sexual debut items.</w:t>
      </w:r>
    </w:p>
    <w:p>
      <w:pPr>
        <w:pStyle w:val="ListBullet"/>
        <w:ind w:left="0"/>
      </w:pPr>
      <w:r>
        <w:rPr>
          <w:rFonts w:ascii="Times New Roman" w:hAnsi="Times New Roman" w:eastAsia="Times New Roman"/>
          <w:sz w:val="22"/>
        </w:rPr>
        <w:t>Condom attitudes and condom-use practice items.</w:t>
      </w:r>
    </w:p>
    <w:p>
      <w:pPr>
        <w:pStyle w:val="ListBullet"/>
        <w:ind w:left="0"/>
      </w:pPr>
      <w:r>
        <w:rPr>
          <w:rFonts w:ascii="Times New Roman" w:hAnsi="Times New Roman" w:eastAsia="Times New Roman"/>
          <w:sz w:val="22"/>
        </w:rPr>
        <w:t>Sexually transmitted infection (STI) awareness and knowledge items.</w:t>
      </w:r>
    </w:p>
    <w:p>
      <w:pPr>
        <w:pStyle w:val="ListBullet"/>
        <w:ind w:left="0"/>
      </w:pPr>
      <w:r>
        <w:rPr>
          <w:rFonts w:ascii="Times New Roman" w:hAnsi="Times New Roman" w:eastAsia="Times New Roman"/>
          <w:sz w:val="22"/>
        </w:rPr>
        <w:t>eHealth literacy items.</w:t>
      </w:r>
    </w:p>
    <w:p>
      <w:pPr>
        <w:pStyle w:val="ListBullet"/>
        <w:ind w:left="0"/>
      </w:pPr>
      <w:r>
        <w:rPr>
          <w:rFonts w:ascii="Times New Roman" w:hAnsi="Times New Roman" w:eastAsia="Times New Roman"/>
          <w:sz w:val="22"/>
        </w:rPr>
        <w:t>Sexual health literacy items.</w:t>
      </w:r>
    </w:p>
    <w:p>
      <w:pPr>
        <w:pStyle w:val="ListBullet"/>
        <w:ind w:left="0"/>
      </w:pPr>
      <w:r>
        <w:rPr>
          <w:rFonts w:ascii="Times New Roman" w:hAnsi="Times New Roman" w:eastAsia="Times New Roman"/>
          <w:sz w:val="22"/>
        </w:rPr>
        <w:t>Human papillomavirus (HPV) awareness, knowledge, and belief items.</w:t>
      </w:r>
    </w:p>
    <w:p>
      <w:pPr>
        <w:pStyle w:val="Heading1"/>
        <w:spacing w:before="160" w:after="80"/>
      </w:pPr>
      <w:r>
        <w:rPr>
          <w:rFonts w:ascii="Times New Roman" w:hAnsi="Times New Roman" w:eastAsia="Times New Roman"/>
          <w:b/>
          <w:color w:val="1F4E79"/>
          <w:sz w:val="28"/>
        </w:rPr>
        <w:t>7. Notes on the main derived variables used in the manuscript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7056"/>
      </w:tblGrid>
      <w:tr>
        <w:trPr>
          <w:tblHeader w:val="true"/>
        </w:trPr>
        <w:tc>
          <w:tcPr>
            <w:tcW w:type="dxa" w:w="4824"/>
            <w:shd w:fill="D9E2F3"/>
            <w:vAlign w:val="center"/>
          </w:tcPr>
          <w:p>
            <w:r>
              <w:rPr>
                <w:rFonts w:ascii="Times New Roman" w:hAnsi="Times New Roman" w:eastAsia="Times New Roman"/>
                <w:b/>
                <w:sz w:val="21"/>
              </w:rPr>
              <w:t>Derived variable</w:t>
            </w:r>
          </w:p>
        </w:tc>
        <w:tc>
          <w:tcPr>
            <w:tcW w:type="dxa" w:w="4824"/>
            <w:shd w:fill="D9E2F3"/>
            <w:vAlign w:val="center"/>
          </w:tcPr>
          <w:p>
            <w:r>
              <w:rPr>
                <w:rFonts w:ascii="Times New Roman" w:hAnsi="Times New Roman" w:eastAsia="Times New Roman"/>
                <w:b/>
                <w:sz w:val="21"/>
              </w:rPr>
              <w:t>Definition used in the manuscript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sz w:val="20"/>
              </w:rPr>
              <w:t>University city tier</w:t>
            </w:r>
          </w:p>
        </w:tc>
        <w:tc>
          <w:tcPr>
            <w:tcW w:type="dxa" w:w="7056"/>
            <w:vAlign w:val="center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sz w:val="20"/>
              </w:rPr>
              <w:t>Derived from the location of the participant's institution and collapsed to three levels: tier 3 or below, tier 2, and tier 1/new tier 1.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sz w:val="20"/>
              </w:rPr>
              <w:t>Platform count</w:t>
            </w:r>
          </w:p>
        </w:tc>
        <w:tc>
          <w:tcPr>
            <w:tcW w:type="dxa" w:w="7056"/>
            <w:vAlign w:val="center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sz w:val="20"/>
              </w:rPr>
              <w:t>Count of endorsed social media/social platforms from the multiple-response platform item.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sz w:val="20"/>
              </w:rPr>
              <w:t>DASS_any</w:t>
            </w:r>
          </w:p>
        </w:tc>
        <w:tc>
          <w:tcPr>
            <w:tcW w:type="dxa" w:w="7056"/>
            <w:vAlign w:val="center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sz w:val="20"/>
              </w:rPr>
              <w:t>Binary indicator coded 1 when at least one DASS-21 subscale was in the moderate-or-higher severity range.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sz w:val="20"/>
              </w:rPr>
              <w:t>Potential PSMU</w:t>
            </w:r>
          </w:p>
        </w:tc>
        <w:tc>
          <w:tcPr>
            <w:tcW w:type="dxa" w:w="7056"/>
            <w:vAlign w:val="center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sz w:val="20"/>
              </w:rPr>
              <w:t>Screening-positive potential problematic social media use defined as BSMAS total score &gt;=19.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sz w:val="20"/>
              </w:rPr>
              <w:t>Smoking and drinking</w:t>
            </w:r>
          </w:p>
        </w:tc>
        <w:tc>
          <w:tcPr>
            <w:tcW w:type="dxa" w:w="7056"/>
            <w:vAlign w:val="center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sz w:val="20"/>
              </w:rPr>
              <w:t>Frequency responses were harmonized into binary current smoking and drinking indicators for modeling.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sz w:val="20"/>
              </w:rPr>
              <w:t>Residence before college</w:t>
            </w:r>
          </w:p>
        </w:tc>
        <w:tc>
          <w:tcPr>
            <w:tcW w:type="dxa" w:w="7056"/>
            <w:vAlign w:val="center"/>
          </w:tcPr>
          <w:p>
            <w:pPr>
              <w:spacing w:after="40"/>
            </w:pPr>
            <w:r>
              <w:rPr>
                <w:rFonts w:ascii="Times New Roman" w:hAnsi="Times New Roman" w:eastAsia="Times New Roman"/>
                <w:sz w:val="20"/>
              </w:rPr>
              <w:t>Raw residence categories were harmonized into Urban versus Rural/suburban county for the cleaned analytic dataset.</w:t>
            </w:r>
          </w:p>
        </w:tc>
      </w:tr>
    </w:tbl>
    <w:p>
      <w:pPr>
        <w:spacing w:before="80"/>
      </w:pPr>
      <w:r>
        <w:rPr>
          <w:rFonts w:ascii="Times New Roman" w:hAnsi="Times New Roman" w:eastAsia="Times New Roman"/>
          <w:i/>
          <w:color w:val="595959"/>
          <w:sz w:val="20"/>
        </w:rPr>
        <w:t>Source note: For the published scales, please see the references cited in the main manuscript for the BSMAS and the validated Chinese DASS-21. Demographic and online-behavior items were study-developed or adapted for the broader parent survey after review of related student-health questionnaires.</w:t>
      </w:r>
    </w:p>
    <w:sectPr w:rsidR="00FC693F" w:rsidRPr="0006063C" w:rsidSect="00034616">
      <w:footerReference w:type="default" r:id="rId9"/>
      <w:pgSz w:w="12240" w:h="15840"/>
      <w:pgMar w:top="1080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40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F4E79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b w:val="0"/>
      <w:i/>
      <w:iCs/>
      <w:color w:val="4F81BD" w:themeColor="accent1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Times New Roman" w:hAnsi="Times New Roman" w:eastAsia="Times New Roman"/>
      <w:b/>
      <w:bCs/>
      <w:i/>
      <w:color w:val="4F81BD"/>
      <w:sz w:val="20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