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9FA2F" w14:textId="77777777" w:rsidR="00290600" w:rsidRDefault="00290600" w:rsidP="001E40B4">
      <w:pPr>
        <w:pStyle w:val="Titel"/>
      </w:pPr>
    </w:p>
    <w:p w14:paraId="6C4D97E6" w14:textId="77777777" w:rsidR="00290600" w:rsidRDefault="00290600" w:rsidP="001E40B4">
      <w:pPr>
        <w:pStyle w:val="Titel"/>
      </w:pPr>
    </w:p>
    <w:p w14:paraId="6BE5233A" w14:textId="327A311C" w:rsidR="00FC2735" w:rsidRPr="00862A6B" w:rsidRDefault="00FC2735" w:rsidP="001E40B4">
      <w:pPr>
        <w:pStyle w:val="Titel"/>
      </w:pPr>
      <w:r w:rsidRPr="00862A6B">
        <w:t>Supplementary Material</w:t>
      </w:r>
      <w:r w:rsidR="003F6AA9">
        <w:t xml:space="preserve"> </w:t>
      </w:r>
      <w:r w:rsidR="003F6AA9" w:rsidRPr="003F6AA9">
        <w:rPr>
          <w:sz w:val="24"/>
          <w:szCs w:val="24"/>
        </w:rPr>
        <w:t>to</w:t>
      </w:r>
    </w:p>
    <w:p w14:paraId="6496CD28" w14:textId="77777777" w:rsidR="00862A6B" w:rsidRDefault="00862A6B" w:rsidP="001E40B4"/>
    <w:p w14:paraId="250DC051" w14:textId="6D8FF1A8" w:rsidR="002C6D3A" w:rsidRPr="001E40B4" w:rsidRDefault="00862A6B" w:rsidP="001E40B4">
      <w:pPr>
        <w:rPr>
          <w:i/>
          <w:iCs/>
        </w:rPr>
      </w:pPr>
      <w:r w:rsidRPr="003F24A2">
        <w:rPr>
          <w:b/>
          <w:bCs/>
        </w:rPr>
        <w:t>Competences and Legislative Powers for Food Policies: A Systematic Approach Applied to the EU and Germany</w:t>
      </w:r>
      <w:r w:rsidR="003F24A2">
        <w:t xml:space="preserve">; </w:t>
      </w:r>
      <w:r w:rsidR="00421FDF">
        <w:t xml:space="preserve">manuscript submitted to </w:t>
      </w:r>
      <w:r w:rsidR="003F24A2">
        <w:t xml:space="preserve">the </w:t>
      </w:r>
      <w:r w:rsidR="00421FDF" w:rsidRPr="00421FDF">
        <w:rPr>
          <w:i/>
          <w:iCs/>
        </w:rPr>
        <w:t>BMC Public Health Collection on Promoting equity in health through food environment actions</w:t>
      </w:r>
      <w:r w:rsidR="00421FDF">
        <w:rPr>
          <w:i/>
          <w:iCs/>
        </w:rPr>
        <w:t xml:space="preserve"> – March 2026</w:t>
      </w:r>
    </w:p>
    <w:p w14:paraId="2FFA7BB8" w14:textId="77777777" w:rsidR="00225C91" w:rsidRPr="00FC2735" w:rsidRDefault="00225C91" w:rsidP="001E40B4"/>
    <w:p w14:paraId="3EA9AD86" w14:textId="77777777" w:rsidR="00290600" w:rsidRDefault="00290600" w:rsidP="001E40B4">
      <w:r>
        <w:br w:type="page"/>
      </w:r>
    </w:p>
    <w:p w14:paraId="0A4B13B4" w14:textId="1BA98F41" w:rsidR="009C586E" w:rsidRPr="004B4DF2" w:rsidRDefault="00FC2735" w:rsidP="00FB3731">
      <w:pPr>
        <w:pStyle w:val="Untertitel"/>
        <w:ind w:right="-410"/>
      </w:pPr>
      <w:r w:rsidRPr="004B4DF2">
        <w:lastRenderedPageBreak/>
        <w:t xml:space="preserve">Table of </w:t>
      </w:r>
      <w:r w:rsidR="008354F5" w:rsidRPr="004B4DF2">
        <w:t>Content</w:t>
      </w:r>
      <w:r w:rsidR="00290600" w:rsidRPr="004B4DF2">
        <w:t>s</w:t>
      </w:r>
    </w:p>
    <w:p w14:paraId="7AE23879" w14:textId="793837EE" w:rsidR="003801E3" w:rsidRDefault="001361C9">
      <w:pPr>
        <w:pStyle w:val="Verzeichnis1"/>
        <w:rPr>
          <w:rFonts w:asciiTheme="minorHAnsi" w:eastAsiaTheme="minorEastAsia" w:hAnsiTheme="minorHAnsi" w:cstheme="minorBidi"/>
          <w:noProof/>
          <w:color w:val="auto"/>
          <w:kern w:val="2"/>
          <w:szCs w:val="24"/>
          <w:lang w:val="de-DE"/>
          <w14:ligatures w14:val="standardContextual"/>
        </w:rPr>
      </w:pPr>
      <w:r w:rsidRPr="004B4DF2">
        <w:rPr>
          <w:rFonts w:cs="Times New Roman"/>
        </w:rPr>
        <w:fldChar w:fldCharType="begin"/>
      </w:r>
      <w:r w:rsidRPr="004B4DF2">
        <w:rPr>
          <w:rFonts w:cs="Times New Roman"/>
        </w:rPr>
        <w:instrText xml:space="preserve"> TOC \o "1-2" \h \z \u </w:instrText>
      </w:r>
      <w:r w:rsidRPr="004B4DF2">
        <w:rPr>
          <w:rFonts w:cs="Times New Roman"/>
        </w:rPr>
        <w:fldChar w:fldCharType="separate"/>
      </w:r>
      <w:hyperlink w:anchor="_Toc221783960" w:history="1">
        <w:r w:rsidR="003801E3" w:rsidRPr="000C059C">
          <w:rPr>
            <w:rStyle w:val="Hyperlink"/>
            <w:noProof/>
          </w:rPr>
          <w:t>1.</w:t>
        </w:r>
        <w:r w:rsidR="003801E3">
          <w:rPr>
            <w:rFonts w:asciiTheme="minorHAnsi" w:eastAsiaTheme="minorEastAsia" w:hAnsiTheme="minorHAnsi" w:cstheme="minorBidi"/>
            <w:noProof/>
            <w:color w:val="auto"/>
            <w:kern w:val="2"/>
            <w:szCs w:val="24"/>
            <w:lang w:val="de-DE"/>
            <w14:ligatures w14:val="standardContextual"/>
          </w:rPr>
          <w:tab/>
        </w:r>
        <w:r w:rsidR="003801E3" w:rsidRPr="000C059C">
          <w:rPr>
            <w:rStyle w:val="Hyperlink"/>
            <w:noProof/>
          </w:rPr>
          <w:t>Lists of tables and figures</w:t>
        </w:r>
        <w:r w:rsidR="003801E3">
          <w:rPr>
            <w:noProof/>
            <w:webHidden/>
          </w:rPr>
          <w:tab/>
        </w:r>
        <w:r w:rsidR="003801E3">
          <w:rPr>
            <w:noProof/>
            <w:webHidden/>
          </w:rPr>
          <w:fldChar w:fldCharType="begin"/>
        </w:r>
        <w:r w:rsidR="003801E3">
          <w:rPr>
            <w:noProof/>
            <w:webHidden/>
          </w:rPr>
          <w:instrText xml:space="preserve"> PAGEREF _Toc221783960 \h </w:instrText>
        </w:r>
        <w:r w:rsidR="003801E3">
          <w:rPr>
            <w:noProof/>
            <w:webHidden/>
          </w:rPr>
        </w:r>
        <w:r w:rsidR="003801E3">
          <w:rPr>
            <w:noProof/>
            <w:webHidden/>
          </w:rPr>
          <w:fldChar w:fldCharType="separate"/>
        </w:r>
        <w:r w:rsidR="003801E3">
          <w:rPr>
            <w:noProof/>
            <w:webHidden/>
          </w:rPr>
          <w:t>3</w:t>
        </w:r>
        <w:r w:rsidR="003801E3">
          <w:rPr>
            <w:noProof/>
            <w:webHidden/>
          </w:rPr>
          <w:fldChar w:fldCharType="end"/>
        </w:r>
      </w:hyperlink>
    </w:p>
    <w:p w14:paraId="539D786F" w14:textId="6967182E" w:rsidR="003801E3" w:rsidRDefault="003801E3">
      <w:pPr>
        <w:pStyle w:val="Verzeichnis1"/>
        <w:rPr>
          <w:rFonts w:asciiTheme="minorHAnsi" w:eastAsiaTheme="minorEastAsia" w:hAnsiTheme="minorHAnsi" w:cstheme="minorBidi"/>
          <w:noProof/>
          <w:color w:val="auto"/>
          <w:kern w:val="2"/>
          <w:szCs w:val="24"/>
          <w:lang w:val="de-DE"/>
          <w14:ligatures w14:val="standardContextual"/>
        </w:rPr>
      </w:pPr>
      <w:hyperlink w:anchor="_Toc221783961" w:history="1">
        <w:r w:rsidRPr="000C059C">
          <w:rPr>
            <w:rStyle w:val="Hyperlink"/>
            <w:noProof/>
          </w:rPr>
          <w:t>2.</w:t>
        </w:r>
        <w:r>
          <w:rPr>
            <w:rFonts w:asciiTheme="minorHAnsi" w:eastAsiaTheme="minorEastAsia" w:hAnsiTheme="minorHAnsi" w:cstheme="minorBidi"/>
            <w:noProof/>
            <w:color w:val="auto"/>
            <w:kern w:val="2"/>
            <w:szCs w:val="24"/>
            <w:lang w:val="de-DE"/>
            <w14:ligatures w14:val="standardContextual"/>
          </w:rPr>
          <w:tab/>
        </w:r>
        <w:r w:rsidRPr="000C059C">
          <w:rPr>
            <w:rStyle w:val="Hyperlink"/>
            <w:noProof/>
          </w:rPr>
          <w:t>INFORMAS Food-Environment Policy Index (Food-EPI)</w:t>
        </w:r>
        <w:r>
          <w:rPr>
            <w:noProof/>
            <w:webHidden/>
          </w:rPr>
          <w:tab/>
        </w:r>
        <w:r>
          <w:rPr>
            <w:noProof/>
            <w:webHidden/>
          </w:rPr>
          <w:fldChar w:fldCharType="begin"/>
        </w:r>
        <w:r>
          <w:rPr>
            <w:noProof/>
            <w:webHidden/>
          </w:rPr>
          <w:instrText xml:space="preserve"> PAGEREF _Toc221783961 \h </w:instrText>
        </w:r>
        <w:r>
          <w:rPr>
            <w:noProof/>
            <w:webHidden/>
          </w:rPr>
        </w:r>
        <w:r>
          <w:rPr>
            <w:noProof/>
            <w:webHidden/>
          </w:rPr>
          <w:fldChar w:fldCharType="separate"/>
        </w:r>
        <w:r>
          <w:rPr>
            <w:noProof/>
            <w:webHidden/>
          </w:rPr>
          <w:t>4</w:t>
        </w:r>
        <w:r>
          <w:rPr>
            <w:noProof/>
            <w:webHidden/>
          </w:rPr>
          <w:fldChar w:fldCharType="end"/>
        </w:r>
      </w:hyperlink>
    </w:p>
    <w:p w14:paraId="5B222B8A" w14:textId="2717864B" w:rsidR="003801E3" w:rsidRDefault="003801E3">
      <w:pPr>
        <w:pStyle w:val="Verzeichnis1"/>
        <w:rPr>
          <w:rFonts w:asciiTheme="minorHAnsi" w:eastAsiaTheme="minorEastAsia" w:hAnsiTheme="minorHAnsi" w:cstheme="minorBidi"/>
          <w:noProof/>
          <w:color w:val="auto"/>
          <w:kern w:val="2"/>
          <w:szCs w:val="24"/>
          <w:lang w:val="de-DE"/>
          <w14:ligatures w14:val="standardContextual"/>
        </w:rPr>
      </w:pPr>
      <w:hyperlink w:anchor="_Toc221783962" w:history="1">
        <w:r w:rsidRPr="000C059C">
          <w:rPr>
            <w:rStyle w:val="Hyperlink"/>
            <w:noProof/>
          </w:rPr>
          <w:t>3.</w:t>
        </w:r>
        <w:r>
          <w:rPr>
            <w:rFonts w:asciiTheme="minorHAnsi" w:eastAsiaTheme="minorEastAsia" w:hAnsiTheme="minorHAnsi" w:cstheme="minorBidi"/>
            <w:noProof/>
            <w:color w:val="auto"/>
            <w:kern w:val="2"/>
            <w:szCs w:val="24"/>
            <w:lang w:val="de-DE"/>
            <w14:ligatures w14:val="standardContextual"/>
          </w:rPr>
          <w:tab/>
        </w:r>
        <w:r w:rsidRPr="000C059C">
          <w:rPr>
            <w:rStyle w:val="Hyperlink"/>
            <w:noProof/>
          </w:rPr>
          <w:t>Methodology</w:t>
        </w:r>
        <w:r>
          <w:rPr>
            <w:noProof/>
            <w:webHidden/>
          </w:rPr>
          <w:tab/>
        </w:r>
        <w:r>
          <w:rPr>
            <w:noProof/>
            <w:webHidden/>
          </w:rPr>
          <w:fldChar w:fldCharType="begin"/>
        </w:r>
        <w:r>
          <w:rPr>
            <w:noProof/>
            <w:webHidden/>
          </w:rPr>
          <w:instrText xml:space="preserve"> PAGEREF _Toc221783962 \h </w:instrText>
        </w:r>
        <w:r>
          <w:rPr>
            <w:noProof/>
            <w:webHidden/>
          </w:rPr>
        </w:r>
        <w:r>
          <w:rPr>
            <w:noProof/>
            <w:webHidden/>
          </w:rPr>
          <w:fldChar w:fldCharType="separate"/>
        </w:r>
        <w:r>
          <w:rPr>
            <w:noProof/>
            <w:webHidden/>
          </w:rPr>
          <w:t>13</w:t>
        </w:r>
        <w:r>
          <w:rPr>
            <w:noProof/>
            <w:webHidden/>
          </w:rPr>
          <w:fldChar w:fldCharType="end"/>
        </w:r>
      </w:hyperlink>
    </w:p>
    <w:p w14:paraId="48ED3894" w14:textId="0AE964FC" w:rsidR="003801E3" w:rsidRDefault="003801E3">
      <w:pPr>
        <w:pStyle w:val="Verzeichnis2"/>
        <w:rPr>
          <w:rFonts w:asciiTheme="minorHAnsi" w:eastAsiaTheme="minorEastAsia" w:hAnsiTheme="minorHAnsi" w:cstheme="minorBidi"/>
          <w:noProof/>
          <w:color w:val="auto"/>
          <w:kern w:val="2"/>
          <w:szCs w:val="24"/>
          <w:lang w:val="de-DE"/>
          <w14:ligatures w14:val="standardContextual"/>
        </w:rPr>
      </w:pPr>
      <w:hyperlink w:anchor="_Toc221783963" w:history="1">
        <w:r w:rsidRPr="000C059C">
          <w:rPr>
            <w:rStyle w:val="Hyperlink"/>
            <w:noProof/>
          </w:rPr>
          <w:t>i.</w:t>
        </w:r>
        <w:r>
          <w:rPr>
            <w:rFonts w:asciiTheme="minorHAnsi" w:eastAsiaTheme="minorEastAsia" w:hAnsiTheme="minorHAnsi" w:cstheme="minorBidi"/>
            <w:noProof/>
            <w:color w:val="auto"/>
            <w:kern w:val="2"/>
            <w:szCs w:val="24"/>
            <w:lang w:val="de-DE"/>
            <w14:ligatures w14:val="standardContextual"/>
          </w:rPr>
          <w:tab/>
        </w:r>
        <w:r w:rsidRPr="000C059C">
          <w:rPr>
            <w:rStyle w:val="Hyperlink"/>
            <w:noProof/>
          </w:rPr>
          <w:t>Analysis of legal and policy documents</w:t>
        </w:r>
        <w:r>
          <w:rPr>
            <w:noProof/>
            <w:webHidden/>
          </w:rPr>
          <w:tab/>
        </w:r>
        <w:r>
          <w:rPr>
            <w:noProof/>
            <w:webHidden/>
          </w:rPr>
          <w:fldChar w:fldCharType="begin"/>
        </w:r>
        <w:r>
          <w:rPr>
            <w:noProof/>
            <w:webHidden/>
          </w:rPr>
          <w:instrText xml:space="preserve"> PAGEREF _Toc221783963 \h </w:instrText>
        </w:r>
        <w:r>
          <w:rPr>
            <w:noProof/>
            <w:webHidden/>
          </w:rPr>
        </w:r>
        <w:r>
          <w:rPr>
            <w:noProof/>
            <w:webHidden/>
          </w:rPr>
          <w:fldChar w:fldCharType="separate"/>
        </w:r>
        <w:r>
          <w:rPr>
            <w:noProof/>
            <w:webHidden/>
          </w:rPr>
          <w:t>13</w:t>
        </w:r>
        <w:r>
          <w:rPr>
            <w:noProof/>
            <w:webHidden/>
          </w:rPr>
          <w:fldChar w:fldCharType="end"/>
        </w:r>
      </w:hyperlink>
    </w:p>
    <w:p w14:paraId="4FA071BD" w14:textId="76BBAFDD" w:rsidR="003801E3" w:rsidRDefault="003801E3">
      <w:pPr>
        <w:pStyle w:val="Verzeichnis2"/>
        <w:rPr>
          <w:rFonts w:asciiTheme="minorHAnsi" w:eastAsiaTheme="minorEastAsia" w:hAnsiTheme="minorHAnsi" w:cstheme="minorBidi"/>
          <w:noProof/>
          <w:color w:val="auto"/>
          <w:kern w:val="2"/>
          <w:szCs w:val="24"/>
          <w:lang w:val="de-DE"/>
          <w14:ligatures w14:val="standardContextual"/>
        </w:rPr>
      </w:pPr>
      <w:hyperlink w:anchor="_Toc221783964" w:history="1">
        <w:r w:rsidRPr="000C059C">
          <w:rPr>
            <w:rStyle w:val="Hyperlink"/>
            <w:noProof/>
          </w:rPr>
          <w:t>ii.</w:t>
        </w:r>
        <w:r>
          <w:rPr>
            <w:rFonts w:asciiTheme="minorHAnsi" w:eastAsiaTheme="minorEastAsia" w:hAnsiTheme="minorHAnsi" w:cstheme="minorBidi"/>
            <w:noProof/>
            <w:color w:val="auto"/>
            <w:kern w:val="2"/>
            <w:szCs w:val="24"/>
            <w:lang w:val="de-DE"/>
            <w14:ligatures w14:val="standardContextual"/>
          </w:rPr>
          <w:tab/>
        </w:r>
        <w:r w:rsidRPr="000C059C">
          <w:rPr>
            <w:rStyle w:val="Hyperlink"/>
            <w:noProof/>
          </w:rPr>
          <w:t>Key informant interviews</w:t>
        </w:r>
        <w:r>
          <w:rPr>
            <w:noProof/>
            <w:webHidden/>
          </w:rPr>
          <w:tab/>
        </w:r>
        <w:r>
          <w:rPr>
            <w:noProof/>
            <w:webHidden/>
          </w:rPr>
          <w:fldChar w:fldCharType="begin"/>
        </w:r>
        <w:r>
          <w:rPr>
            <w:noProof/>
            <w:webHidden/>
          </w:rPr>
          <w:instrText xml:space="preserve"> PAGEREF _Toc221783964 \h </w:instrText>
        </w:r>
        <w:r>
          <w:rPr>
            <w:noProof/>
            <w:webHidden/>
          </w:rPr>
        </w:r>
        <w:r>
          <w:rPr>
            <w:noProof/>
            <w:webHidden/>
          </w:rPr>
          <w:fldChar w:fldCharType="separate"/>
        </w:r>
        <w:r>
          <w:rPr>
            <w:noProof/>
            <w:webHidden/>
          </w:rPr>
          <w:t>16</w:t>
        </w:r>
        <w:r>
          <w:rPr>
            <w:noProof/>
            <w:webHidden/>
          </w:rPr>
          <w:fldChar w:fldCharType="end"/>
        </w:r>
      </w:hyperlink>
    </w:p>
    <w:p w14:paraId="59382FAF" w14:textId="2EF7CDBE" w:rsidR="003801E3" w:rsidRDefault="003801E3">
      <w:pPr>
        <w:pStyle w:val="Verzeichnis2"/>
        <w:rPr>
          <w:rFonts w:asciiTheme="minorHAnsi" w:eastAsiaTheme="minorEastAsia" w:hAnsiTheme="minorHAnsi" w:cstheme="minorBidi"/>
          <w:noProof/>
          <w:color w:val="auto"/>
          <w:kern w:val="2"/>
          <w:szCs w:val="24"/>
          <w:lang w:val="de-DE"/>
          <w14:ligatures w14:val="standardContextual"/>
        </w:rPr>
      </w:pPr>
      <w:hyperlink w:anchor="_Toc221783965" w:history="1">
        <w:r w:rsidRPr="000C059C">
          <w:rPr>
            <w:rStyle w:val="Hyperlink"/>
            <w:noProof/>
          </w:rPr>
          <w:t>iii.</w:t>
        </w:r>
        <w:r>
          <w:rPr>
            <w:rFonts w:asciiTheme="minorHAnsi" w:eastAsiaTheme="minorEastAsia" w:hAnsiTheme="minorHAnsi" w:cstheme="minorBidi"/>
            <w:noProof/>
            <w:color w:val="auto"/>
            <w:kern w:val="2"/>
            <w:szCs w:val="24"/>
            <w:lang w:val="de-DE"/>
            <w14:ligatures w14:val="standardContextual"/>
          </w:rPr>
          <w:tab/>
        </w:r>
        <w:r w:rsidRPr="000C059C">
          <w:rPr>
            <w:rStyle w:val="Hyperlink"/>
            <w:noProof/>
          </w:rPr>
          <w:t>Expert consultations</w:t>
        </w:r>
        <w:r>
          <w:rPr>
            <w:noProof/>
            <w:webHidden/>
          </w:rPr>
          <w:tab/>
        </w:r>
        <w:r>
          <w:rPr>
            <w:noProof/>
            <w:webHidden/>
          </w:rPr>
          <w:fldChar w:fldCharType="begin"/>
        </w:r>
        <w:r>
          <w:rPr>
            <w:noProof/>
            <w:webHidden/>
          </w:rPr>
          <w:instrText xml:space="preserve"> PAGEREF _Toc221783965 \h </w:instrText>
        </w:r>
        <w:r>
          <w:rPr>
            <w:noProof/>
            <w:webHidden/>
          </w:rPr>
        </w:r>
        <w:r>
          <w:rPr>
            <w:noProof/>
            <w:webHidden/>
          </w:rPr>
          <w:fldChar w:fldCharType="separate"/>
        </w:r>
        <w:r>
          <w:rPr>
            <w:noProof/>
            <w:webHidden/>
          </w:rPr>
          <w:t>25</w:t>
        </w:r>
        <w:r>
          <w:rPr>
            <w:noProof/>
            <w:webHidden/>
          </w:rPr>
          <w:fldChar w:fldCharType="end"/>
        </w:r>
      </w:hyperlink>
    </w:p>
    <w:p w14:paraId="5B8A261D" w14:textId="6073D865" w:rsidR="003801E3" w:rsidRDefault="003801E3">
      <w:pPr>
        <w:pStyle w:val="Verzeichnis1"/>
        <w:rPr>
          <w:rFonts w:asciiTheme="minorHAnsi" w:eastAsiaTheme="minorEastAsia" w:hAnsiTheme="minorHAnsi" w:cstheme="minorBidi"/>
          <w:noProof/>
          <w:color w:val="auto"/>
          <w:kern w:val="2"/>
          <w:szCs w:val="24"/>
          <w:lang w:val="de-DE"/>
          <w14:ligatures w14:val="standardContextual"/>
        </w:rPr>
      </w:pPr>
      <w:hyperlink w:anchor="_Toc221783966" w:history="1">
        <w:r w:rsidRPr="000C059C">
          <w:rPr>
            <w:rStyle w:val="Hyperlink"/>
            <w:noProof/>
          </w:rPr>
          <w:t>4.</w:t>
        </w:r>
        <w:r>
          <w:rPr>
            <w:rFonts w:asciiTheme="minorHAnsi" w:eastAsiaTheme="minorEastAsia" w:hAnsiTheme="minorHAnsi" w:cstheme="minorBidi"/>
            <w:noProof/>
            <w:color w:val="auto"/>
            <w:kern w:val="2"/>
            <w:szCs w:val="24"/>
            <w:lang w:val="de-DE"/>
            <w14:ligatures w14:val="standardContextual"/>
          </w:rPr>
          <w:tab/>
        </w:r>
        <w:r w:rsidRPr="000C059C">
          <w:rPr>
            <w:rStyle w:val="Hyperlink"/>
            <w:noProof/>
          </w:rPr>
          <w:t>List of documents / sources</w:t>
        </w:r>
        <w:r>
          <w:rPr>
            <w:noProof/>
            <w:webHidden/>
          </w:rPr>
          <w:tab/>
        </w:r>
        <w:r>
          <w:rPr>
            <w:noProof/>
            <w:webHidden/>
          </w:rPr>
          <w:fldChar w:fldCharType="begin"/>
        </w:r>
        <w:r>
          <w:rPr>
            <w:noProof/>
            <w:webHidden/>
          </w:rPr>
          <w:instrText xml:space="preserve"> PAGEREF _Toc221783966 \h </w:instrText>
        </w:r>
        <w:r>
          <w:rPr>
            <w:noProof/>
            <w:webHidden/>
          </w:rPr>
        </w:r>
        <w:r>
          <w:rPr>
            <w:noProof/>
            <w:webHidden/>
          </w:rPr>
          <w:fldChar w:fldCharType="separate"/>
        </w:r>
        <w:r>
          <w:rPr>
            <w:noProof/>
            <w:webHidden/>
          </w:rPr>
          <w:t>34</w:t>
        </w:r>
        <w:r>
          <w:rPr>
            <w:noProof/>
            <w:webHidden/>
          </w:rPr>
          <w:fldChar w:fldCharType="end"/>
        </w:r>
      </w:hyperlink>
    </w:p>
    <w:p w14:paraId="5DE502B2" w14:textId="09E8DFFD" w:rsidR="003801E3" w:rsidRDefault="003801E3">
      <w:pPr>
        <w:pStyle w:val="Verzeichnis2"/>
        <w:rPr>
          <w:rFonts w:asciiTheme="minorHAnsi" w:eastAsiaTheme="minorEastAsia" w:hAnsiTheme="minorHAnsi" w:cstheme="minorBidi"/>
          <w:noProof/>
          <w:color w:val="auto"/>
          <w:kern w:val="2"/>
          <w:szCs w:val="24"/>
          <w:lang w:val="de-DE"/>
          <w14:ligatures w14:val="standardContextual"/>
        </w:rPr>
      </w:pPr>
      <w:hyperlink w:anchor="_Toc221783967" w:history="1">
        <w:r w:rsidRPr="000C059C">
          <w:rPr>
            <w:rStyle w:val="Hyperlink"/>
            <w:noProof/>
          </w:rPr>
          <w:t>iv.</w:t>
        </w:r>
        <w:r>
          <w:rPr>
            <w:rFonts w:asciiTheme="minorHAnsi" w:eastAsiaTheme="minorEastAsia" w:hAnsiTheme="minorHAnsi" w:cstheme="minorBidi"/>
            <w:noProof/>
            <w:color w:val="auto"/>
            <w:kern w:val="2"/>
            <w:szCs w:val="24"/>
            <w:lang w:val="de-DE"/>
            <w14:ligatures w14:val="standardContextual"/>
          </w:rPr>
          <w:tab/>
        </w:r>
        <w:r w:rsidRPr="000C059C">
          <w:rPr>
            <w:rStyle w:val="Hyperlink"/>
            <w:noProof/>
          </w:rPr>
          <w:t>Binding legal documents</w:t>
        </w:r>
        <w:r>
          <w:rPr>
            <w:noProof/>
            <w:webHidden/>
          </w:rPr>
          <w:tab/>
        </w:r>
        <w:r>
          <w:rPr>
            <w:noProof/>
            <w:webHidden/>
          </w:rPr>
          <w:fldChar w:fldCharType="begin"/>
        </w:r>
        <w:r>
          <w:rPr>
            <w:noProof/>
            <w:webHidden/>
          </w:rPr>
          <w:instrText xml:space="preserve"> PAGEREF _Toc221783967 \h </w:instrText>
        </w:r>
        <w:r>
          <w:rPr>
            <w:noProof/>
            <w:webHidden/>
          </w:rPr>
        </w:r>
        <w:r>
          <w:rPr>
            <w:noProof/>
            <w:webHidden/>
          </w:rPr>
          <w:fldChar w:fldCharType="separate"/>
        </w:r>
        <w:r>
          <w:rPr>
            <w:noProof/>
            <w:webHidden/>
          </w:rPr>
          <w:t>34</w:t>
        </w:r>
        <w:r>
          <w:rPr>
            <w:noProof/>
            <w:webHidden/>
          </w:rPr>
          <w:fldChar w:fldCharType="end"/>
        </w:r>
      </w:hyperlink>
    </w:p>
    <w:p w14:paraId="35A5508A" w14:textId="169438A3" w:rsidR="003801E3" w:rsidRDefault="003801E3">
      <w:pPr>
        <w:pStyle w:val="Verzeichnis2"/>
        <w:rPr>
          <w:rFonts w:asciiTheme="minorHAnsi" w:eastAsiaTheme="minorEastAsia" w:hAnsiTheme="minorHAnsi" w:cstheme="minorBidi"/>
          <w:noProof/>
          <w:color w:val="auto"/>
          <w:kern w:val="2"/>
          <w:szCs w:val="24"/>
          <w:lang w:val="de-DE"/>
          <w14:ligatures w14:val="standardContextual"/>
        </w:rPr>
      </w:pPr>
      <w:hyperlink w:anchor="_Toc221783968" w:history="1">
        <w:r w:rsidRPr="000C059C">
          <w:rPr>
            <w:rStyle w:val="Hyperlink"/>
            <w:noProof/>
          </w:rPr>
          <w:t>v.</w:t>
        </w:r>
        <w:r>
          <w:rPr>
            <w:rFonts w:asciiTheme="minorHAnsi" w:eastAsiaTheme="minorEastAsia" w:hAnsiTheme="minorHAnsi" w:cstheme="minorBidi"/>
            <w:noProof/>
            <w:color w:val="auto"/>
            <w:kern w:val="2"/>
            <w:szCs w:val="24"/>
            <w:lang w:val="de-DE"/>
            <w14:ligatures w14:val="standardContextual"/>
          </w:rPr>
          <w:tab/>
        </w:r>
        <w:r w:rsidRPr="000C059C">
          <w:rPr>
            <w:rStyle w:val="Hyperlink"/>
            <w:noProof/>
          </w:rPr>
          <w:t>Judicial decisions</w:t>
        </w:r>
        <w:r>
          <w:rPr>
            <w:noProof/>
            <w:webHidden/>
          </w:rPr>
          <w:tab/>
        </w:r>
        <w:r>
          <w:rPr>
            <w:noProof/>
            <w:webHidden/>
          </w:rPr>
          <w:fldChar w:fldCharType="begin"/>
        </w:r>
        <w:r>
          <w:rPr>
            <w:noProof/>
            <w:webHidden/>
          </w:rPr>
          <w:instrText xml:space="preserve"> PAGEREF _Toc221783968 \h </w:instrText>
        </w:r>
        <w:r>
          <w:rPr>
            <w:noProof/>
            <w:webHidden/>
          </w:rPr>
        </w:r>
        <w:r>
          <w:rPr>
            <w:noProof/>
            <w:webHidden/>
          </w:rPr>
          <w:fldChar w:fldCharType="separate"/>
        </w:r>
        <w:r>
          <w:rPr>
            <w:noProof/>
            <w:webHidden/>
          </w:rPr>
          <w:t>38</w:t>
        </w:r>
        <w:r>
          <w:rPr>
            <w:noProof/>
            <w:webHidden/>
          </w:rPr>
          <w:fldChar w:fldCharType="end"/>
        </w:r>
      </w:hyperlink>
    </w:p>
    <w:p w14:paraId="220F8ADD" w14:textId="6D240D0D" w:rsidR="003801E3" w:rsidRDefault="003801E3">
      <w:pPr>
        <w:pStyle w:val="Verzeichnis2"/>
        <w:rPr>
          <w:rFonts w:asciiTheme="minorHAnsi" w:eastAsiaTheme="minorEastAsia" w:hAnsiTheme="minorHAnsi" w:cstheme="minorBidi"/>
          <w:noProof/>
          <w:color w:val="auto"/>
          <w:kern w:val="2"/>
          <w:szCs w:val="24"/>
          <w:lang w:val="de-DE"/>
          <w14:ligatures w14:val="standardContextual"/>
        </w:rPr>
      </w:pPr>
      <w:hyperlink w:anchor="_Toc221783969" w:history="1">
        <w:r w:rsidRPr="000C059C">
          <w:rPr>
            <w:rStyle w:val="Hyperlink"/>
            <w:noProof/>
          </w:rPr>
          <w:t>vi.</w:t>
        </w:r>
        <w:r>
          <w:rPr>
            <w:rFonts w:asciiTheme="minorHAnsi" w:eastAsiaTheme="minorEastAsia" w:hAnsiTheme="minorHAnsi" w:cstheme="minorBidi"/>
            <w:noProof/>
            <w:color w:val="auto"/>
            <w:kern w:val="2"/>
            <w:szCs w:val="24"/>
            <w:lang w:val="de-DE"/>
            <w14:ligatures w14:val="standardContextual"/>
          </w:rPr>
          <w:tab/>
        </w:r>
        <w:r w:rsidRPr="000C059C">
          <w:rPr>
            <w:rStyle w:val="Hyperlink"/>
            <w:noProof/>
          </w:rPr>
          <w:t>Legal assessments</w:t>
        </w:r>
        <w:r>
          <w:rPr>
            <w:noProof/>
            <w:webHidden/>
          </w:rPr>
          <w:tab/>
        </w:r>
        <w:r>
          <w:rPr>
            <w:noProof/>
            <w:webHidden/>
          </w:rPr>
          <w:fldChar w:fldCharType="begin"/>
        </w:r>
        <w:r>
          <w:rPr>
            <w:noProof/>
            <w:webHidden/>
          </w:rPr>
          <w:instrText xml:space="preserve"> PAGEREF _Toc221783969 \h </w:instrText>
        </w:r>
        <w:r>
          <w:rPr>
            <w:noProof/>
            <w:webHidden/>
          </w:rPr>
        </w:r>
        <w:r>
          <w:rPr>
            <w:noProof/>
            <w:webHidden/>
          </w:rPr>
          <w:fldChar w:fldCharType="separate"/>
        </w:r>
        <w:r>
          <w:rPr>
            <w:noProof/>
            <w:webHidden/>
          </w:rPr>
          <w:t>39</w:t>
        </w:r>
        <w:r>
          <w:rPr>
            <w:noProof/>
            <w:webHidden/>
          </w:rPr>
          <w:fldChar w:fldCharType="end"/>
        </w:r>
      </w:hyperlink>
    </w:p>
    <w:p w14:paraId="494EF3C3" w14:textId="295A75E1" w:rsidR="003801E3" w:rsidRDefault="003801E3">
      <w:pPr>
        <w:pStyle w:val="Verzeichnis2"/>
        <w:rPr>
          <w:rFonts w:asciiTheme="minorHAnsi" w:eastAsiaTheme="minorEastAsia" w:hAnsiTheme="minorHAnsi" w:cstheme="minorBidi"/>
          <w:noProof/>
          <w:color w:val="auto"/>
          <w:kern w:val="2"/>
          <w:szCs w:val="24"/>
          <w:lang w:val="de-DE"/>
          <w14:ligatures w14:val="standardContextual"/>
        </w:rPr>
      </w:pPr>
      <w:hyperlink w:anchor="_Toc221783970" w:history="1">
        <w:r w:rsidRPr="000C059C">
          <w:rPr>
            <w:rStyle w:val="Hyperlink"/>
            <w:noProof/>
          </w:rPr>
          <w:t>vii.</w:t>
        </w:r>
        <w:r>
          <w:rPr>
            <w:rFonts w:asciiTheme="minorHAnsi" w:eastAsiaTheme="minorEastAsia" w:hAnsiTheme="minorHAnsi" w:cstheme="minorBidi"/>
            <w:noProof/>
            <w:color w:val="auto"/>
            <w:kern w:val="2"/>
            <w:szCs w:val="24"/>
            <w:lang w:val="de-DE"/>
            <w14:ligatures w14:val="standardContextual"/>
          </w:rPr>
          <w:tab/>
        </w:r>
        <w:r w:rsidRPr="000C059C">
          <w:rPr>
            <w:rStyle w:val="Hyperlink"/>
            <w:noProof/>
          </w:rPr>
          <w:t>Government documents and communications</w:t>
        </w:r>
        <w:r>
          <w:rPr>
            <w:noProof/>
            <w:webHidden/>
          </w:rPr>
          <w:tab/>
        </w:r>
        <w:r>
          <w:rPr>
            <w:noProof/>
            <w:webHidden/>
          </w:rPr>
          <w:fldChar w:fldCharType="begin"/>
        </w:r>
        <w:r>
          <w:rPr>
            <w:noProof/>
            <w:webHidden/>
          </w:rPr>
          <w:instrText xml:space="preserve"> PAGEREF _Toc221783970 \h </w:instrText>
        </w:r>
        <w:r>
          <w:rPr>
            <w:noProof/>
            <w:webHidden/>
          </w:rPr>
        </w:r>
        <w:r>
          <w:rPr>
            <w:noProof/>
            <w:webHidden/>
          </w:rPr>
          <w:fldChar w:fldCharType="separate"/>
        </w:r>
        <w:r>
          <w:rPr>
            <w:noProof/>
            <w:webHidden/>
          </w:rPr>
          <w:t>40</w:t>
        </w:r>
        <w:r>
          <w:rPr>
            <w:noProof/>
            <w:webHidden/>
          </w:rPr>
          <w:fldChar w:fldCharType="end"/>
        </w:r>
      </w:hyperlink>
    </w:p>
    <w:p w14:paraId="74EA5182" w14:textId="7025A77F" w:rsidR="003801E3" w:rsidRDefault="003801E3">
      <w:pPr>
        <w:pStyle w:val="Verzeichnis2"/>
        <w:rPr>
          <w:rFonts w:asciiTheme="minorHAnsi" w:eastAsiaTheme="minorEastAsia" w:hAnsiTheme="minorHAnsi" w:cstheme="minorBidi"/>
          <w:noProof/>
          <w:color w:val="auto"/>
          <w:kern w:val="2"/>
          <w:szCs w:val="24"/>
          <w:lang w:val="de-DE"/>
          <w14:ligatures w14:val="standardContextual"/>
        </w:rPr>
      </w:pPr>
      <w:hyperlink w:anchor="_Toc221783971" w:history="1">
        <w:r w:rsidRPr="000C059C">
          <w:rPr>
            <w:rStyle w:val="Hyperlink"/>
            <w:noProof/>
          </w:rPr>
          <w:t>viii.</w:t>
        </w:r>
        <w:r>
          <w:rPr>
            <w:rFonts w:asciiTheme="minorHAnsi" w:eastAsiaTheme="minorEastAsia" w:hAnsiTheme="minorHAnsi" w:cstheme="minorBidi"/>
            <w:noProof/>
            <w:color w:val="auto"/>
            <w:kern w:val="2"/>
            <w:szCs w:val="24"/>
            <w:lang w:val="de-DE"/>
            <w14:ligatures w14:val="standardContextual"/>
          </w:rPr>
          <w:tab/>
        </w:r>
        <w:r w:rsidRPr="000C059C">
          <w:rPr>
            <w:rStyle w:val="Hyperlink"/>
            <w:noProof/>
          </w:rPr>
          <w:t>Publications by national and international public sector organisations</w:t>
        </w:r>
        <w:r>
          <w:rPr>
            <w:noProof/>
            <w:webHidden/>
          </w:rPr>
          <w:tab/>
        </w:r>
        <w:r>
          <w:rPr>
            <w:noProof/>
            <w:webHidden/>
          </w:rPr>
          <w:fldChar w:fldCharType="begin"/>
        </w:r>
        <w:r>
          <w:rPr>
            <w:noProof/>
            <w:webHidden/>
          </w:rPr>
          <w:instrText xml:space="preserve"> PAGEREF _Toc221783971 \h </w:instrText>
        </w:r>
        <w:r>
          <w:rPr>
            <w:noProof/>
            <w:webHidden/>
          </w:rPr>
        </w:r>
        <w:r>
          <w:rPr>
            <w:noProof/>
            <w:webHidden/>
          </w:rPr>
          <w:fldChar w:fldCharType="separate"/>
        </w:r>
        <w:r>
          <w:rPr>
            <w:noProof/>
            <w:webHidden/>
          </w:rPr>
          <w:t>47</w:t>
        </w:r>
        <w:r>
          <w:rPr>
            <w:noProof/>
            <w:webHidden/>
          </w:rPr>
          <w:fldChar w:fldCharType="end"/>
        </w:r>
      </w:hyperlink>
    </w:p>
    <w:p w14:paraId="5C45E7FA" w14:textId="2632EB89" w:rsidR="003801E3" w:rsidRDefault="003801E3">
      <w:pPr>
        <w:pStyle w:val="Verzeichnis2"/>
        <w:rPr>
          <w:rFonts w:asciiTheme="minorHAnsi" w:eastAsiaTheme="minorEastAsia" w:hAnsiTheme="minorHAnsi" w:cstheme="minorBidi"/>
          <w:noProof/>
          <w:color w:val="auto"/>
          <w:kern w:val="2"/>
          <w:szCs w:val="24"/>
          <w:lang w:val="de-DE"/>
          <w14:ligatures w14:val="standardContextual"/>
        </w:rPr>
      </w:pPr>
      <w:hyperlink w:anchor="_Toc221783972" w:history="1">
        <w:r w:rsidRPr="000C059C">
          <w:rPr>
            <w:rStyle w:val="Hyperlink"/>
            <w:noProof/>
          </w:rPr>
          <w:t>ix.</w:t>
        </w:r>
        <w:r>
          <w:rPr>
            <w:rFonts w:asciiTheme="minorHAnsi" w:eastAsiaTheme="minorEastAsia" w:hAnsiTheme="minorHAnsi" w:cstheme="minorBidi"/>
            <w:noProof/>
            <w:color w:val="auto"/>
            <w:kern w:val="2"/>
            <w:szCs w:val="24"/>
            <w:lang w:val="de-DE"/>
            <w14:ligatures w14:val="standardContextual"/>
          </w:rPr>
          <w:tab/>
        </w:r>
        <w:r w:rsidRPr="000C059C">
          <w:rPr>
            <w:rStyle w:val="Hyperlink"/>
            <w:noProof/>
          </w:rPr>
          <w:t>Scientific literature</w:t>
        </w:r>
        <w:r>
          <w:rPr>
            <w:noProof/>
            <w:webHidden/>
          </w:rPr>
          <w:tab/>
        </w:r>
        <w:r>
          <w:rPr>
            <w:noProof/>
            <w:webHidden/>
          </w:rPr>
          <w:fldChar w:fldCharType="begin"/>
        </w:r>
        <w:r>
          <w:rPr>
            <w:noProof/>
            <w:webHidden/>
          </w:rPr>
          <w:instrText xml:space="preserve"> PAGEREF _Toc221783972 \h </w:instrText>
        </w:r>
        <w:r>
          <w:rPr>
            <w:noProof/>
            <w:webHidden/>
          </w:rPr>
        </w:r>
        <w:r>
          <w:rPr>
            <w:noProof/>
            <w:webHidden/>
          </w:rPr>
          <w:fldChar w:fldCharType="separate"/>
        </w:r>
        <w:r>
          <w:rPr>
            <w:noProof/>
            <w:webHidden/>
          </w:rPr>
          <w:t>52</w:t>
        </w:r>
        <w:r>
          <w:rPr>
            <w:noProof/>
            <w:webHidden/>
          </w:rPr>
          <w:fldChar w:fldCharType="end"/>
        </w:r>
      </w:hyperlink>
    </w:p>
    <w:p w14:paraId="00E1567D" w14:textId="50DFA37D" w:rsidR="003801E3" w:rsidRDefault="003801E3">
      <w:pPr>
        <w:pStyle w:val="Verzeichnis2"/>
        <w:rPr>
          <w:rFonts w:asciiTheme="minorHAnsi" w:eastAsiaTheme="minorEastAsia" w:hAnsiTheme="minorHAnsi" w:cstheme="minorBidi"/>
          <w:noProof/>
          <w:color w:val="auto"/>
          <w:kern w:val="2"/>
          <w:szCs w:val="24"/>
          <w:lang w:val="de-DE"/>
          <w14:ligatures w14:val="standardContextual"/>
        </w:rPr>
      </w:pPr>
      <w:hyperlink w:anchor="_Toc221783973" w:history="1">
        <w:r w:rsidRPr="000C059C">
          <w:rPr>
            <w:rStyle w:val="Hyperlink"/>
            <w:noProof/>
          </w:rPr>
          <w:t>x.</w:t>
        </w:r>
        <w:r>
          <w:rPr>
            <w:rFonts w:asciiTheme="minorHAnsi" w:eastAsiaTheme="minorEastAsia" w:hAnsiTheme="minorHAnsi" w:cstheme="minorBidi"/>
            <w:noProof/>
            <w:color w:val="auto"/>
            <w:kern w:val="2"/>
            <w:szCs w:val="24"/>
            <w:lang w:val="de-DE"/>
            <w14:ligatures w14:val="standardContextual"/>
          </w:rPr>
          <w:tab/>
        </w:r>
        <w:r w:rsidRPr="000C059C">
          <w:rPr>
            <w:rStyle w:val="Hyperlink"/>
            <w:noProof/>
          </w:rPr>
          <w:t>Media publications</w:t>
        </w:r>
        <w:r>
          <w:rPr>
            <w:noProof/>
            <w:webHidden/>
          </w:rPr>
          <w:tab/>
        </w:r>
        <w:r>
          <w:rPr>
            <w:noProof/>
            <w:webHidden/>
          </w:rPr>
          <w:fldChar w:fldCharType="begin"/>
        </w:r>
        <w:r>
          <w:rPr>
            <w:noProof/>
            <w:webHidden/>
          </w:rPr>
          <w:instrText xml:space="preserve"> PAGEREF _Toc221783973 \h </w:instrText>
        </w:r>
        <w:r>
          <w:rPr>
            <w:noProof/>
            <w:webHidden/>
          </w:rPr>
        </w:r>
        <w:r>
          <w:rPr>
            <w:noProof/>
            <w:webHidden/>
          </w:rPr>
          <w:fldChar w:fldCharType="separate"/>
        </w:r>
        <w:r>
          <w:rPr>
            <w:noProof/>
            <w:webHidden/>
          </w:rPr>
          <w:t>54</w:t>
        </w:r>
        <w:r>
          <w:rPr>
            <w:noProof/>
            <w:webHidden/>
          </w:rPr>
          <w:fldChar w:fldCharType="end"/>
        </w:r>
      </w:hyperlink>
    </w:p>
    <w:p w14:paraId="5FBFA5C4" w14:textId="5C81D198" w:rsidR="003801E3" w:rsidRDefault="003801E3">
      <w:pPr>
        <w:pStyle w:val="Verzeichnis2"/>
        <w:rPr>
          <w:rFonts w:asciiTheme="minorHAnsi" w:eastAsiaTheme="minorEastAsia" w:hAnsiTheme="minorHAnsi" w:cstheme="minorBidi"/>
          <w:noProof/>
          <w:color w:val="auto"/>
          <w:kern w:val="2"/>
          <w:szCs w:val="24"/>
          <w:lang w:val="de-DE"/>
          <w14:ligatures w14:val="standardContextual"/>
        </w:rPr>
      </w:pPr>
      <w:hyperlink w:anchor="_Toc221783974" w:history="1">
        <w:r w:rsidRPr="000C059C">
          <w:rPr>
            <w:rStyle w:val="Hyperlink"/>
            <w:noProof/>
          </w:rPr>
          <w:t>xi.</w:t>
        </w:r>
        <w:r>
          <w:rPr>
            <w:rFonts w:asciiTheme="minorHAnsi" w:eastAsiaTheme="minorEastAsia" w:hAnsiTheme="minorHAnsi" w:cstheme="minorBidi"/>
            <w:noProof/>
            <w:color w:val="auto"/>
            <w:kern w:val="2"/>
            <w:szCs w:val="24"/>
            <w:lang w:val="de-DE"/>
            <w14:ligatures w14:val="standardContextual"/>
          </w:rPr>
          <w:tab/>
        </w:r>
        <w:r w:rsidRPr="000C059C">
          <w:rPr>
            <w:rStyle w:val="Hyperlink"/>
            <w:noProof/>
          </w:rPr>
          <w:t>Communications by civil society and professional organisations</w:t>
        </w:r>
        <w:r>
          <w:rPr>
            <w:noProof/>
            <w:webHidden/>
          </w:rPr>
          <w:tab/>
        </w:r>
        <w:r>
          <w:rPr>
            <w:noProof/>
            <w:webHidden/>
          </w:rPr>
          <w:fldChar w:fldCharType="begin"/>
        </w:r>
        <w:r>
          <w:rPr>
            <w:noProof/>
            <w:webHidden/>
          </w:rPr>
          <w:instrText xml:space="preserve"> PAGEREF _Toc221783974 \h </w:instrText>
        </w:r>
        <w:r>
          <w:rPr>
            <w:noProof/>
            <w:webHidden/>
          </w:rPr>
        </w:r>
        <w:r>
          <w:rPr>
            <w:noProof/>
            <w:webHidden/>
          </w:rPr>
          <w:fldChar w:fldCharType="separate"/>
        </w:r>
        <w:r>
          <w:rPr>
            <w:noProof/>
            <w:webHidden/>
          </w:rPr>
          <w:t>54</w:t>
        </w:r>
        <w:r>
          <w:rPr>
            <w:noProof/>
            <w:webHidden/>
          </w:rPr>
          <w:fldChar w:fldCharType="end"/>
        </w:r>
      </w:hyperlink>
    </w:p>
    <w:p w14:paraId="56473E6C" w14:textId="2C1784FB" w:rsidR="003801E3" w:rsidRDefault="003801E3">
      <w:pPr>
        <w:pStyle w:val="Verzeichnis1"/>
        <w:rPr>
          <w:rFonts w:asciiTheme="minorHAnsi" w:eastAsiaTheme="minorEastAsia" w:hAnsiTheme="minorHAnsi" w:cstheme="minorBidi"/>
          <w:noProof/>
          <w:color w:val="auto"/>
          <w:kern w:val="2"/>
          <w:szCs w:val="24"/>
          <w:lang w:val="de-DE"/>
          <w14:ligatures w14:val="standardContextual"/>
        </w:rPr>
      </w:pPr>
      <w:hyperlink w:anchor="_Toc221783975" w:history="1">
        <w:r w:rsidRPr="000C059C">
          <w:rPr>
            <w:rStyle w:val="Hyperlink"/>
            <w:noProof/>
          </w:rPr>
          <w:t>5.</w:t>
        </w:r>
        <w:r>
          <w:rPr>
            <w:rFonts w:asciiTheme="minorHAnsi" w:eastAsiaTheme="minorEastAsia" w:hAnsiTheme="minorHAnsi" w:cstheme="minorBidi"/>
            <w:noProof/>
            <w:color w:val="auto"/>
            <w:kern w:val="2"/>
            <w:szCs w:val="24"/>
            <w:lang w:val="de-DE"/>
            <w14:ligatures w14:val="standardContextual"/>
          </w:rPr>
          <w:tab/>
        </w:r>
        <w:r w:rsidRPr="000C059C">
          <w:rPr>
            <w:rStyle w:val="Hyperlink"/>
            <w:noProof/>
          </w:rPr>
          <w:t>Distribution of competences and legislative powers</w:t>
        </w:r>
        <w:r>
          <w:rPr>
            <w:noProof/>
            <w:webHidden/>
          </w:rPr>
          <w:tab/>
        </w:r>
        <w:r>
          <w:rPr>
            <w:noProof/>
            <w:webHidden/>
          </w:rPr>
          <w:fldChar w:fldCharType="begin"/>
        </w:r>
        <w:r>
          <w:rPr>
            <w:noProof/>
            <w:webHidden/>
          </w:rPr>
          <w:instrText xml:space="preserve"> PAGEREF _Toc221783975 \h </w:instrText>
        </w:r>
        <w:r>
          <w:rPr>
            <w:noProof/>
            <w:webHidden/>
          </w:rPr>
        </w:r>
        <w:r>
          <w:rPr>
            <w:noProof/>
            <w:webHidden/>
          </w:rPr>
          <w:fldChar w:fldCharType="separate"/>
        </w:r>
        <w:r>
          <w:rPr>
            <w:noProof/>
            <w:webHidden/>
          </w:rPr>
          <w:t>56</w:t>
        </w:r>
        <w:r>
          <w:rPr>
            <w:noProof/>
            <w:webHidden/>
          </w:rPr>
          <w:fldChar w:fldCharType="end"/>
        </w:r>
      </w:hyperlink>
    </w:p>
    <w:p w14:paraId="0632A1F6" w14:textId="6ED56F6C" w:rsidR="003801E3" w:rsidRDefault="003801E3">
      <w:pPr>
        <w:pStyle w:val="Verzeichnis2"/>
        <w:rPr>
          <w:rFonts w:asciiTheme="minorHAnsi" w:eastAsiaTheme="minorEastAsia" w:hAnsiTheme="minorHAnsi" w:cstheme="minorBidi"/>
          <w:noProof/>
          <w:color w:val="auto"/>
          <w:kern w:val="2"/>
          <w:szCs w:val="24"/>
          <w:lang w:val="de-DE"/>
          <w14:ligatures w14:val="standardContextual"/>
        </w:rPr>
      </w:pPr>
      <w:hyperlink w:anchor="_Toc221783976" w:history="1">
        <w:r w:rsidRPr="000C059C">
          <w:rPr>
            <w:rStyle w:val="Hyperlink"/>
            <w:noProof/>
          </w:rPr>
          <w:t>i.</w:t>
        </w:r>
        <w:r>
          <w:rPr>
            <w:rFonts w:asciiTheme="minorHAnsi" w:eastAsiaTheme="minorEastAsia" w:hAnsiTheme="minorHAnsi" w:cstheme="minorBidi"/>
            <w:noProof/>
            <w:color w:val="auto"/>
            <w:kern w:val="2"/>
            <w:szCs w:val="24"/>
            <w:lang w:val="de-DE"/>
            <w14:ligatures w14:val="standardContextual"/>
          </w:rPr>
          <w:tab/>
        </w:r>
        <w:r w:rsidRPr="000C059C">
          <w:rPr>
            <w:rStyle w:val="Hyperlink"/>
            <w:noProof/>
          </w:rPr>
          <w:t>General distribution of competences and legislative powers</w:t>
        </w:r>
        <w:r>
          <w:rPr>
            <w:noProof/>
            <w:webHidden/>
          </w:rPr>
          <w:tab/>
        </w:r>
        <w:r>
          <w:rPr>
            <w:noProof/>
            <w:webHidden/>
          </w:rPr>
          <w:fldChar w:fldCharType="begin"/>
        </w:r>
        <w:r>
          <w:rPr>
            <w:noProof/>
            <w:webHidden/>
          </w:rPr>
          <w:instrText xml:space="preserve"> PAGEREF _Toc221783976 \h </w:instrText>
        </w:r>
        <w:r>
          <w:rPr>
            <w:noProof/>
            <w:webHidden/>
          </w:rPr>
        </w:r>
        <w:r>
          <w:rPr>
            <w:noProof/>
            <w:webHidden/>
          </w:rPr>
          <w:fldChar w:fldCharType="separate"/>
        </w:r>
        <w:r>
          <w:rPr>
            <w:noProof/>
            <w:webHidden/>
          </w:rPr>
          <w:t>56</w:t>
        </w:r>
        <w:r>
          <w:rPr>
            <w:noProof/>
            <w:webHidden/>
          </w:rPr>
          <w:fldChar w:fldCharType="end"/>
        </w:r>
      </w:hyperlink>
    </w:p>
    <w:p w14:paraId="5F7BFCFC" w14:textId="2FC37C45" w:rsidR="003801E3" w:rsidRDefault="003801E3">
      <w:pPr>
        <w:pStyle w:val="Verzeichnis2"/>
        <w:rPr>
          <w:rFonts w:asciiTheme="minorHAnsi" w:eastAsiaTheme="minorEastAsia" w:hAnsiTheme="minorHAnsi" w:cstheme="minorBidi"/>
          <w:noProof/>
          <w:color w:val="auto"/>
          <w:kern w:val="2"/>
          <w:szCs w:val="24"/>
          <w:lang w:val="de-DE"/>
          <w14:ligatures w14:val="standardContextual"/>
        </w:rPr>
      </w:pPr>
      <w:hyperlink w:anchor="_Toc221783977" w:history="1">
        <w:r w:rsidRPr="000C059C">
          <w:rPr>
            <w:rStyle w:val="Hyperlink"/>
            <w:noProof/>
          </w:rPr>
          <w:t>ii.</w:t>
        </w:r>
        <w:r>
          <w:rPr>
            <w:rFonts w:asciiTheme="minorHAnsi" w:eastAsiaTheme="minorEastAsia" w:hAnsiTheme="minorHAnsi" w:cstheme="minorBidi"/>
            <w:noProof/>
            <w:color w:val="auto"/>
            <w:kern w:val="2"/>
            <w:szCs w:val="24"/>
            <w:lang w:val="de-DE"/>
            <w14:ligatures w14:val="standardContextual"/>
          </w:rPr>
          <w:tab/>
        </w:r>
        <w:r w:rsidRPr="000C059C">
          <w:rPr>
            <w:rStyle w:val="Hyperlink"/>
            <w:noProof/>
          </w:rPr>
          <w:t>Primary competences of the European Union</w:t>
        </w:r>
        <w:r>
          <w:rPr>
            <w:noProof/>
            <w:webHidden/>
          </w:rPr>
          <w:tab/>
        </w:r>
        <w:r>
          <w:rPr>
            <w:noProof/>
            <w:webHidden/>
          </w:rPr>
          <w:fldChar w:fldCharType="begin"/>
        </w:r>
        <w:r>
          <w:rPr>
            <w:noProof/>
            <w:webHidden/>
          </w:rPr>
          <w:instrText xml:space="preserve"> PAGEREF _Toc221783977 \h </w:instrText>
        </w:r>
        <w:r>
          <w:rPr>
            <w:noProof/>
            <w:webHidden/>
          </w:rPr>
        </w:r>
        <w:r>
          <w:rPr>
            <w:noProof/>
            <w:webHidden/>
          </w:rPr>
          <w:fldChar w:fldCharType="separate"/>
        </w:r>
        <w:r>
          <w:rPr>
            <w:noProof/>
            <w:webHidden/>
          </w:rPr>
          <w:t>58</w:t>
        </w:r>
        <w:r>
          <w:rPr>
            <w:noProof/>
            <w:webHidden/>
          </w:rPr>
          <w:fldChar w:fldCharType="end"/>
        </w:r>
      </w:hyperlink>
    </w:p>
    <w:p w14:paraId="32A5263D" w14:textId="367D333A" w:rsidR="003801E3" w:rsidRDefault="003801E3">
      <w:pPr>
        <w:pStyle w:val="Verzeichnis2"/>
        <w:rPr>
          <w:rFonts w:asciiTheme="minorHAnsi" w:eastAsiaTheme="minorEastAsia" w:hAnsiTheme="minorHAnsi" w:cstheme="minorBidi"/>
          <w:noProof/>
          <w:color w:val="auto"/>
          <w:kern w:val="2"/>
          <w:szCs w:val="24"/>
          <w:lang w:val="de-DE"/>
          <w14:ligatures w14:val="standardContextual"/>
        </w:rPr>
      </w:pPr>
      <w:hyperlink w:anchor="_Toc221783978" w:history="1">
        <w:r w:rsidRPr="000C059C">
          <w:rPr>
            <w:rStyle w:val="Hyperlink"/>
            <w:noProof/>
          </w:rPr>
          <w:t>iii.</w:t>
        </w:r>
        <w:r>
          <w:rPr>
            <w:rFonts w:asciiTheme="minorHAnsi" w:eastAsiaTheme="minorEastAsia" w:hAnsiTheme="minorHAnsi" w:cstheme="minorBidi"/>
            <w:noProof/>
            <w:color w:val="auto"/>
            <w:kern w:val="2"/>
            <w:szCs w:val="24"/>
            <w:lang w:val="de-DE"/>
            <w14:ligatures w14:val="standardContextual"/>
          </w:rPr>
          <w:tab/>
        </w:r>
        <w:r w:rsidRPr="000C059C">
          <w:rPr>
            <w:rStyle w:val="Hyperlink"/>
            <w:noProof/>
          </w:rPr>
          <w:t>Primary legislative powers of the federal government</w:t>
        </w:r>
        <w:r>
          <w:rPr>
            <w:noProof/>
            <w:webHidden/>
          </w:rPr>
          <w:tab/>
        </w:r>
        <w:r>
          <w:rPr>
            <w:noProof/>
            <w:webHidden/>
          </w:rPr>
          <w:fldChar w:fldCharType="begin"/>
        </w:r>
        <w:r>
          <w:rPr>
            <w:noProof/>
            <w:webHidden/>
          </w:rPr>
          <w:instrText xml:space="preserve"> PAGEREF _Toc221783978 \h </w:instrText>
        </w:r>
        <w:r>
          <w:rPr>
            <w:noProof/>
            <w:webHidden/>
          </w:rPr>
        </w:r>
        <w:r>
          <w:rPr>
            <w:noProof/>
            <w:webHidden/>
          </w:rPr>
          <w:fldChar w:fldCharType="separate"/>
        </w:r>
        <w:r>
          <w:rPr>
            <w:noProof/>
            <w:webHidden/>
          </w:rPr>
          <w:t>61</w:t>
        </w:r>
        <w:r>
          <w:rPr>
            <w:noProof/>
            <w:webHidden/>
          </w:rPr>
          <w:fldChar w:fldCharType="end"/>
        </w:r>
      </w:hyperlink>
    </w:p>
    <w:p w14:paraId="04B8D213" w14:textId="67FA2EBF" w:rsidR="003801E3" w:rsidRDefault="003801E3">
      <w:pPr>
        <w:pStyle w:val="Verzeichnis2"/>
        <w:rPr>
          <w:rFonts w:asciiTheme="minorHAnsi" w:eastAsiaTheme="minorEastAsia" w:hAnsiTheme="minorHAnsi" w:cstheme="minorBidi"/>
          <w:noProof/>
          <w:color w:val="auto"/>
          <w:kern w:val="2"/>
          <w:szCs w:val="24"/>
          <w:lang w:val="de-DE"/>
          <w14:ligatures w14:val="standardContextual"/>
        </w:rPr>
      </w:pPr>
      <w:hyperlink w:anchor="_Toc221783979" w:history="1">
        <w:r w:rsidRPr="000C059C">
          <w:rPr>
            <w:rStyle w:val="Hyperlink"/>
            <w:noProof/>
          </w:rPr>
          <w:t>iv.</w:t>
        </w:r>
        <w:r>
          <w:rPr>
            <w:rFonts w:asciiTheme="minorHAnsi" w:eastAsiaTheme="minorEastAsia" w:hAnsiTheme="minorHAnsi" w:cstheme="minorBidi"/>
            <w:noProof/>
            <w:color w:val="auto"/>
            <w:kern w:val="2"/>
            <w:szCs w:val="24"/>
            <w:lang w:val="de-DE"/>
            <w14:ligatures w14:val="standardContextual"/>
          </w:rPr>
          <w:tab/>
        </w:r>
        <w:r w:rsidRPr="000C059C">
          <w:rPr>
            <w:rStyle w:val="Hyperlink"/>
            <w:noProof/>
          </w:rPr>
          <w:t>Primary legislative powers of the states</w:t>
        </w:r>
        <w:r>
          <w:rPr>
            <w:noProof/>
            <w:webHidden/>
          </w:rPr>
          <w:tab/>
        </w:r>
        <w:r>
          <w:rPr>
            <w:noProof/>
            <w:webHidden/>
          </w:rPr>
          <w:fldChar w:fldCharType="begin"/>
        </w:r>
        <w:r>
          <w:rPr>
            <w:noProof/>
            <w:webHidden/>
          </w:rPr>
          <w:instrText xml:space="preserve"> PAGEREF _Toc221783979 \h </w:instrText>
        </w:r>
        <w:r>
          <w:rPr>
            <w:noProof/>
            <w:webHidden/>
          </w:rPr>
        </w:r>
        <w:r>
          <w:rPr>
            <w:noProof/>
            <w:webHidden/>
          </w:rPr>
          <w:fldChar w:fldCharType="separate"/>
        </w:r>
        <w:r>
          <w:rPr>
            <w:noProof/>
            <w:webHidden/>
          </w:rPr>
          <w:t>62</w:t>
        </w:r>
        <w:r>
          <w:rPr>
            <w:noProof/>
            <w:webHidden/>
          </w:rPr>
          <w:fldChar w:fldCharType="end"/>
        </w:r>
      </w:hyperlink>
    </w:p>
    <w:p w14:paraId="415FC332" w14:textId="4D6074A2" w:rsidR="003801E3" w:rsidRDefault="003801E3">
      <w:pPr>
        <w:pStyle w:val="Verzeichnis2"/>
        <w:rPr>
          <w:rFonts w:asciiTheme="minorHAnsi" w:eastAsiaTheme="minorEastAsia" w:hAnsiTheme="minorHAnsi" w:cstheme="minorBidi"/>
          <w:noProof/>
          <w:color w:val="auto"/>
          <w:kern w:val="2"/>
          <w:szCs w:val="24"/>
          <w:lang w:val="de-DE"/>
          <w14:ligatures w14:val="standardContextual"/>
        </w:rPr>
      </w:pPr>
      <w:hyperlink w:anchor="_Toc221783980" w:history="1">
        <w:r w:rsidRPr="000C059C">
          <w:rPr>
            <w:rStyle w:val="Hyperlink"/>
            <w:noProof/>
          </w:rPr>
          <w:t>v.</w:t>
        </w:r>
        <w:r>
          <w:rPr>
            <w:rFonts w:asciiTheme="minorHAnsi" w:eastAsiaTheme="minorEastAsia" w:hAnsiTheme="minorHAnsi" w:cstheme="minorBidi"/>
            <w:noProof/>
            <w:color w:val="auto"/>
            <w:kern w:val="2"/>
            <w:szCs w:val="24"/>
            <w:lang w:val="de-DE"/>
            <w14:ligatures w14:val="standardContextual"/>
          </w:rPr>
          <w:tab/>
        </w:r>
        <w:r w:rsidRPr="000C059C">
          <w:rPr>
            <w:rStyle w:val="Hyperlink"/>
            <w:noProof/>
          </w:rPr>
          <w:t>Shared legislative power</w:t>
        </w:r>
        <w:r>
          <w:rPr>
            <w:noProof/>
            <w:webHidden/>
          </w:rPr>
          <w:tab/>
        </w:r>
        <w:r>
          <w:rPr>
            <w:noProof/>
            <w:webHidden/>
          </w:rPr>
          <w:fldChar w:fldCharType="begin"/>
        </w:r>
        <w:r>
          <w:rPr>
            <w:noProof/>
            <w:webHidden/>
          </w:rPr>
          <w:instrText xml:space="preserve"> PAGEREF _Toc221783980 \h </w:instrText>
        </w:r>
        <w:r>
          <w:rPr>
            <w:noProof/>
            <w:webHidden/>
          </w:rPr>
        </w:r>
        <w:r>
          <w:rPr>
            <w:noProof/>
            <w:webHidden/>
          </w:rPr>
          <w:fldChar w:fldCharType="separate"/>
        </w:r>
        <w:r>
          <w:rPr>
            <w:noProof/>
            <w:webHidden/>
          </w:rPr>
          <w:t>64</w:t>
        </w:r>
        <w:r>
          <w:rPr>
            <w:noProof/>
            <w:webHidden/>
          </w:rPr>
          <w:fldChar w:fldCharType="end"/>
        </w:r>
      </w:hyperlink>
    </w:p>
    <w:p w14:paraId="11D03A05" w14:textId="7F91ABA3" w:rsidR="003801E3" w:rsidRDefault="003801E3">
      <w:pPr>
        <w:pStyle w:val="Verzeichnis2"/>
        <w:rPr>
          <w:rFonts w:asciiTheme="minorHAnsi" w:eastAsiaTheme="minorEastAsia" w:hAnsiTheme="minorHAnsi" w:cstheme="minorBidi"/>
          <w:noProof/>
          <w:color w:val="auto"/>
          <w:kern w:val="2"/>
          <w:szCs w:val="24"/>
          <w:lang w:val="de-DE"/>
          <w14:ligatures w14:val="standardContextual"/>
        </w:rPr>
      </w:pPr>
      <w:hyperlink w:anchor="_Toc221783981" w:history="1">
        <w:r w:rsidRPr="000C059C">
          <w:rPr>
            <w:rStyle w:val="Hyperlink"/>
            <w:noProof/>
          </w:rPr>
          <w:t>vi.</w:t>
        </w:r>
        <w:r>
          <w:rPr>
            <w:rFonts w:asciiTheme="minorHAnsi" w:eastAsiaTheme="minorEastAsia" w:hAnsiTheme="minorHAnsi" w:cstheme="minorBidi"/>
            <w:noProof/>
            <w:color w:val="auto"/>
            <w:kern w:val="2"/>
            <w:szCs w:val="24"/>
            <w:lang w:val="de-DE"/>
            <w14:ligatures w14:val="standardContextual"/>
          </w:rPr>
          <w:tab/>
        </w:r>
        <w:r w:rsidRPr="000C059C">
          <w:rPr>
            <w:rStyle w:val="Hyperlink"/>
            <w:noProof/>
          </w:rPr>
          <w:t>Overview for all Food-EPI indicators: Who may act?</w:t>
        </w:r>
        <w:r>
          <w:rPr>
            <w:noProof/>
            <w:webHidden/>
          </w:rPr>
          <w:tab/>
        </w:r>
        <w:r>
          <w:rPr>
            <w:noProof/>
            <w:webHidden/>
          </w:rPr>
          <w:fldChar w:fldCharType="begin"/>
        </w:r>
        <w:r>
          <w:rPr>
            <w:noProof/>
            <w:webHidden/>
          </w:rPr>
          <w:instrText xml:space="preserve"> PAGEREF _Toc221783981 \h </w:instrText>
        </w:r>
        <w:r>
          <w:rPr>
            <w:noProof/>
            <w:webHidden/>
          </w:rPr>
        </w:r>
        <w:r>
          <w:rPr>
            <w:noProof/>
            <w:webHidden/>
          </w:rPr>
          <w:fldChar w:fldCharType="separate"/>
        </w:r>
        <w:r>
          <w:rPr>
            <w:noProof/>
            <w:webHidden/>
          </w:rPr>
          <w:t>67</w:t>
        </w:r>
        <w:r>
          <w:rPr>
            <w:noProof/>
            <w:webHidden/>
          </w:rPr>
          <w:fldChar w:fldCharType="end"/>
        </w:r>
      </w:hyperlink>
    </w:p>
    <w:p w14:paraId="7C4E9805" w14:textId="50452DD3" w:rsidR="003801E3" w:rsidRDefault="003801E3">
      <w:pPr>
        <w:pStyle w:val="Verzeichnis1"/>
        <w:rPr>
          <w:rFonts w:asciiTheme="minorHAnsi" w:eastAsiaTheme="minorEastAsia" w:hAnsiTheme="minorHAnsi" w:cstheme="minorBidi"/>
          <w:noProof/>
          <w:color w:val="auto"/>
          <w:kern w:val="2"/>
          <w:szCs w:val="24"/>
          <w:lang w:val="de-DE"/>
          <w14:ligatures w14:val="standardContextual"/>
        </w:rPr>
      </w:pPr>
      <w:hyperlink w:anchor="_Toc221783982" w:history="1">
        <w:r w:rsidRPr="000C059C">
          <w:rPr>
            <w:rStyle w:val="Hyperlink"/>
            <w:noProof/>
          </w:rPr>
          <w:t>6.</w:t>
        </w:r>
        <w:r>
          <w:rPr>
            <w:rFonts w:asciiTheme="minorHAnsi" w:eastAsiaTheme="minorEastAsia" w:hAnsiTheme="minorHAnsi" w:cstheme="minorBidi"/>
            <w:noProof/>
            <w:color w:val="auto"/>
            <w:kern w:val="2"/>
            <w:szCs w:val="24"/>
            <w:lang w:val="de-DE"/>
            <w14:ligatures w14:val="standardContextual"/>
          </w:rPr>
          <w:tab/>
        </w:r>
        <w:r w:rsidRPr="000C059C">
          <w:rPr>
            <w:rStyle w:val="Hyperlink"/>
            <w:noProof/>
          </w:rPr>
          <w:t>References</w:t>
        </w:r>
        <w:r>
          <w:rPr>
            <w:noProof/>
            <w:webHidden/>
          </w:rPr>
          <w:tab/>
        </w:r>
        <w:r>
          <w:rPr>
            <w:noProof/>
            <w:webHidden/>
          </w:rPr>
          <w:fldChar w:fldCharType="begin"/>
        </w:r>
        <w:r>
          <w:rPr>
            <w:noProof/>
            <w:webHidden/>
          </w:rPr>
          <w:instrText xml:space="preserve"> PAGEREF _Toc221783982 \h </w:instrText>
        </w:r>
        <w:r>
          <w:rPr>
            <w:noProof/>
            <w:webHidden/>
          </w:rPr>
        </w:r>
        <w:r>
          <w:rPr>
            <w:noProof/>
            <w:webHidden/>
          </w:rPr>
          <w:fldChar w:fldCharType="separate"/>
        </w:r>
        <w:r>
          <w:rPr>
            <w:noProof/>
            <w:webHidden/>
          </w:rPr>
          <w:t>77</w:t>
        </w:r>
        <w:r>
          <w:rPr>
            <w:noProof/>
            <w:webHidden/>
          </w:rPr>
          <w:fldChar w:fldCharType="end"/>
        </w:r>
      </w:hyperlink>
    </w:p>
    <w:p w14:paraId="5FA5F889" w14:textId="6E2AFF95" w:rsidR="00290600" w:rsidRDefault="001361C9" w:rsidP="004B4DF2">
      <w:pPr>
        <w:pStyle w:val="Verzeichnis1"/>
        <w:ind w:right="0"/>
        <w:rPr>
          <w:rFonts w:eastAsiaTheme="majorEastAsia"/>
          <w:color w:val="151E1F"/>
          <w:sz w:val="28"/>
          <w:szCs w:val="28"/>
        </w:rPr>
      </w:pPr>
      <w:r w:rsidRPr="004B4DF2">
        <w:fldChar w:fldCharType="end"/>
      </w:r>
      <w:r w:rsidR="00290600">
        <w:br w:type="page"/>
      </w:r>
    </w:p>
    <w:p w14:paraId="019503DA" w14:textId="5D5B1A78" w:rsidR="00290600" w:rsidRPr="004B4DF2" w:rsidRDefault="00290600" w:rsidP="00A372B1">
      <w:pPr>
        <w:pStyle w:val="berschrift1"/>
        <w:ind w:left="709"/>
      </w:pPr>
      <w:bookmarkStart w:id="0" w:name="_Toc221783960"/>
      <w:r w:rsidRPr="004B4DF2">
        <w:lastRenderedPageBreak/>
        <w:t xml:space="preserve">Lists of </w:t>
      </w:r>
      <w:r w:rsidR="00A372B1" w:rsidRPr="004B4DF2">
        <w:t>tables and figures</w:t>
      </w:r>
      <w:bookmarkEnd w:id="0"/>
      <w:r w:rsidR="00A372B1" w:rsidRPr="004B4DF2">
        <w:t xml:space="preserve"> </w:t>
      </w:r>
      <w:r w:rsidRPr="004B4DF2">
        <w:t xml:space="preserve"> </w:t>
      </w:r>
    </w:p>
    <w:p w14:paraId="06037508" w14:textId="4637582F" w:rsidR="00A372B1" w:rsidRPr="004B4DF2" w:rsidRDefault="00A372B1" w:rsidP="00A372B1">
      <w:pPr>
        <w:rPr>
          <w:b/>
          <w:bCs/>
          <w:lang w:eastAsia="en-US"/>
        </w:rPr>
      </w:pPr>
      <w:r w:rsidRPr="004B4DF2">
        <w:rPr>
          <w:b/>
          <w:bCs/>
          <w:lang w:eastAsia="en-US"/>
        </w:rPr>
        <w:t xml:space="preserve">Tables </w:t>
      </w:r>
    </w:p>
    <w:p w14:paraId="1D111B2F" w14:textId="1C43F2B5" w:rsidR="000B61F3" w:rsidRDefault="00290600">
      <w:pPr>
        <w:pStyle w:val="Abbildungsverzeichnis"/>
        <w:tabs>
          <w:tab w:val="right" w:leader="underscore" w:pos="9346"/>
        </w:tabs>
        <w:rPr>
          <w:rFonts w:asciiTheme="minorHAnsi" w:eastAsiaTheme="minorEastAsia" w:hAnsiTheme="minorHAnsi" w:cstheme="minorBidi"/>
          <w:noProof/>
          <w:color w:val="auto"/>
          <w:kern w:val="2"/>
          <w:lang w:val="de-DE"/>
          <w14:ligatures w14:val="standardContextual"/>
        </w:rPr>
      </w:pPr>
      <w:r w:rsidRPr="004B4DF2">
        <w:rPr>
          <w:rStyle w:val="Hyperlink"/>
          <w:noProof/>
        </w:rPr>
        <w:fldChar w:fldCharType="begin"/>
      </w:r>
      <w:r w:rsidRPr="004B4DF2">
        <w:rPr>
          <w:rStyle w:val="Hyperlink"/>
          <w:noProof/>
        </w:rPr>
        <w:instrText xml:space="preserve"> TOC \h \z \c "Table" </w:instrText>
      </w:r>
      <w:r w:rsidRPr="004B4DF2">
        <w:rPr>
          <w:rStyle w:val="Hyperlink"/>
          <w:noProof/>
        </w:rPr>
        <w:fldChar w:fldCharType="separate"/>
      </w:r>
      <w:hyperlink w:anchor="_Toc222325225" w:history="1">
        <w:r w:rsidR="000B61F3" w:rsidRPr="00DF7A37">
          <w:rPr>
            <w:rStyle w:val="Hyperlink"/>
            <w:noProof/>
          </w:rPr>
          <w:t>Table 1 INFORMAS Food-EPI: Policy domains and indicators</w:t>
        </w:r>
        <w:r w:rsidR="000B61F3">
          <w:rPr>
            <w:noProof/>
            <w:webHidden/>
          </w:rPr>
          <w:tab/>
        </w:r>
        <w:r w:rsidR="000B61F3">
          <w:rPr>
            <w:noProof/>
            <w:webHidden/>
          </w:rPr>
          <w:fldChar w:fldCharType="begin"/>
        </w:r>
        <w:r w:rsidR="000B61F3">
          <w:rPr>
            <w:noProof/>
            <w:webHidden/>
          </w:rPr>
          <w:instrText xml:space="preserve"> PAGEREF _Toc222325225 \h </w:instrText>
        </w:r>
        <w:r w:rsidR="000B61F3">
          <w:rPr>
            <w:noProof/>
            <w:webHidden/>
          </w:rPr>
        </w:r>
        <w:r w:rsidR="000B61F3">
          <w:rPr>
            <w:noProof/>
            <w:webHidden/>
          </w:rPr>
          <w:fldChar w:fldCharType="separate"/>
        </w:r>
        <w:r w:rsidR="000B61F3">
          <w:rPr>
            <w:noProof/>
            <w:webHidden/>
          </w:rPr>
          <w:t>5</w:t>
        </w:r>
        <w:r w:rsidR="000B61F3">
          <w:rPr>
            <w:noProof/>
            <w:webHidden/>
          </w:rPr>
          <w:fldChar w:fldCharType="end"/>
        </w:r>
      </w:hyperlink>
    </w:p>
    <w:p w14:paraId="344C9E8F" w14:textId="4E5A8A25" w:rsidR="000B61F3" w:rsidRDefault="000B61F3">
      <w:pPr>
        <w:pStyle w:val="Abbildungsverzeichnis"/>
        <w:tabs>
          <w:tab w:val="right" w:leader="underscore" w:pos="9346"/>
        </w:tabs>
        <w:rPr>
          <w:rFonts w:asciiTheme="minorHAnsi" w:eastAsiaTheme="minorEastAsia" w:hAnsiTheme="minorHAnsi" w:cstheme="minorBidi"/>
          <w:noProof/>
          <w:color w:val="auto"/>
          <w:kern w:val="2"/>
          <w:lang w:val="de-DE"/>
          <w14:ligatures w14:val="standardContextual"/>
        </w:rPr>
      </w:pPr>
      <w:hyperlink w:anchor="_Toc222325226" w:history="1">
        <w:r w:rsidRPr="00DF7A37">
          <w:rPr>
            <w:rStyle w:val="Hyperlink"/>
            <w:noProof/>
          </w:rPr>
          <w:t>Table 2 INFORMAS Food-EPI: Infrastructure support domains and indicators</w:t>
        </w:r>
        <w:r>
          <w:rPr>
            <w:noProof/>
            <w:webHidden/>
          </w:rPr>
          <w:tab/>
        </w:r>
        <w:r>
          <w:rPr>
            <w:noProof/>
            <w:webHidden/>
          </w:rPr>
          <w:fldChar w:fldCharType="begin"/>
        </w:r>
        <w:r>
          <w:rPr>
            <w:noProof/>
            <w:webHidden/>
          </w:rPr>
          <w:instrText xml:space="preserve"> PAGEREF _Toc222325226 \h </w:instrText>
        </w:r>
        <w:r>
          <w:rPr>
            <w:noProof/>
            <w:webHidden/>
          </w:rPr>
        </w:r>
        <w:r>
          <w:rPr>
            <w:noProof/>
            <w:webHidden/>
          </w:rPr>
          <w:fldChar w:fldCharType="separate"/>
        </w:r>
        <w:r>
          <w:rPr>
            <w:noProof/>
            <w:webHidden/>
          </w:rPr>
          <w:t>9</w:t>
        </w:r>
        <w:r>
          <w:rPr>
            <w:noProof/>
            <w:webHidden/>
          </w:rPr>
          <w:fldChar w:fldCharType="end"/>
        </w:r>
      </w:hyperlink>
    </w:p>
    <w:p w14:paraId="7A6BAE89" w14:textId="7D91B446" w:rsidR="000B61F3" w:rsidRDefault="000B61F3">
      <w:pPr>
        <w:pStyle w:val="Abbildungsverzeichnis"/>
        <w:tabs>
          <w:tab w:val="right" w:leader="underscore" w:pos="9346"/>
        </w:tabs>
        <w:rPr>
          <w:rFonts w:asciiTheme="minorHAnsi" w:eastAsiaTheme="minorEastAsia" w:hAnsiTheme="minorHAnsi" w:cstheme="minorBidi"/>
          <w:noProof/>
          <w:color w:val="auto"/>
          <w:kern w:val="2"/>
          <w:lang w:val="de-DE"/>
          <w14:ligatures w14:val="standardContextual"/>
        </w:rPr>
      </w:pPr>
      <w:hyperlink w:anchor="_Toc222325227" w:history="1">
        <w:r w:rsidRPr="00DF7A37">
          <w:rPr>
            <w:rStyle w:val="Hyperlink"/>
            <w:noProof/>
          </w:rPr>
          <w:t>Table 3 Search platforms and search terms</w:t>
        </w:r>
        <w:r>
          <w:rPr>
            <w:noProof/>
            <w:webHidden/>
          </w:rPr>
          <w:tab/>
        </w:r>
        <w:r>
          <w:rPr>
            <w:noProof/>
            <w:webHidden/>
          </w:rPr>
          <w:fldChar w:fldCharType="begin"/>
        </w:r>
        <w:r>
          <w:rPr>
            <w:noProof/>
            <w:webHidden/>
          </w:rPr>
          <w:instrText xml:space="preserve"> PAGEREF _Toc222325227 \h </w:instrText>
        </w:r>
        <w:r>
          <w:rPr>
            <w:noProof/>
            <w:webHidden/>
          </w:rPr>
        </w:r>
        <w:r>
          <w:rPr>
            <w:noProof/>
            <w:webHidden/>
          </w:rPr>
          <w:fldChar w:fldCharType="separate"/>
        </w:r>
        <w:r>
          <w:rPr>
            <w:noProof/>
            <w:webHidden/>
          </w:rPr>
          <w:t>13</w:t>
        </w:r>
        <w:r>
          <w:rPr>
            <w:noProof/>
            <w:webHidden/>
          </w:rPr>
          <w:fldChar w:fldCharType="end"/>
        </w:r>
      </w:hyperlink>
    </w:p>
    <w:p w14:paraId="1013AEC4" w14:textId="6571A1EB" w:rsidR="000B61F3" w:rsidRDefault="000B61F3">
      <w:pPr>
        <w:pStyle w:val="Abbildungsverzeichnis"/>
        <w:tabs>
          <w:tab w:val="right" w:leader="underscore" w:pos="9346"/>
        </w:tabs>
        <w:rPr>
          <w:rFonts w:asciiTheme="minorHAnsi" w:eastAsiaTheme="minorEastAsia" w:hAnsiTheme="minorHAnsi" w:cstheme="minorBidi"/>
          <w:noProof/>
          <w:color w:val="auto"/>
          <w:kern w:val="2"/>
          <w:lang w:val="de-DE"/>
          <w14:ligatures w14:val="standardContextual"/>
        </w:rPr>
      </w:pPr>
      <w:hyperlink w:anchor="_Toc222325228" w:history="1">
        <w:r w:rsidRPr="00DF7A37">
          <w:rPr>
            <w:rStyle w:val="Hyperlink"/>
            <w:noProof/>
          </w:rPr>
          <w:t>Table 4 Types of sources: Definitions, examples and relevance / interpretation</w:t>
        </w:r>
        <w:r>
          <w:rPr>
            <w:noProof/>
            <w:webHidden/>
          </w:rPr>
          <w:tab/>
        </w:r>
        <w:r>
          <w:rPr>
            <w:noProof/>
            <w:webHidden/>
          </w:rPr>
          <w:fldChar w:fldCharType="begin"/>
        </w:r>
        <w:r>
          <w:rPr>
            <w:noProof/>
            <w:webHidden/>
          </w:rPr>
          <w:instrText xml:space="preserve"> PAGEREF _Toc222325228 \h </w:instrText>
        </w:r>
        <w:r>
          <w:rPr>
            <w:noProof/>
            <w:webHidden/>
          </w:rPr>
        </w:r>
        <w:r>
          <w:rPr>
            <w:noProof/>
            <w:webHidden/>
          </w:rPr>
          <w:fldChar w:fldCharType="separate"/>
        </w:r>
        <w:r>
          <w:rPr>
            <w:noProof/>
            <w:webHidden/>
          </w:rPr>
          <w:t>14</w:t>
        </w:r>
        <w:r>
          <w:rPr>
            <w:noProof/>
            <w:webHidden/>
          </w:rPr>
          <w:fldChar w:fldCharType="end"/>
        </w:r>
      </w:hyperlink>
    </w:p>
    <w:p w14:paraId="5E244561" w14:textId="4C91E0D3" w:rsidR="000B61F3" w:rsidRDefault="000B61F3">
      <w:pPr>
        <w:pStyle w:val="Abbildungsverzeichnis"/>
        <w:tabs>
          <w:tab w:val="right" w:leader="underscore" w:pos="9346"/>
        </w:tabs>
        <w:rPr>
          <w:rFonts w:asciiTheme="minorHAnsi" w:eastAsiaTheme="minorEastAsia" w:hAnsiTheme="minorHAnsi" w:cstheme="minorBidi"/>
          <w:noProof/>
          <w:color w:val="auto"/>
          <w:kern w:val="2"/>
          <w:lang w:val="de-DE"/>
          <w14:ligatures w14:val="standardContextual"/>
        </w:rPr>
      </w:pPr>
      <w:hyperlink w:anchor="_Toc222325229" w:history="1">
        <w:r w:rsidRPr="00DF7A37">
          <w:rPr>
            <w:rStyle w:val="Hyperlink"/>
            <w:noProof/>
          </w:rPr>
          <w:t>Table 5 Consolidated Criteria for Reporting Qualitative Research (COREQ)</w:t>
        </w:r>
        <w:r>
          <w:rPr>
            <w:noProof/>
            <w:webHidden/>
          </w:rPr>
          <w:tab/>
        </w:r>
        <w:r>
          <w:rPr>
            <w:noProof/>
            <w:webHidden/>
          </w:rPr>
          <w:fldChar w:fldCharType="begin"/>
        </w:r>
        <w:r>
          <w:rPr>
            <w:noProof/>
            <w:webHidden/>
          </w:rPr>
          <w:instrText xml:space="preserve"> PAGEREF _Toc222325229 \h </w:instrText>
        </w:r>
        <w:r>
          <w:rPr>
            <w:noProof/>
            <w:webHidden/>
          </w:rPr>
        </w:r>
        <w:r>
          <w:rPr>
            <w:noProof/>
            <w:webHidden/>
          </w:rPr>
          <w:fldChar w:fldCharType="separate"/>
        </w:r>
        <w:r>
          <w:rPr>
            <w:noProof/>
            <w:webHidden/>
          </w:rPr>
          <w:t>16</w:t>
        </w:r>
        <w:r>
          <w:rPr>
            <w:noProof/>
            <w:webHidden/>
          </w:rPr>
          <w:fldChar w:fldCharType="end"/>
        </w:r>
      </w:hyperlink>
    </w:p>
    <w:p w14:paraId="30869293" w14:textId="05988498" w:rsidR="000B61F3" w:rsidRDefault="000B61F3">
      <w:pPr>
        <w:pStyle w:val="Abbildungsverzeichnis"/>
        <w:tabs>
          <w:tab w:val="right" w:leader="underscore" w:pos="9346"/>
        </w:tabs>
        <w:rPr>
          <w:rFonts w:asciiTheme="minorHAnsi" w:eastAsiaTheme="minorEastAsia" w:hAnsiTheme="minorHAnsi" w:cstheme="minorBidi"/>
          <w:noProof/>
          <w:color w:val="auto"/>
          <w:kern w:val="2"/>
          <w:lang w:val="de-DE"/>
          <w14:ligatures w14:val="standardContextual"/>
        </w:rPr>
      </w:pPr>
      <w:hyperlink w:anchor="_Toc222325230" w:history="1">
        <w:r w:rsidRPr="00DF7A37">
          <w:rPr>
            <w:rStyle w:val="Hyperlink"/>
            <w:noProof/>
          </w:rPr>
          <w:t>Table 6 Interview guide: Key informant interviews</w:t>
        </w:r>
        <w:r>
          <w:rPr>
            <w:noProof/>
            <w:webHidden/>
          </w:rPr>
          <w:tab/>
        </w:r>
        <w:r>
          <w:rPr>
            <w:noProof/>
            <w:webHidden/>
          </w:rPr>
          <w:fldChar w:fldCharType="begin"/>
        </w:r>
        <w:r>
          <w:rPr>
            <w:noProof/>
            <w:webHidden/>
          </w:rPr>
          <w:instrText xml:space="preserve"> PAGEREF _Toc222325230 \h </w:instrText>
        </w:r>
        <w:r>
          <w:rPr>
            <w:noProof/>
            <w:webHidden/>
          </w:rPr>
        </w:r>
        <w:r>
          <w:rPr>
            <w:noProof/>
            <w:webHidden/>
          </w:rPr>
          <w:fldChar w:fldCharType="separate"/>
        </w:r>
        <w:r>
          <w:rPr>
            <w:noProof/>
            <w:webHidden/>
          </w:rPr>
          <w:t>19</w:t>
        </w:r>
        <w:r>
          <w:rPr>
            <w:noProof/>
            <w:webHidden/>
          </w:rPr>
          <w:fldChar w:fldCharType="end"/>
        </w:r>
      </w:hyperlink>
    </w:p>
    <w:p w14:paraId="35B1E04E" w14:textId="370C80CF" w:rsidR="000B61F3" w:rsidRDefault="000B61F3">
      <w:pPr>
        <w:pStyle w:val="Abbildungsverzeichnis"/>
        <w:tabs>
          <w:tab w:val="right" w:leader="underscore" w:pos="9346"/>
        </w:tabs>
        <w:rPr>
          <w:rFonts w:asciiTheme="minorHAnsi" w:eastAsiaTheme="minorEastAsia" w:hAnsiTheme="minorHAnsi" w:cstheme="minorBidi"/>
          <w:noProof/>
          <w:color w:val="auto"/>
          <w:kern w:val="2"/>
          <w:lang w:val="de-DE"/>
          <w14:ligatures w14:val="standardContextual"/>
        </w:rPr>
      </w:pPr>
      <w:hyperlink w:anchor="_Toc222325231" w:history="1">
        <w:r w:rsidRPr="00DF7A37">
          <w:rPr>
            <w:rStyle w:val="Hyperlink"/>
            <w:noProof/>
          </w:rPr>
          <w:t>Table 7 Interview code book</w:t>
        </w:r>
        <w:r>
          <w:rPr>
            <w:noProof/>
            <w:webHidden/>
          </w:rPr>
          <w:tab/>
        </w:r>
        <w:r>
          <w:rPr>
            <w:noProof/>
            <w:webHidden/>
          </w:rPr>
          <w:fldChar w:fldCharType="begin"/>
        </w:r>
        <w:r>
          <w:rPr>
            <w:noProof/>
            <w:webHidden/>
          </w:rPr>
          <w:instrText xml:space="preserve"> PAGEREF _Toc222325231 \h </w:instrText>
        </w:r>
        <w:r>
          <w:rPr>
            <w:noProof/>
            <w:webHidden/>
          </w:rPr>
        </w:r>
        <w:r>
          <w:rPr>
            <w:noProof/>
            <w:webHidden/>
          </w:rPr>
          <w:fldChar w:fldCharType="separate"/>
        </w:r>
        <w:r>
          <w:rPr>
            <w:noProof/>
            <w:webHidden/>
          </w:rPr>
          <w:t>23</w:t>
        </w:r>
        <w:r>
          <w:rPr>
            <w:noProof/>
            <w:webHidden/>
          </w:rPr>
          <w:fldChar w:fldCharType="end"/>
        </w:r>
      </w:hyperlink>
    </w:p>
    <w:p w14:paraId="03F6CE15" w14:textId="6F12C3B1" w:rsidR="000B61F3" w:rsidRDefault="000B61F3">
      <w:pPr>
        <w:pStyle w:val="Abbildungsverzeichnis"/>
        <w:tabs>
          <w:tab w:val="right" w:leader="underscore" w:pos="9346"/>
        </w:tabs>
        <w:rPr>
          <w:rFonts w:asciiTheme="minorHAnsi" w:eastAsiaTheme="minorEastAsia" w:hAnsiTheme="minorHAnsi" w:cstheme="minorBidi"/>
          <w:noProof/>
          <w:color w:val="auto"/>
          <w:kern w:val="2"/>
          <w:lang w:val="de-DE"/>
          <w14:ligatures w14:val="standardContextual"/>
        </w:rPr>
      </w:pPr>
      <w:hyperlink w:anchor="_Toc222325232" w:history="1">
        <w:r w:rsidRPr="00DF7A37">
          <w:rPr>
            <w:rStyle w:val="Hyperlink"/>
            <w:noProof/>
          </w:rPr>
          <w:t>Table 8 Simplified overview: European Union competences</w:t>
        </w:r>
        <w:r>
          <w:rPr>
            <w:noProof/>
            <w:webHidden/>
          </w:rPr>
          <w:tab/>
        </w:r>
        <w:r>
          <w:rPr>
            <w:noProof/>
            <w:webHidden/>
          </w:rPr>
          <w:fldChar w:fldCharType="begin"/>
        </w:r>
        <w:r>
          <w:rPr>
            <w:noProof/>
            <w:webHidden/>
          </w:rPr>
          <w:instrText xml:space="preserve"> PAGEREF _Toc222325232 \h </w:instrText>
        </w:r>
        <w:r>
          <w:rPr>
            <w:noProof/>
            <w:webHidden/>
          </w:rPr>
        </w:r>
        <w:r>
          <w:rPr>
            <w:noProof/>
            <w:webHidden/>
          </w:rPr>
          <w:fldChar w:fldCharType="separate"/>
        </w:r>
        <w:r>
          <w:rPr>
            <w:noProof/>
            <w:webHidden/>
          </w:rPr>
          <w:t>56</w:t>
        </w:r>
        <w:r>
          <w:rPr>
            <w:noProof/>
            <w:webHidden/>
          </w:rPr>
          <w:fldChar w:fldCharType="end"/>
        </w:r>
      </w:hyperlink>
    </w:p>
    <w:p w14:paraId="2E4CA285" w14:textId="61C47E9C" w:rsidR="000B61F3" w:rsidRDefault="000B61F3">
      <w:pPr>
        <w:pStyle w:val="Abbildungsverzeichnis"/>
        <w:tabs>
          <w:tab w:val="right" w:leader="underscore" w:pos="9346"/>
        </w:tabs>
        <w:rPr>
          <w:rFonts w:asciiTheme="minorHAnsi" w:eastAsiaTheme="minorEastAsia" w:hAnsiTheme="minorHAnsi" w:cstheme="minorBidi"/>
          <w:noProof/>
          <w:color w:val="auto"/>
          <w:kern w:val="2"/>
          <w:lang w:val="de-DE"/>
          <w14:ligatures w14:val="standardContextual"/>
        </w:rPr>
      </w:pPr>
      <w:hyperlink w:anchor="_Toc222325233" w:history="1">
        <w:r w:rsidRPr="00DF7A37">
          <w:rPr>
            <w:rStyle w:val="Hyperlink"/>
            <w:noProof/>
          </w:rPr>
          <w:t>Table 9 Simplified overview: Distribution of legislative powers in Germany</w:t>
        </w:r>
        <w:r>
          <w:rPr>
            <w:noProof/>
            <w:webHidden/>
          </w:rPr>
          <w:tab/>
        </w:r>
        <w:r>
          <w:rPr>
            <w:noProof/>
            <w:webHidden/>
          </w:rPr>
          <w:fldChar w:fldCharType="begin"/>
        </w:r>
        <w:r>
          <w:rPr>
            <w:noProof/>
            <w:webHidden/>
          </w:rPr>
          <w:instrText xml:space="preserve"> PAGEREF _Toc222325233 \h </w:instrText>
        </w:r>
        <w:r>
          <w:rPr>
            <w:noProof/>
            <w:webHidden/>
          </w:rPr>
        </w:r>
        <w:r>
          <w:rPr>
            <w:noProof/>
            <w:webHidden/>
          </w:rPr>
          <w:fldChar w:fldCharType="separate"/>
        </w:r>
        <w:r>
          <w:rPr>
            <w:noProof/>
            <w:webHidden/>
          </w:rPr>
          <w:t>58</w:t>
        </w:r>
        <w:r>
          <w:rPr>
            <w:noProof/>
            <w:webHidden/>
          </w:rPr>
          <w:fldChar w:fldCharType="end"/>
        </w:r>
      </w:hyperlink>
    </w:p>
    <w:p w14:paraId="4D038635" w14:textId="31D2E97E" w:rsidR="000B61F3" w:rsidRDefault="000B61F3">
      <w:pPr>
        <w:pStyle w:val="Abbildungsverzeichnis"/>
        <w:tabs>
          <w:tab w:val="right" w:leader="underscore" w:pos="9346"/>
        </w:tabs>
        <w:rPr>
          <w:rFonts w:asciiTheme="minorHAnsi" w:eastAsiaTheme="minorEastAsia" w:hAnsiTheme="minorHAnsi" w:cstheme="minorBidi"/>
          <w:noProof/>
          <w:color w:val="auto"/>
          <w:kern w:val="2"/>
          <w:lang w:val="de-DE"/>
          <w14:ligatures w14:val="standardContextual"/>
        </w:rPr>
      </w:pPr>
      <w:hyperlink w:anchor="_Toc222325234" w:history="1">
        <w:r w:rsidRPr="00DF7A37">
          <w:rPr>
            <w:rStyle w:val="Hyperlink"/>
            <w:noProof/>
          </w:rPr>
          <w:t>Table 10 Competence and legislative: Policy</w:t>
        </w:r>
        <w:r>
          <w:rPr>
            <w:noProof/>
            <w:webHidden/>
          </w:rPr>
          <w:tab/>
        </w:r>
        <w:r>
          <w:rPr>
            <w:noProof/>
            <w:webHidden/>
          </w:rPr>
          <w:fldChar w:fldCharType="begin"/>
        </w:r>
        <w:r>
          <w:rPr>
            <w:noProof/>
            <w:webHidden/>
          </w:rPr>
          <w:instrText xml:space="preserve"> PAGEREF _Toc222325234 \h </w:instrText>
        </w:r>
        <w:r>
          <w:rPr>
            <w:noProof/>
            <w:webHidden/>
          </w:rPr>
        </w:r>
        <w:r>
          <w:rPr>
            <w:noProof/>
            <w:webHidden/>
          </w:rPr>
          <w:fldChar w:fldCharType="separate"/>
        </w:r>
        <w:r>
          <w:rPr>
            <w:noProof/>
            <w:webHidden/>
          </w:rPr>
          <w:t>67</w:t>
        </w:r>
        <w:r>
          <w:rPr>
            <w:noProof/>
            <w:webHidden/>
          </w:rPr>
          <w:fldChar w:fldCharType="end"/>
        </w:r>
      </w:hyperlink>
    </w:p>
    <w:p w14:paraId="1B407A72" w14:textId="52F7C7A7" w:rsidR="000B61F3" w:rsidRDefault="000B61F3">
      <w:pPr>
        <w:pStyle w:val="Abbildungsverzeichnis"/>
        <w:tabs>
          <w:tab w:val="right" w:leader="underscore" w:pos="9346"/>
        </w:tabs>
        <w:rPr>
          <w:rFonts w:asciiTheme="minorHAnsi" w:eastAsiaTheme="minorEastAsia" w:hAnsiTheme="minorHAnsi" w:cstheme="minorBidi"/>
          <w:noProof/>
          <w:color w:val="auto"/>
          <w:kern w:val="2"/>
          <w:lang w:val="de-DE"/>
          <w14:ligatures w14:val="standardContextual"/>
        </w:rPr>
      </w:pPr>
      <w:hyperlink w:anchor="_Toc222325235" w:history="1">
        <w:r w:rsidRPr="00DF7A37">
          <w:rPr>
            <w:rStyle w:val="Hyperlink"/>
            <w:noProof/>
          </w:rPr>
          <w:t>Table 11 Competence and legislative power: Infrastructure support</w:t>
        </w:r>
        <w:r>
          <w:rPr>
            <w:noProof/>
            <w:webHidden/>
          </w:rPr>
          <w:tab/>
        </w:r>
        <w:r>
          <w:rPr>
            <w:noProof/>
            <w:webHidden/>
          </w:rPr>
          <w:fldChar w:fldCharType="begin"/>
        </w:r>
        <w:r>
          <w:rPr>
            <w:noProof/>
            <w:webHidden/>
          </w:rPr>
          <w:instrText xml:space="preserve"> PAGEREF _Toc222325235 \h </w:instrText>
        </w:r>
        <w:r>
          <w:rPr>
            <w:noProof/>
            <w:webHidden/>
          </w:rPr>
        </w:r>
        <w:r>
          <w:rPr>
            <w:noProof/>
            <w:webHidden/>
          </w:rPr>
          <w:fldChar w:fldCharType="separate"/>
        </w:r>
        <w:r>
          <w:rPr>
            <w:noProof/>
            <w:webHidden/>
          </w:rPr>
          <w:t>74</w:t>
        </w:r>
        <w:r>
          <w:rPr>
            <w:noProof/>
            <w:webHidden/>
          </w:rPr>
          <w:fldChar w:fldCharType="end"/>
        </w:r>
      </w:hyperlink>
    </w:p>
    <w:p w14:paraId="4C953DC8" w14:textId="13A61D11" w:rsidR="004B4DF2" w:rsidRDefault="00290600" w:rsidP="00A372B1">
      <w:pPr>
        <w:rPr>
          <w:rStyle w:val="Hyperlink"/>
          <w:noProof/>
        </w:rPr>
      </w:pPr>
      <w:r w:rsidRPr="004B4DF2">
        <w:rPr>
          <w:rStyle w:val="Hyperlink"/>
          <w:noProof/>
        </w:rPr>
        <w:fldChar w:fldCharType="end"/>
      </w:r>
    </w:p>
    <w:p w14:paraId="04E6C3D2" w14:textId="77777777" w:rsidR="00502C7F" w:rsidRDefault="00A372B1" w:rsidP="00A372B1">
      <w:pPr>
        <w:rPr>
          <w:noProof/>
        </w:rPr>
      </w:pPr>
      <w:r w:rsidRPr="004B4DF2">
        <w:rPr>
          <w:b/>
          <w:bCs/>
          <w:lang w:eastAsia="en-US"/>
        </w:rPr>
        <w:t>Figures</w:t>
      </w:r>
      <w:r w:rsidRPr="004B4DF2">
        <w:rPr>
          <w:b/>
          <w:bCs/>
          <w:lang w:eastAsia="en-US"/>
        </w:rPr>
        <w:fldChar w:fldCharType="begin"/>
      </w:r>
      <w:r w:rsidRPr="004B4DF2">
        <w:rPr>
          <w:b/>
          <w:bCs/>
          <w:lang w:eastAsia="en-US"/>
        </w:rPr>
        <w:instrText xml:space="preserve"> TOC \h \z \c "Figure" </w:instrText>
      </w:r>
      <w:r w:rsidRPr="004B4DF2">
        <w:rPr>
          <w:b/>
          <w:bCs/>
          <w:lang w:eastAsia="en-US"/>
        </w:rPr>
        <w:fldChar w:fldCharType="separate"/>
      </w:r>
    </w:p>
    <w:p w14:paraId="3DA9A045" w14:textId="7BCF2814" w:rsidR="00502C7F" w:rsidRDefault="00502C7F">
      <w:pPr>
        <w:pStyle w:val="Abbildungsverzeichnis"/>
        <w:tabs>
          <w:tab w:val="right" w:leader="dot" w:pos="9346"/>
        </w:tabs>
        <w:rPr>
          <w:rFonts w:asciiTheme="minorHAnsi" w:eastAsiaTheme="minorEastAsia" w:hAnsiTheme="minorHAnsi" w:cstheme="minorBidi"/>
          <w:noProof/>
          <w:color w:val="auto"/>
          <w:kern w:val="2"/>
          <w:lang w:val="de-DE"/>
          <w14:ligatures w14:val="standardContextual"/>
        </w:rPr>
      </w:pPr>
      <w:hyperlink w:anchor="_Toc221783994" w:history="1">
        <w:r w:rsidRPr="0028070B">
          <w:rPr>
            <w:rStyle w:val="Hyperlink"/>
            <w:noProof/>
          </w:rPr>
          <w:t xml:space="preserve">Figure 1 Conceptual framework: Food-EPI adjusted from Swinburn et al. </w:t>
        </w:r>
        <w:r w:rsidRPr="0028070B">
          <w:rPr>
            <w:rStyle w:val="Hyperlink"/>
            <w:rFonts w:eastAsiaTheme="minorHAnsi"/>
            <w:noProof/>
            <w:lang w:val="en-US"/>
          </w:rPr>
          <w:t>[1]</w:t>
        </w:r>
        <w:r>
          <w:rPr>
            <w:noProof/>
            <w:webHidden/>
          </w:rPr>
          <w:tab/>
        </w:r>
        <w:r>
          <w:rPr>
            <w:noProof/>
            <w:webHidden/>
          </w:rPr>
          <w:fldChar w:fldCharType="begin"/>
        </w:r>
        <w:r>
          <w:rPr>
            <w:noProof/>
            <w:webHidden/>
          </w:rPr>
          <w:instrText xml:space="preserve"> PAGEREF _Toc221783994 \h </w:instrText>
        </w:r>
        <w:r>
          <w:rPr>
            <w:noProof/>
            <w:webHidden/>
          </w:rPr>
        </w:r>
        <w:r>
          <w:rPr>
            <w:noProof/>
            <w:webHidden/>
          </w:rPr>
          <w:fldChar w:fldCharType="separate"/>
        </w:r>
        <w:r>
          <w:rPr>
            <w:noProof/>
            <w:webHidden/>
          </w:rPr>
          <w:t>4</w:t>
        </w:r>
        <w:r>
          <w:rPr>
            <w:noProof/>
            <w:webHidden/>
          </w:rPr>
          <w:fldChar w:fldCharType="end"/>
        </w:r>
      </w:hyperlink>
    </w:p>
    <w:p w14:paraId="73035566" w14:textId="01A8AF2E" w:rsidR="00290600" w:rsidRPr="00290600" w:rsidRDefault="00A372B1" w:rsidP="00A372B1">
      <w:pPr>
        <w:pStyle w:val="Verzeichnis1"/>
      </w:pPr>
      <w:r w:rsidRPr="004B4DF2">
        <w:fldChar w:fldCharType="end"/>
      </w:r>
    </w:p>
    <w:p w14:paraId="47D5482C" w14:textId="70C669B4" w:rsidR="00290600" w:rsidRPr="00290600" w:rsidRDefault="00290600" w:rsidP="001E40B4">
      <w:pPr>
        <w:rPr>
          <w:rFonts w:eastAsiaTheme="majorEastAsia"/>
          <w:color w:val="151E1F"/>
          <w:sz w:val="28"/>
          <w:szCs w:val="28"/>
        </w:rPr>
      </w:pPr>
      <w:r w:rsidRPr="00290600">
        <w:br w:type="page"/>
      </w:r>
    </w:p>
    <w:p w14:paraId="414508E4" w14:textId="4F1EB1AE" w:rsidR="00DB5A1D" w:rsidRDefault="001361C9" w:rsidP="00A372B1">
      <w:pPr>
        <w:pStyle w:val="berschrift1"/>
        <w:ind w:left="709"/>
      </w:pPr>
      <w:bookmarkStart w:id="1" w:name="_Toc221783961"/>
      <w:r w:rsidRPr="001E40B4">
        <w:lastRenderedPageBreak/>
        <w:t xml:space="preserve">INFORMAS </w:t>
      </w:r>
      <w:r w:rsidR="00DB5A1D" w:rsidRPr="001E40B4">
        <w:t>Food-E</w:t>
      </w:r>
      <w:r w:rsidRPr="001E40B4">
        <w:t xml:space="preserve">nvironment Policy Index </w:t>
      </w:r>
      <w:r w:rsidR="00290600" w:rsidRPr="001E40B4">
        <w:t>(Food-EPI)</w:t>
      </w:r>
      <w:bookmarkEnd w:id="1"/>
    </w:p>
    <w:bookmarkStart w:id="2" w:name="_Ref214897196"/>
    <w:p w14:paraId="68C44069" w14:textId="3AB62B9F" w:rsidR="00A372B1" w:rsidRDefault="00A372B1" w:rsidP="00A372B1">
      <w:pPr>
        <w:pStyle w:val="Beschriftung"/>
        <w:rPr>
          <w:i w:val="0"/>
          <w:iCs w:val="0"/>
        </w:rPr>
      </w:pPr>
      <w:r>
        <w:rPr>
          <w:i w:val="0"/>
          <w:iCs w:val="0"/>
        </w:rPr>
        <w:fldChar w:fldCharType="begin"/>
      </w:r>
      <w:r>
        <w:rPr>
          <w:i w:val="0"/>
          <w:iCs w:val="0"/>
        </w:rPr>
        <w:instrText xml:space="preserve"> REF _Ref216276438 \h </w:instrText>
      </w:r>
      <w:r>
        <w:rPr>
          <w:i w:val="0"/>
          <w:iCs w:val="0"/>
        </w:rPr>
      </w:r>
      <w:r>
        <w:rPr>
          <w:i w:val="0"/>
          <w:iCs w:val="0"/>
        </w:rPr>
        <w:fldChar w:fldCharType="separate"/>
      </w:r>
      <w:r>
        <w:t xml:space="preserve">Figure </w:t>
      </w:r>
      <w:r>
        <w:rPr>
          <w:noProof/>
        </w:rPr>
        <w:t>1</w:t>
      </w:r>
      <w:r>
        <w:rPr>
          <w:i w:val="0"/>
          <w:iCs w:val="0"/>
        </w:rPr>
        <w:fldChar w:fldCharType="end"/>
      </w:r>
      <w:r>
        <w:rPr>
          <w:i w:val="0"/>
          <w:iCs w:val="0"/>
        </w:rPr>
        <w:t xml:space="preserve"> shows the Food-EPI structure, which is the foundation to our methodology to assess how food environment competences and legislatives powers are distributed in multilevel governance systems </w:t>
      </w:r>
    </w:p>
    <w:p w14:paraId="74B59916" w14:textId="5FB3FCB3" w:rsidR="00A372B1" w:rsidRDefault="00A372B1" w:rsidP="00A372B1">
      <w:pPr>
        <w:pStyle w:val="Beschriftung"/>
      </w:pPr>
      <w:bookmarkStart w:id="3" w:name="_Ref216276438"/>
      <w:bookmarkStart w:id="4" w:name="_Toc221783994"/>
      <w:r>
        <w:rPr>
          <w:noProof/>
        </w:rPr>
        <w:drawing>
          <wp:anchor distT="0" distB="0" distL="114300" distR="114300" simplePos="0" relativeHeight="251661312" behindDoc="1" locked="0" layoutInCell="1" allowOverlap="1" wp14:anchorId="75BECE3C" wp14:editId="284EE742">
            <wp:simplePos x="0" y="0"/>
            <wp:positionH relativeFrom="column">
              <wp:posOffset>-5080</wp:posOffset>
            </wp:positionH>
            <wp:positionV relativeFrom="paragraph">
              <wp:posOffset>256540</wp:posOffset>
            </wp:positionV>
            <wp:extent cx="6257290" cy="2491740"/>
            <wp:effectExtent l="0" t="0" r="3810" b="0"/>
            <wp:wrapTight wrapText="bothSides">
              <wp:wrapPolygon edited="0">
                <wp:start x="0" y="0"/>
                <wp:lineTo x="0" y="21468"/>
                <wp:lineTo x="21569" y="21468"/>
                <wp:lineTo x="21569" y="0"/>
                <wp:lineTo x="0" y="0"/>
              </wp:wrapPolygon>
            </wp:wrapTight>
            <wp:docPr id="943684166" name="Grafik 6" descr="Ein Bild, das Text, Quittung, Algebra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684166" name="Grafik 6" descr="Ein Bild, das Text, Quittung, Algebra enthält.&#10;&#10;KI-generierte Inhalte können fehlerhaft sein."/>
                    <pic:cNvPicPr/>
                  </pic:nvPicPr>
                  <pic:blipFill>
                    <a:blip r:embed="rId8">
                      <a:extLst>
                        <a:ext uri="{28A0092B-C50C-407E-A947-70E740481C1C}">
                          <a14:useLocalDpi xmlns:a14="http://schemas.microsoft.com/office/drawing/2010/main" val="0"/>
                        </a:ext>
                      </a:extLst>
                    </a:blip>
                    <a:stretch>
                      <a:fillRect/>
                    </a:stretch>
                  </pic:blipFill>
                  <pic:spPr>
                    <a:xfrm>
                      <a:off x="0" y="0"/>
                      <a:ext cx="6257290" cy="2491740"/>
                    </a:xfrm>
                    <a:prstGeom prst="rect">
                      <a:avLst/>
                    </a:prstGeom>
                  </pic:spPr>
                </pic:pic>
              </a:graphicData>
            </a:graphic>
            <wp14:sizeRelH relativeFrom="page">
              <wp14:pctWidth>0</wp14:pctWidth>
            </wp14:sizeRelH>
            <wp14:sizeRelV relativeFrom="page">
              <wp14:pctHeight>0</wp14:pctHeight>
            </wp14:sizeRelV>
          </wp:anchor>
        </w:drawing>
      </w:r>
      <w:r>
        <w:t xml:space="preserve">Figure </w:t>
      </w:r>
      <w:r>
        <w:fldChar w:fldCharType="begin"/>
      </w:r>
      <w:r>
        <w:instrText xml:space="preserve"> SEQ Figure \* ARABIC </w:instrText>
      </w:r>
      <w:r>
        <w:fldChar w:fldCharType="separate"/>
      </w:r>
      <w:r>
        <w:rPr>
          <w:noProof/>
        </w:rPr>
        <w:t>1</w:t>
      </w:r>
      <w:r>
        <w:fldChar w:fldCharType="end"/>
      </w:r>
      <w:bookmarkEnd w:id="2"/>
      <w:bookmarkEnd w:id="3"/>
      <w:r>
        <w:t xml:space="preserve"> Conceptual framework: Food-EPI adjusted from</w:t>
      </w:r>
      <w:r w:rsidRPr="00EA6B88">
        <w:t xml:space="preserve"> Swinburn et al.</w:t>
      </w:r>
      <w:r>
        <w:t xml:space="preserve"> </w:t>
      </w:r>
      <w:r>
        <w:fldChar w:fldCharType="begin"/>
      </w:r>
      <w:r w:rsidR="00F833B1">
        <w:instrText xml:space="preserve"> ADDIN ZOTERO_ITEM CSL_CITATION {"citationID":"a1amustrvg5","properties":{"formattedCitation":"[1]","plainCitation":"[1]","noteIndex":0},"citationItems":[{"id":717,"uris":["http://zotero.org/users/5617569/items/T7DIZM88"],"itemData":{"id":717,"type":"article-journal","abstract":"Government action is essential to increase the healthiness of food environments and reduce obesity, diet-related non-communicable diseases (NCDs), and their related inequalities. This paper proposes a monitoring framework to assess government policies and actions for creating healthy food environments. Recommendations from relevant authoritative organizations and expert advisory groups for reducing obesity and NCDs were examined, and pertinent components were incorporated into a comprehensive framework for monitoring government policies and actions. A Government Healthy Food Environment Policy Index (Food-EPI) was developed, which comprises a ‘policy’ component with seven domains on specific aspects of food environments, and an ‘infrastructure support’ component with seven domains to strengthen systems to prevent obesity and NCDs. These were revised through a week-long consultation process with international experts. Examples of good practice statements are proposed within each domain, and these will evolve into benchmarks established by governments at the forefront of creating and implementing food policies for good health. A rating process is proposed to assess a government's level of policy implementation towards good practice. The Food-EPI will be pre-tested and piloted in countries of varying size and income levels. The benchmarking of government policy implementation has the potential to catalyse greater action to reduce obesity and NCDs.","container-title":"Obesity Reviews","DOI":"10.1111/obr.12073","ISSN":"1467-789X","issue":"S1","language":"en","license":"© 2013 The Authors. Obesity Reviews published by John Wiley &amp; Sons Ltd on behalf of the International Association for the Study of Obesity.","note":"_eprint: https://onlinelibrary.wiley.com/doi/pdf/10.1111/obr.12073","page":"24-37","source":"Wiley Online Library","title":"Monitoring and benchmarking government policies and actions to improve the healthiness of food environments: a proposed Government Healthy Food Environment Policy Index","title-short":"Monitoring and benchmarking government policies and actions to improve the healthiness of food environments","volume":"14","author":[{"family":"Swinburn","given":"B."},{"family":"Vandevijvere","given":"S."},{"family":"Kraak","given":"V."},{"family":"Sacks","given":"G."},{"family":"Snowdon","given":"W."},{"family":"Hawkes","given":"C."},{"family":"Barquera","given":"S."},{"family":"Friel","given":"S."},{"family":"Kelly","given":"B."},{"family":"Kumanyika","given":"S."},{"family":"L'Abbé","given":"M."},{"family":"Lee","given":"A."},{"family":"Lobstein","given":"T."},{"family":"Ma","given":"J."},{"family":"Macmullan","given":"J."},{"family":"Mohan","given":"S."},{"family":"Monteiro","given":"C."},{"family":"Neal","given":"B."},{"family":"Rayner","given":"M."},{"family":"Sanders","given":"D."},{"family":"Walker","given":"C."},{"literal":"Informas"}],"issued":{"date-parts":[["2013"]]}},"suppress-author":true}],"schema":"https://github.com/citation-style-language/schema/raw/master/csl-citation.json"} </w:instrText>
      </w:r>
      <w:r>
        <w:fldChar w:fldCharType="separate"/>
      </w:r>
      <w:r w:rsidR="00F833B1">
        <w:rPr>
          <w:rFonts w:eastAsiaTheme="minorHAnsi"/>
          <w:color w:val="000000"/>
          <w:lang w:val="en-US"/>
        </w:rPr>
        <w:t>[1]</w:t>
      </w:r>
      <w:bookmarkEnd w:id="4"/>
      <w:r>
        <w:fldChar w:fldCharType="end"/>
      </w:r>
    </w:p>
    <w:p w14:paraId="5CAE3F41" w14:textId="77777777" w:rsidR="00A372B1" w:rsidRDefault="00A372B1" w:rsidP="00A372B1">
      <w:pPr>
        <w:rPr>
          <w:lang w:eastAsia="en-US"/>
        </w:rPr>
      </w:pPr>
    </w:p>
    <w:p w14:paraId="3CCB822E" w14:textId="031DABC6" w:rsidR="00327CA9" w:rsidRPr="00FC2735" w:rsidRDefault="005D4C4D" w:rsidP="001E40B4">
      <w:r w:rsidRPr="001E40B4">
        <w:t xml:space="preserve">The </w:t>
      </w:r>
      <w:r w:rsidR="001D56FF">
        <w:t xml:space="preserve">Food EPI </w:t>
      </w:r>
      <w:r w:rsidR="00EC5F1A">
        <w:t xml:space="preserve">domains </w:t>
      </w:r>
      <w:r w:rsidR="001D56FF">
        <w:t xml:space="preserve">indicator </w:t>
      </w:r>
      <w:r w:rsidR="00EC5F1A">
        <w:t>are defined</w:t>
      </w:r>
      <w:r w:rsidRPr="001E40B4">
        <w:t xml:space="preserve"> in </w:t>
      </w:r>
      <w:r w:rsidR="00EC5F1A">
        <w:t xml:space="preserve">the following </w:t>
      </w:r>
      <w:r w:rsidRPr="001E40B4">
        <w:t xml:space="preserve">two tables: </w:t>
      </w:r>
      <w:r w:rsidR="009C586E" w:rsidRPr="001E40B4">
        <w:fldChar w:fldCharType="begin"/>
      </w:r>
      <w:r w:rsidR="009C586E" w:rsidRPr="001E40B4">
        <w:instrText xml:space="preserve"> REF _Ref193363031 \h </w:instrText>
      </w:r>
      <w:r w:rsidR="00F771FB" w:rsidRPr="001E40B4">
        <w:instrText xml:space="preserve"> \* MERGEFORMAT </w:instrText>
      </w:r>
      <w:r w:rsidR="009C586E" w:rsidRPr="001E40B4">
        <w:fldChar w:fldCharType="separate"/>
      </w:r>
      <w:r w:rsidR="009C586E" w:rsidRPr="001E40B4">
        <w:t>Table 1</w:t>
      </w:r>
      <w:r w:rsidR="009C586E" w:rsidRPr="001E40B4">
        <w:fldChar w:fldCharType="end"/>
      </w:r>
      <w:r w:rsidRPr="001E40B4">
        <w:t xml:space="preserve"> </w:t>
      </w:r>
      <w:r w:rsidR="00327CA9" w:rsidRPr="001E40B4">
        <w:t>outlines</w:t>
      </w:r>
      <w:r w:rsidRPr="001E40B4">
        <w:t xml:space="preserve"> the policy</w:t>
      </w:r>
      <w:r w:rsidR="00327CA9" w:rsidRPr="001E40B4">
        <w:t xml:space="preserve"> domains and indicators </w:t>
      </w:r>
      <w:r w:rsidR="001D56FF">
        <w:t>and</w:t>
      </w:r>
      <w:r w:rsidRPr="001E40B4">
        <w:t xml:space="preserve"> </w:t>
      </w:r>
      <w:r w:rsidR="009C586E" w:rsidRPr="001E40B4">
        <w:fldChar w:fldCharType="begin"/>
      </w:r>
      <w:r w:rsidR="009C586E" w:rsidRPr="001E40B4">
        <w:instrText xml:space="preserve"> REF _Ref193363038 \h </w:instrText>
      </w:r>
      <w:r w:rsidR="00F771FB" w:rsidRPr="001E40B4">
        <w:instrText xml:space="preserve"> \* MERGEFORMAT </w:instrText>
      </w:r>
      <w:r w:rsidR="009C586E" w:rsidRPr="001E40B4">
        <w:fldChar w:fldCharType="separate"/>
      </w:r>
      <w:r w:rsidR="009C586E" w:rsidRPr="001E40B4">
        <w:t>table 2</w:t>
      </w:r>
      <w:r w:rsidR="009C586E" w:rsidRPr="001E40B4">
        <w:fldChar w:fldCharType="end"/>
      </w:r>
      <w:r w:rsidR="009C586E" w:rsidRPr="001E40B4">
        <w:t xml:space="preserve"> </w:t>
      </w:r>
      <w:r w:rsidR="00327CA9" w:rsidRPr="001E40B4">
        <w:t xml:space="preserve">details </w:t>
      </w:r>
      <w:r w:rsidRPr="001E40B4">
        <w:t>the infrastructure support domains and indicators</w:t>
      </w:r>
      <w:r w:rsidR="001361C9" w:rsidRPr="001E40B4">
        <w:t>. The indicator name (column 4)</w:t>
      </w:r>
      <w:r w:rsidR="009C586E" w:rsidRPr="001E40B4">
        <w:t xml:space="preserve"> </w:t>
      </w:r>
      <w:r w:rsidR="001361C9" w:rsidRPr="001E40B4">
        <w:t xml:space="preserve">is new and </w:t>
      </w:r>
      <w:r w:rsidR="009C586E" w:rsidRPr="001E40B4">
        <w:t>summarize</w:t>
      </w:r>
      <w:r w:rsidR="001361C9" w:rsidRPr="001E40B4">
        <w:t>s</w:t>
      </w:r>
      <w:r w:rsidR="009C586E" w:rsidRPr="001E40B4">
        <w:t xml:space="preserve"> the definitions for</w:t>
      </w:r>
      <w:r w:rsidR="001361C9" w:rsidRPr="001E40B4">
        <w:t xml:space="preserve"> ease of results presentation</w:t>
      </w:r>
      <w:r w:rsidR="00327CA9" w:rsidRPr="00FC2735">
        <w:t xml:space="preserve">. </w:t>
      </w:r>
      <w:r w:rsidR="00327CA9" w:rsidRPr="00225C91">
        <w:rPr>
          <w:color w:val="EF3A84" w:themeColor="background2"/>
        </w:rPr>
        <w:t>Definitions in pink were added to reflect the concept of a sustainable and healthy diet</w:t>
      </w:r>
      <w:r w:rsidR="00CC4255" w:rsidRPr="00225C91">
        <w:rPr>
          <w:color w:val="EF3A84" w:themeColor="background2"/>
        </w:rPr>
        <w:t xml:space="preserve"> or based on the Food-EPI </w:t>
      </w:r>
      <w:r w:rsidR="00225C91" w:rsidRPr="00225C91">
        <w:rPr>
          <w:color w:val="EF3A84" w:themeColor="background2"/>
        </w:rPr>
        <w:t>assessment</w:t>
      </w:r>
      <w:r w:rsidR="00CC4255" w:rsidRPr="00225C91">
        <w:rPr>
          <w:color w:val="EF3A84" w:themeColor="background2"/>
        </w:rPr>
        <w:t xml:space="preserve"> conducted at the federal level in Germany</w:t>
      </w:r>
      <w:r w:rsidR="00CC4255" w:rsidRPr="00225C91">
        <w:rPr>
          <w:i/>
          <w:iCs/>
          <w:color w:val="EF3A84" w:themeColor="background2"/>
          <w:sz w:val="20"/>
          <w:szCs w:val="20"/>
        </w:rPr>
        <w:t xml:space="preserve"> </w:t>
      </w:r>
      <w:r w:rsidR="00CC4255" w:rsidRPr="00186FCB">
        <w:fldChar w:fldCharType="begin"/>
      </w:r>
      <w:r w:rsidR="00216423">
        <w:instrText xml:space="preserve"> ADDIN ZOTERO_ITEM CSL_CITATION {"citationID":"6Zdy43ZH","properties":{"formattedCitation":"(Philipsborn {\\i{}et al.}, 2022)","plainCitation":"(Philipsborn et al., 2022)","dontUpdate":true,"noteIndex":0},"citationItems":[{"id":166,"uris":["http://zotero.org/users/5617569/items/NZM7E5P4"],"itemData":{"id":166,"type":"article-journal","abstract":"Objective:\nTo systematically assess Germany’s nutrition policies, to benchmark them against international best practices and to identify priority policy actions to improve population-level nutrition in Germany.\n\n\nDesign:\nWe applied the Food Environment Policy Index (Food-EPI), a methodological framework developed by the International Network for Food and Obesity/non-communicable Diseases Research, Monitoring and Action Support (INFORMAS) network. Qualitative content analysis of laws, directives and other documents formed the basis of a multistaged, structured consultation process.\n\n\nSetting:\nGermany.\n\n\nParticipants:\nThe expert consultation process included fifty-five experts from academia, public administration and civil society.\n\n\nResults:\nGermany lags behind international best practices in several key policy areas. For eighteen policy indicators, the degree of implementation compared with international best practices was rated as very low, for twenty-one as low, for eight as intermediate and for none as high. In particular, indicators on food taxation, regulation of food marketing as well as retail and food service sector policies were rated as very low to low. Identified priority actions included the binding implementation of nutrition standards for schools and kindergartens, a reform of the value added tax on foods and beverages, a sugar-sweetened beverage tax and stricter regulation of food marketing directed at children.\n\n\nConclusions:\nThe results show that Germany makes insufficient use of the potential of evidence-informed health-promoting nutrition policies. Adopting international best practices in key policy areas could help to reduce the burden of nutrition-related chronic disease and related inequalities in nutrition and health in Germany. Implementation of relevant policies requires political leadership, a broad societal dialogue and evidence-informed advocacy by civil society, including the scientific community.","container-title":"Public Health Nutrition","DOI":"10.1017/S1368980021004742","ISSN":"1368-9800, 1475-2727","issue":"6","language":"en","page":"1691-1700","publisher":"Cambridge University Press","source":"Cambridge University Press","title":"Nutrition policies in Germany: a systematic assessment with the Food Environment Policy Index","title-short":"Nutrition policies in Germany","volume":"25","author":[{"family":"Philipsborn","given":"Peter","dropping-particle":"von"},{"family":"Geffert","given":"Karin"},{"family":"Klinger","given":"Carmen"},{"family":"Hebestreit","given":"Antje"},{"family":"Stratil","given":"Jan"},{"family":"Rehfuess","given":"Eva Annette"}],"issued":{"date-parts":[["2022",6]]}}}],"schema":"https://github.com/citation-style-language/schema/raw/master/csl-citation.json"} </w:instrText>
      </w:r>
      <w:r w:rsidR="00CC4255" w:rsidRPr="00186FCB">
        <w:fldChar w:fldCharType="separate"/>
      </w:r>
      <w:r w:rsidR="00531BD0">
        <w:t>[1]</w:t>
      </w:r>
      <w:r w:rsidR="00CC4255" w:rsidRPr="00186FCB">
        <w:fldChar w:fldCharType="end"/>
      </w:r>
      <w:r w:rsidR="00327CA9" w:rsidRPr="00186FCB">
        <w:t>; all other definitions</w:t>
      </w:r>
      <w:r w:rsidR="00327CA9" w:rsidRPr="00FC2735">
        <w:t xml:space="preserve"> are based on the INFORMAS Protocol Annex</w:t>
      </w:r>
      <w:r w:rsidR="00CC4255" w:rsidRPr="00CC4255">
        <w:rPr>
          <w:vertAlign w:val="superscript"/>
        </w:rPr>
        <w:t>1</w:t>
      </w:r>
      <w:r w:rsidR="00327CA9" w:rsidRPr="00FC2735">
        <w:t xml:space="preserve">. </w:t>
      </w:r>
    </w:p>
    <w:p w14:paraId="484A45E1" w14:textId="398A57CE" w:rsidR="005D4C4D" w:rsidRPr="00FC2735" w:rsidRDefault="005D4C4D" w:rsidP="001E40B4">
      <w:pPr>
        <w:pStyle w:val="Beschriftung"/>
      </w:pPr>
      <w:bookmarkStart w:id="5" w:name="_Ref193363031"/>
      <w:bookmarkStart w:id="6" w:name="_Toc222325225"/>
      <w:r w:rsidRPr="00FC2735">
        <w:lastRenderedPageBreak/>
        <w:t xml:space="preserve">Table </w:t>
      </w:r>
      <w:r w:rsidR="00672F33">
        <w:fldChar w:fldCharType="begin"/>
      </w:r>
      <w:r w:rsidR="00672F33">
        <w:instrText xml:space="preserve"> SEQ Table \* ARABIC </w:instrText>
      </w:r>
      <w:r w:rsidR="00672F33">
        <w:fldChar w:fldCharType="separate"/>
      </w:r>
      <w:r w:rsidR="00901762">
        <w:rPr>
          <w:noProof/>
        </w:rPr>
        <w:t>1</w:t>
      </w:r>
      <w:r w:rsidR="00672F33">
        <w:rPr>
          <w:noProof/>
        </w:rPr>
        <w:fldChar w:fldCharType="end"/>
      </w:r>
      <w:bookmarkEnd w:id="5"/>
      <w:r w:rsidRPr="00FC2735">
        <w:t xml:space="preserve"> INFORMAS Food-EPI</w:t>
      </w:r>
      <w:r w:rsidR="00502C7F">
        <w:t>: P</w:t>
      </w:r>
      <w:r w:rsidRPr="00FC2735">
        <w:t>olicy domains and indicators</w:t>
      </w:r>
      <w:bookmarkEnd w:id="6"/>
    </w:p>
    <w:tbl>
      <w:tblPr>
        <w:tblStyle w:val="TabellemithellemGitternetz"/>
        <w:tblW w:w="5000" w:type="pct"/>
        <w:tblLook w:val="04A0" w:firstRow="1" w:lastRow="0" w:firstColumn="1" w:lastColumn="0" w:noHBand="0" w:noVBand="1"/>
      </w:tblPr>
      <w:tblGrid>
        <w:gridCol w:w="328"/>
        <w:gridCol w:w="1284"/>
        <w:gridCol w:w="1083"/>
        <w:gridCol w:w="1410"/>
        <w:gridCol w:w="5241"/>
      </w:tblGrid>
      <w:tr w:rsidR="00B44BA8" w:rsidRPr="00FC2735" w14:paraId="46108576" w14:textId="77777777" w:rsidTr="005B67D6">
        <w:trPr>
          <w:trHeight w:val="20"/>
          <w:tblHeader/>
        </w:trPr>
        <w:tc>
          <w:tcPr>
            <w:tcW w:w="175" w:type="pct"/>
            <w:hideMark/>
          </w:tcPr>
          <w:p w14:paraId="04864941" w14:textId="77777777" w:rsidR="005D4C4D" w:rsidRPr="005B67D6" w:rsidRDefault="005D4C4D" w:rsidP="005B67D6">
            <w:pPr>
              <w:pStyle w:val="Tabelle-berschrift"/>
            </w:pPr>
            <w:r w:rsidRPr="005B67D6">
              <w:t>#</w:t>
            </w:r>
          </w:p>
        </w:tc>
        <w:tc>
          <w:tcPr>
            <w:tcW w:w="687" w:type="pct"/>
            <w:hideMark/>
          </w:tcPr>
          <w:p w14:paraId="2EB4FE08" w14:textId="060FB11C" w:rsidR="005D4C4D" w:rsidRPr="005B67D6" w:rsidRDefault="005D4C4D" w:rsidP="005B67D6">
            <w:pPr>
              <w:pStyle w:val="Tabelle-berschrift"/>
            </w:pPr>
            <w:r w:rsidRPr="005B67D6">
              <w:t>Domain</w:t>
            </w:r>
          </w:p>
        </w:tc>
        <w:tc>
          <w:tcPr>
            <w:tcW w:w="579" w:type="pct"/>
            <w:hideMark/>
          </w:tcPr>
          <w:p w14:paraId="70825451" w14:textId="59543B54" w:rsidR="005D4C4D" w:rsidRPr="005B67D6" w:rsidRDefault="005D4C4D" w:rsidP="005B67D6">
            <w:pPr>
              <w:pStyle w:val="Tabelle-berschrift"/>
            </w:pPr>
            <w:r w:rsidRPr="005B67D6">
              <w:t>Indicator</w:t>
            </w:r>
          </w:p>
        </w:tc>
        <w:tc>
          <w:tcPr>
            <w:tcW w:w="755" w:type="pct"/>
            <w:hideMark/>
          </w:tcPr>
          <w:p w14:paraId="52E99858" w14:textId="6A765FF3" w:rsidR="005D4C4D" w:rsidRPr="005B67D6" w:rsidRDefault="005D4C4D" w:rsidP="005B67D6">
            <w:pPr>
              <w:pStyle w:val="Tabelle-berschrift"/>
            </w:pPr>
            <w:r w:rsidRPr="005B67D6">
              <w:t>Name</w:t>
            </w:r>
          </w:p>
        </w:tc>
        <w:tc>
          <w:tcPr>
            <w:tcW w:w="2803" w:type="pct"/>
            <w:hideMark/>
          </w:tcPr>
          <w:p w14:paraId="6686379E" w14:textId="6E253149" w:rsidR="005D4C4D" w:rsidRPr="005B67D6" w:rsidRDefault="005D4C4D" w:rsidP="005B67D6">
            <w:pPr>
              <w:pStyle w:val="Tabelle-berschrift"/>
            </w:pPr>
            <w:r w:rsidRPr="005B67D6">
              <w:t>Definition</w:t>
            </w:r>
            <w:r w:rsidRPr="005B67D6">
              <w:rPr>
                <w:rStyle w:val="Funotenzeichen"/>
              </w:rPr>
              <w:footnoteReference w:id="1"/>
            </w:r>
          </w:p>
        </w:tc>
      </w:tr>
      <w:tr w:rsidR="00210771" w:rsidRPr="00FC2735" w14:paraId="1DDF9348" w14:textId="77777777" w:rsidTr="005B67D6">
        <w:trPr>
          <w:trHeight w:val="20"/>
        </w:trPr>
        <w:tc>
          <w:tcPr>
            <w:tcW w:w="175" w:type="pct"/>
            <w:vMerge w:val="restart"/>
            <w:hideMark/>
          </w:tcPr>
          <w:p w14:paraId="02DCCA46" w14:textId="03C587E8" w:rsidR="009C586E" w:rsidRPr="00225C91" w:rsidRDefault="009C586E" w:rsidP="001E40B4">
            <w:pPr>
              <w:pStyle w:val="Tabelle-Text"/>
            </w:pPr>
            <w:r w:rsidRPr="00225C91">
              <w:t>1</w:t>
            </w:r>
          </w:p>
        </w:tc>
        <w:tc>
          <w:tcPr>
            <w:tcW w:w="687" w:type="pct"/>
            <w:vMerge w:val="restart"/>
            <w:hideMark/>
          </w:tcPr>
          <w:p w14:paraId="6B48A111" w14:textId="7DB954FE" w:rsidR="009C586E" w:rsidRPr="00225C91" w:rsidRDefault="009C586E" w:rsidP="001E40B4">
            <w:pPr>
              <w:pStyle w:val="Tabelle-Text"/>
            </w:pPr>
            <w:r w:rsidRPr="00225C91">
              <w:t>Food composition</w:t>
            </w:r>
          </w:p>
        </w:tc>
        <w:tc>
          <w:tcPr>
            <w:tcW w:w="4138" w:type="pct"/>
            <w:gridSpan w:val="3"/>
            <w:hideMark/>
          </w:tcPr>
          <w:p w14:paraId="095F08C1" w14:textId="6D690568" w:rsidR="009C586E" w:rsidRPr="00225C91" w:rsidRDefault="009C586E" w:rsidP="001E40B4">
            <w:pPr>
              <w:pStyle w:val="Tabelle-Text"/>
            </w:pPr>
            <w:r w:rsidRPr="00225C91">
              <w:t>There are government systems implemented to ensure that, where practicable, processed foods minimise the energy density and the nutrients of concern (salt, fat, saturated fat, trans fat, added sugar)</w:t>
            </w:r>
          </w:p>
        </w:tc>
      </w:tr>
      <w:tr w:rsidR="00574C31" w:rsidRPr="00FC2735" w14:paraId="7AEA0E15" w14:textId="77777777" w:rsidTr="005B67D6">
        <w:trPr>
          <w:trHeight w:val="20"/>
        </w:trPr>
        <w:tc>
          <w:tcPr>
            <w:tcW w:w="175" w:type="pct"/>
            <w:vMerge/>
            <w:hideMark/>
          </w:tcPr>
          <w:p w14:paraId="2521E95B" w14:textId="3BC83A6D" w:rsidR="009C586E" w:rsidRPr="00225C91" w:rsidRDefault="009C586E" w:rsidP="001E40B4">
            <w:pPr>
              <w:pStyle w:val="Tabelle-Text"/>
            </w:pPr>
          </w:p>
        </w:tc>
        <w:tc>
          <w:tcPr>
            <w:tcW w:w="687" w:type="pct"/>
            <w:vMerge/>
            <w:hideMark/>
          </w:tcPr>
          <w:p w14:paraId="21020461" w14:textId="3F5F4FBB" w:rsidR="009C586E" w:rsidRPr="00225C91" w:rsidRDefault="009C586E" w:rsidP="001E40B4">
            <w:pPr>
              <w:pStyle w:val="Tabelle-Text"/>
            </w:pPr>
          </w:p>
        </w:tc>
        <w:tc>
          <w:tcPr>
            <w:tcW w:w="579" w:type="pct"/>
            <w:hideMark/>
          </w:tcPr>
          <w:p w14:paraId="656EB92E" w14:textId="77777777" w:rsidR="009C586E" w:rsidRPr="00225C91" w:rsidRDefault="009C586E" w:rsidP="001E40B4">
            <w:pPr>
              <w:pStyle w:val="Tabelle-Text"/>
            </w:pPr>
            <w:r w:rsidRPr="00225C91">
              <w:t>COMP1</w:t>
            </w:r>
          </w:p>
        </w:tc>
        <w:tc>
          <w:tcPr>
            <w:tcW w:w="755" w:type="pct"/>
            <w:hideMark/>
          </w:tcPr>
          <w:p w14:paraId="63C2FF89" w14:textId="77777777" w:rsidR="009C586E" w:rsidRPr="00225C91" w:rsidRDefault="009C586E" w:rsidP="001E40B4">
            <w:pPr>
              <w:pStyle w:val="Tabelle-Text"/>
            </w:pPr>
            <w:r w:rsidRPr="00225C91">
              <w:t>Processed foods</w:t>
            </w:r>
          </w:p>
        </w:tc>
        <w:tc>
          <w:tcPr>
            <w:tcW w:w="2803" w:type="pct"/>
            <w:hideMark/>
          </w:tcPr>
          <w:p w14:paraId="4AD22534" w14:textId="48CAB476" w:rsidR="009C586E" w:rsidRPr="00225C91" w:rsidRDefault="009C586E" w:rsidP="001E40B4">
            <w:pPr>
              <w:pStyle w:val="Tabelle-Text"/>
            </w:pPr>
            <w:r w:rsidRPr="00225C91">
              <w:t>Food composition targets/standards have been established for processed foods by the government for the content of the nutrients of concern in certain foods or food groups if they are major contributors to population intakes of these nutrients of concern (</w:t>
            </w:r>
            <w:r w:rsidR="00396DB5" w:rsidRPr="00225C91">
              <w:t>e.g.</w:t>
            </w:r>
            <w:r w:rsidR="000B71AB" w:rsidRPr="00225C91">
              <w:t>,</w:t>
            </w:r>
            <w:r w:rsidR="00396DB5" w:rsidRPr="00225C91">
              <w:t xml:space="preserve"> </w:t>
            </w:r>
            <w:r w:rsidRPr="00225C91">
              <w:t>trans fats and added sugars in processed foods, salt in bread, saturated fat in commercial frying fats)</w:t>
            </w:r>
          </w:p>
        </w:tc>
      </w:tr>
      <w:tr w:rsidR="00574C31" w:rsidRPr="00FC2735" w14:paraId="3B781041" w14:textId="77777777" w:rsidTr="005B67D6">
        <w:trPr>
          <w:trHeight w:val="20"/>
        </w:trPr>
        <w:tc>
          <w:tcPr>
            <w:tcW w:w="175" w:type="pct"/>
            <w:vMerge/>
            <w:hideMark/>
          </w:tcPr>
          <w:p w14:paraId="002B45CD" w14:textId="281A0FF2" w:rsidR="009C586E" w:rsidRPr="00225C91" w:rsidRDefault="009C586E" w:rsidP="001E40B4">
            <w:pPr>
              <w:pStyle w:val="Tabelle-Text"/>
            </w:pPr>
          </w:p>
        </w:tc>
        <w:tc>
          <w:tcPr>
            <w:tcW w:w="687" w:type="pct"/>
            <w:vMerge/>
            <w:hideMark/>
          </w:tcPr>
          <w:p w14:paraId="17217ADA" w14:textId="6598EBE2" w:rsidR="009C586E" w:rsidRPr="00225C91" w:rsidRDefault="009C586E" w:rsidP="001E40B4">
            <w:pPr>
              <w:pStyle w:val="Tabelle-Text"/>
            </w:pPr>
          </w:p>
        </w:tc>
        <w:tc>
          <w:tcPr>
            <w:tcW w:w="579" w:type="pct"/>
            <w:hideMark/>
          </w:tcPr>
          <w:p w14:paraId="7A72CB92" w14:textId="77777777" w:rsidR="009C586E" w:rsidRPr="00225C91" w:rsidRDefault="009C586E" w:rsidP="001E40B4">
            <w:pPr>
              <w:pStyle w:val="Tabelle-Text"/>
            </w:pPr>
            <w:r w:rsidRPr="00225C91">
              <w:t>COMP2</w:t>
            </w:r>
          </w:p>
        </w:tc>
        <w:tc>
          <w:tcPr>
            <w:tcW w:w="755" w:type="pct"/>
            <w:hideMark/>
          </w:tcPr>
          <w:p w14:paraId="20F88819" w14:textId="77777777" w:rsidR="009C586E" w:rsidRPr="00225C91" w:rsidRDefault="009C586E" w:rsidP="001E40B4">
            <w:pPr>
              <w:pStyle w:val="Tabelle-Text"/>
            </w:pPr>
            <w:r w:rsidRPr="00225C91">
              <w:t>Out-of-home settings</w:t>
            </w:r>
          </w:p>
        </w:tc>
        <w:tc>
          <w:tcPr>
            <w:tcW w:w="2803" w:type="pct"/>
            <w:hideMark/>
          </w:tcPr>
          <w:p w14:paraId="7989EDE3" w14:textId="64B9DE94" w:rsidR="009C586E" w:rsidRPr="00225C91" w:rsidRDefault="009C586E" w:rsidP="001E40B4">
            <w:pPr>
              <w:pStyle w:val="Tabelle-Text"/>
            </w:pPr>
            <w:r w:rsidRPr="00225C91">
              <w:t>Food composition targets/standards have been established for out-of-home meals in food service outlets by the government for the content of the nutrients of concern in certain foods or food groups if they are major contributors to population intakes of these nutrients of concern (</w:t>
            </w:r>
            <w:r w:rsidR="00CC4255" w:rsidRPr="00225C91">
              <w:t xml:space="preserve">e.g., </w:t>
            </w:r>
            <w:r w:rsidRPr="00225C91">
              <w:t>trans fats, added sugars, salt, saturated fat)</w:t>
            </w:r>
          </w:p>
        </w:tc>
      </w:tr>
      <w:tr w:rsidR="00210771" w:rsidRPr="00FC2735" w14:paraId="30FD90C2" w14:textId="77777777" w:rsidTr="005B67D6">
        <w:trPr>
          <w:trHeight w:val="20"/>
        </w:trPr>
        <w:tc>
          <w:tcPr>
            <w:tcW w:w="175" w:type="pct"/>
            <w:vMerge w:val="restart"/>
            <w:hideMark/>
          </w:tcPr>
          <w:p w14:paraId="081471F2" w14:textId="59C0F5C1" w:rsidR="009C586E" w:rsidRPr="00225C91" w:rsidRDefault="009C586E" w:rsidP="001E40B4">
            <w:pPr>
              <w:pStyle w:val="Tabelle-Text"/>
            </w:pPr>
            <w:r w:rsidRPr="00225C91">
              <w:t>2</w:t>
            </w:r>
          </w:p>
        </w:tc>
        <w:tc>
          <w:tcPr>
            <w:tcW w:w="687" w:type="pct"/>
            <w:vMerge w:val="restart"/>
            <w:hideMark/>
          </w:tcPr>
          <w:p w14:paraId="5AF7B660" w14:textId="77777777" w:rsidR="009C586E" w:rsidRPr="00225C91" w:rsidRDefault="009C586E" w:rsidP="001E40B4">
            <w:pPr>
              <w:pStyle w:val="Tabelle-Text"/>
            </w:pPr>
            <w:r w:rsidRPr="00225C91">
              <w:t xml:space="preserve">Food labelling </w:t>
            </w:r>
          </w:p>
          <w:p w14:paraId="13640CB6" w14:textId="6C1161CC" w:rsidR="009C586E" w:rsidRPr="00225C91" w:rsidRDefault="009C586E" w:rsidP="001E40B4">
            <w:pPr>
              <w:pStyle w:val="Tabelle-Text"/>
            </w:pPr>
            <w:r w:rsidRPr="00225C91">
              <w:t xml:space="preserve"> </w:t>
            </w:r>
          </w:p>
        </w:tc>
        <w:tc>
          <w:tcPr>
            <w:tcW w:w="4138" w:type="pct"/>
            <w:gridSpan w:val="3"/>
            <w:hideMark/>
          </w:tcPr>
          <w:p w14:paraId="17123811" w14:textId="454C6C9F" w:rsidR="009C586E" w:rsidRPr="00225C91" w:rsidRDefault="009C586E" w:rsidP="001E40B4">
            <w:pPr>
              <w:pStyle w:val="Tabelle-Text"/>
            </w:pPr>
            <w:r w:rsidRPr="00225C91">
              <w:t>There is a regulatory system implemented by the government for consumer-oriented labelling on food packaging and menu boards in restaurants to enable consumers to easily make informed food choices and to prevent misleading claims.</w:t>
            </w:r>
          </w:p>
        </w:tc>
      </w:tr>
      <w:tr w:rsidR="00574C31" w:rsidRPr="00FC2735" w14:paraId="221C7959" w14:textId="77777777" w:rsidTr="005B67D6">
        <w:trPr>
          <w:trHeight w:val="20"/>
        </w:trPr>
        <w:tc>
          <w:tcPr>
            <w:tcW w:w="175" w:type="pct"/>
            <w:vMerge/>
            <w:hideMark/>
          </w:tcPr>
          <w:p w14:paraId="0AA73F3E" w14:textId="0EBE164F" w:rsidR="009C586E" w:rsidRPr="00225C91" w:rsidRDefault="009C586E" w:rsidP="001E40B4">
            <w:pPr>
              <w:pStyle w:val="Tabelle-Text"/>
            </w:pPr>
          </w:p>
        </w:tc>
        <w:tc>
          <w:tcPr>
            <w:tcW w:w="687" w:type="pct"/>
            <w:vMerge/>
            <w:hideMark/>
          </w:tcPr>
          <w:p w14:paraId="4D31DC0E" w14:textId="446B1454" w:rsidR="009C586E" w:rsidRPr="00225C91" w:rsidRDefault="009C586E" w:rsidP="001E40B4">
            <w:pPr>
              <w:pStyle w:val="Tabelle-Text"/>
            </w:pPr>
          </w:p>
        </w:tc>
        <w:tc>
          <w:tcPr>
            <w:tcW w:w="579" w:type="pct"/>
            <w:hideMark/>
          </w:tcPr>
          <w:p w14:paraId="0CD3D736" w14:textId="77777777" w:rsidR="009C586E" w:rsidRPr="00225C91" w:rsidRDefault="009C586E" w:rsidP="001E40B4">
            <w:pPr>
              <w:pStyle w:val="Tabelle-Text"/>
            </w:pPr>
            <w:r w:rsidRPr="00225C91">
              <w:t>LABEL1</w:t>
            </w:r>
          </w:p>
        </w:tc>
        <w:tc>
          <w:tcPr>
            <w:tcW w:w="755" w:type="pct"/>
            <w:hideMark/>
          </w:tcPr>
          <w:p w14:paraId="35F3E917" w14:textId="77777777" w:rsidR="009C586E" w:rsidRPr="00225C91" w:rsidRDefault="009C586E" w:rsidP="001E40B4">
            <w:pPr>
              <w:pStyle w:val="Tabelle-Text"/>
            </w:pPr>
            <w:r w:rsidRPr="00225C91">
              <w:t>Ingredient lists and nutrient declarations</w:t>
            </w:r>
          </w:p>
        </w:tc>
        <w:tc>
          <w:tcPr>
            <w:tcW w:w="2803" w:type="pct"/>
            <w:hideMark/>
          </w:tcPr>
          <w:p w14:paraId="6941F337" w14:textId="77777777" w:rsidR="009C586E" w:rsidRPr="00225C91" w:rsidRDefault="009C586E" w:rsidP="001E40B4">
            <w:pPr>
              <w:pStyle w:val="Tabelle-Text"/>
            </w:pPr>
            <w:r w:rsidRPr="00225C91">
              <w:t>Ingredient lists and nutrient declarations in line with Codex recommendations are present on the labels of all packaged foods</w:t>
            </w:r>
          </w:p>
        </w:tc>
      </w:tr>
      <w:tr w:rsidR="00574C31" w:rsidRPr="00FC2735" w14:paraId="5B6EA16E" w14:textId="77777777" w:rsidTr="005B67D6">
        <w:trPr>
          <w:trHeight w:val="20"/>
        </w:trPr>
        <w:tc>
          <w:tcPr>
            <w:tcW w:w="175" w:type="pct"/>
            <w:vMerge/>
            <w:hideMark/>
          </w:tcPr>
          <w:p w14:paraId="3968022E" w14:textId="6EA8B590" w:rsidR="009C586E" w:rsidRPr="00225C91" w:rsidRDefault="009C586E" w:rsidP="001E40B4">
            <w:pPr>
              <w:pStyle w:val="Tabelle-Text"/>
            </w:pPr>
          </w:p>
        </w:tc>
        <w:tc>
          <w:tcPr>
            <w:tcW w:w="687" w:type="pct"/>
            <w:vMerge/>
            <w:hideMark/>
          </w:tcPr>
          <w:p w14:paraId="6628770D" w14:textId="186D8001" w:rsidR="009C586E" w:rsidRPr="00225C91" w:rsidRDefault="009C586E" w:rsidP="001E40B4">
            <w:pPr>
              <w:pStyle w:val="Tabelle-Text"/>
            </w:pPr>
          </w:p>
        </w:tc>
        <w:tc>
          <w:tcPr>
            <w:tcW w:w="579" w:type="pct"/>
            <w:hideMark/>
          </w:tcPr>
          <w:p w14:paraId="396C0D7B" w14:textId="77777777" w:rsidR="009C586E" w:rsidRPr="00225C91" w:rsidRDefault="009C586E" w:rsidP="001E40B4">
            <w:pPr>
              <w:pStyle w:val="Tabelle-Text"/>
            </w:pPr>
            <w:r w:rsidRPr="00225C91">
              <w:t>LABEL2</w:t>
            </w:r>
          </w:p>
        </w:tc>
        <w:tc>
          <w:tcPr>
            <w:tcW w:w="755" w:type="pct"/>
            <w:hideMark/>
          </w:tcPr>
          <w:p w14:paraId="014E06C6" w14:textId="77777777" w:rsidR="009C586E" w:rsidRPr="00225C91" w:rsidRDefault="009C586E" w:rsidP="001E40B4">
            <w:pPr>
              <w:pStyle w:val="Tabelle-Text"/>
            </w:pPr>
            <w:r w:rsidRPr="00225C91">
              <w:t>Nutrition and health claims</w:t>
            </w:r>
          </w:p>
        </w:tc>
        <w:tc>
          <w:tcPr>
            <w:tcW w:w="2803" w:type="pct"/>
            <w:hideMark/>
          </w:tcPr>
          <w:p w14:paraId="29667A4D" w14:textId="77777777" w:rsidR="009C586E" w:rsidRPr="00225C91" w:rsidRDefault="009C586E" w:rsidP="001E40B4">
            <w:pPr>
              <w:pStyle w:val="Tabelle-Text"/>
            </w:pPr>
            <w:r w:rsidRPr="00225C91">
              <w:t>Robust, evidence-based regulatory systems are in place for approving/reviewing claims on foods, so that consumers are protected against unsubstantiated and misleading nutrition and health claims</w:t>
            </w:r>
          </w:p>
        </w:tc>
      </w:tr>
      <w:tr w:rsidR="00574C31" w:rsidRPr="00FC2735" w14:paraId="62605213" w14:textId="77777777" w:rsidTr="005B67D6">
        <w:trPr>
          <w:trHeight w:val="20"/>
        </w:trPr>
        <w:tc>
          <w:tcPr>
            <w:tcW w:w="175" w:type="pct"/>
            <w:vMerge/>
            <w:hideMark/>
          </w:tcPr>
          <w:p w14:paraId="3E33ECEA" w14:textId="2FC5C296" w:rsidR="009C586E" w:rsidRPr="00225C91" w:rsidRDefault="009C586E" w:rsidP="001E40B4">
            <w:pPr>
              <w:pStyle w:val="Tabelle-Text"/>
            </w:pPr>
          </w:p>
        </w:tc>
        <w:tc>
          <w:tcPr>
            <w:tcW w:w="687" w:type="pct"/>
            <w:vMerge/>
            <w:hideMark/>
          </w:tcPr>
          <w:p w14:paraId="69149709" w14:textId="5E691426" w:rsidR="009C586E" w:rsidRPr="00225C91" w:rsidRDefault="009C586E" w:rsidP="001E40B4">
            <w:pPr>
              <w:pStyle w:val="Tabelle-Text"/>
            </w:pPr>
          </w:p>
        </w:tc>
        <w:tc>
          <w:tcPr>
            <w:tcW w:w="579" w:type="pct"/>
            <w:hideMark/>
          </w:tcPr>
          <w:p w14:paraId="55F31FCA" w14:textId="77777777" w:rsidR="009C586E" w:rsidRPr="00225C91" w:rsidRDefault="009C586E" w:rsidP="001E40B4">
            <w:pPr>
              <w:pStyle w:val="Tabelle-Text"/>
            </w:pPr>
            <w:r w:rsidRPr="00225C91">
              <w:t>LABEL3</w:t>
            </w:r>
          </w:p>
        </w:tc>
        <w:tc>
          <w:tcPr>
            <w:tcW w:w="755" w:type="pct"/>
            <w:hideMark/>
          </w:tcPr>
          <w:p w14:paraId="6B177B52" w14:textId="77777777" w:rsidR="009C586E" w:rsidRPr="00225C91" w:rsidRDefault="009C586E" w:rsidP="001E40B4">
            <w:pPr>
              <w:pStyle w:val="Tabelle-Text"/>
            </w:pPr>
            <w:r w:rsidRPr="00225C91">
              <w:t>Front-of-pack nutrition information</w:t>
            </w:r>
          </w:p>
        </w:tc>
        <w:tc>
          <w:tcPr>
            <w:tcW w:w="2803" w:type="pct"/>
            <w:hideMark/>
          </w:tcPr>
          <w:p w14:paraId="7EE2EB0D" w14:textId="77777777" w:rsidR="009C586E" w:rsidRPr="00225C91" w:rsidRDefault="009C586E" w:rsidP="001E40B4">
            <w:pPr>
              <w:pStyle w:val="Tabelle-Text"/>
            </w:pPr>
            <w:r w:rsidRPr="00225C91">
              <w:t>A single, consistent, interpretive, evidence-informed front-of-pack supplementary nutrition information system, which readily allows consumers to assess a product’s healthiness, is applied to all packaged foods</w:t>
            </w:r>
          </w:p>
        </w:tc>
      </w:tr>
      <w:tr w:rsidR="00574C31" w:rsidRPr="00FC2735" w14:paraId="347C5B9B" w14:textId="77777777" w:rsidTr="005B67D6">
        <w:trPr>
          <w:trHeight w:val="20"/>
        </w:trPr>
        <w:tc>
          <w:tcPr>
            <w:tcW w:w="175" w:type="pct"/>
            <w:vMerge/>
            <w:hideMark/>
          </w:tcPr>
          <w:p w14:paraId="24398296" w14:textId="6C13A955" w:rsidR="009C586E" w:rsidRPr="00225C91" w:rsidRDefault="009C586E" w:rsidP="001E40B4">
            <w:pPr>
              <w:pStyle w:val="Tabelle-Text"/>
            </w:pPr>
          </w:p>
        </w:tc>
        <w:tc>
          <w:tcPr>
            <w:tcW w:w="687" w:type="pct"/>
            <w:vMerge/>
            <w:hideMark/>
          </w:tcPr>
          <w:p w14:paraId="4D538C9B" w14:textId="1563EA97" w:rsidR="009C586E" w:rsidRPr="00225C91" w:rsidRDefault="009C586E" w:rsidP="001E40B4">
            <w:pPr>
              <w:pStyle w:val="Tabelle-Text"/>
            </w:pPr>
          </w:p>
        </w:tc>
        <w:tc>
          <w:tcPr>
            <w:tcW w:w="579" w:type="pct"/>
            <w:hideMark/>
          </w:tcPr>
          <w:p w14:paraId="19460787" w14:textId="77777777" w:rsidR="009C586E" w:rsidRPr="00225C91" w:rsidRDefault="009C586E" w:rsidP="001E40B4">
            <w:pPr>
              <w:pStyle w:val="Tabelle-Text"/>
            </w:pPr>
            <w:r w:rsidRPr="00225C91">
              <w:t>LABEL4</w:t>
            </w:r>
          </w:p>
        </w:tc>
        <w:tc>
          <w:tcPr>
            <w:tcW w:w="755" w:type="pct"/>
            <w:hideMark/>
          </w:tcPr>
          <w:p w14:paraId="2E9B8B21" w14:textId="77777777" w:rsidR="009C586E" w:rsidRPr="00225C91" w:rsidRDefault="009C586E" w:rsidP="001E40B4">
            <w:pPr>
              <w:pStyle w:val="Tabelle-Text"/>
            </w:pPr>
            <w:r w:rsidRPr="00225C91">
              <w:t>Out-of-home settings / food service outlets</w:t>
            </w:r>
          </w:p>
        </w:tc>
        <w:tc>
          <w:tcPr>
            <w:tcW w:w="2803" w:type="pct"/>
            <w:hideMark/>
          </w:tcPr>
          <w:p w14:paraId="20353699" w14:textId="093BB39C" w:rsidR="009C586E" w:rsidRPr="00225C91" w:rsidRDefault="009C586E" w:rsidP="001E40B4">
            <w:pPr>
              <w:pStyle w:val="Tabelle-Text"/>
            </w:pPr>
            <w:r w:rsidRPr="00225C91">
              <w:t xml:space="preserve">A consistent, single, simple, clearly visible system of labelling </w:t>
            </w:r>
            <w:r w:rsidR="00396DB5" w:rsidRPr="00225C91">
              <w:t xml:space="preserve">on </w:t>
            </w:r>
            <w:r w:rsidRPr="00225C91">
              <w:t xml:space="preserve">the menu boards of all quick service restaurants (i.e. fast-food chains) is applied by the government, which allows consumers to interpret the </w:t>
            </w:r>
            <w:r w:rsidRPr="00225C91">
              <w:lastRenderedPageBreak/>
              <w:t>nutrient quality and energy content of foods and meals on sale</w:t>
            </w:r>
          </w:p>
        </w:tc>
      </w:tr>
      <w:tr w:rsidR="00574C31" w:rsidRPr="00FC2735" w14:paraId="23DE5B90" w14:textId="77777777" w:rsidTr="005B67D6">
        <w:trPr>
          <w:trHeight w:val="20"/>
        </w:trPr>
        <w:tc>
          <w:tcPr>
            <w:tcW w:w="175" w:type="pct"/>
            <w:vMerge/>
            <w:hideMark/>
          </w:tcPr>
          <w:p w14:paraId="21D322DA" w14:textId="1FC46BF5" w:rsidR="009C586E" w:rsidRPr="00225C91" w:rsidRDefault="009C586E" w:rsidP="001E40B4">
            <w:pPr>
              <w:pStyle w:val="Tabelle-Text"/>
            </w:pPr>
          </w:p>
        </w:tc>
        <w:tc>
          <w:tcPr>
            <w:tcW w:w="687" w:type="pct"/>
            <w:vMerge/>
            <w:hideMark/>
          </w:tcPr>
          <w:p w14:paraId="3BECBAFF" w14:textId="5899774E" w:rsidR="009C586E" w:rsidRPr="00225C91" w:rsidRDefault="009C586E" w:rsidP="001E40B4">
            <w:pPr>
              <w:pStyle w:val="Tabelle-Text"/>
            </w:pPr>
          </w:p>
        </w:tc>
        <w:tc>
          <w:tcPr>
            <w:tcW w:w="579" w:type="pct"/>
            <w:hideMark/>
          </w:tcPr>
          <w:p w14:paraId="03CE8C27" w14:textId="77777777" w:rsidR="009C586E" w:rsidRPr="00EC5F1A" w:rsidRDefault="009C586E" w:rsidP="001E40B4">
            <w:pPr>
              <w:pStyle w:val="Tabelle-Text"/>
              <w:rPr>
                <w:color w:val="EF3A84" w:themeColor="background2"/>
              </w:rPr>
            </w:pPr>
            <w:r w:rsidRPr="00EC5F1A">
              <w:rPr>
                <w:color w:val="EF3A84" w:themeColor="background2"/>
              </w:rPr>
              <w:t>LABEL5</w:t>
            </w:r>
          </w:p>
        </w:tc>
        <w:tc>
          <w:tcPr>
            <w:tcW w:w="755" w:type="pct"/>
            <w:hideMark/>
          </w:tcPr>
          <w:p w14:paraId="25E35A88" w14:textId="77777777" w:rsidR="009C586E" w:rsidRPr="00EC5F1A" w:rsidRDefault="009C586E" w:rsidP="001E40B4">
            <w:pPr>
              <w:pStyle w:val="Tabelle-Text"/>
              <w:rPr>
                <w:color w:val="EF3A84" w:themeColor="background2"/>
              </w:rPr>
            </w:pPr>
            <w:r w:rsidRPr="00EC5F1A">
              <w:rPr>
                <w:color w:val="EF3A84" w:themeColor="background2"/>
              </w:rPr>
              <w:t>Ecological impact</w:t>
            </w:r>
          </w:p>
        </w:tc>
        <w:tc>
          <w:tcPr>
            <w:tcW w:w="2803" w:type="pct"/>
            <w:hideMark/>
          </w:tcPr>
          <w:p w14:paraId="55641C56" w14:textId="77777777" w:rsidR="009C586E" w:rsidRPr="00EC5F1A" w:rsidRDefault="009C586E" w:rsidP="001E40B4">
            <w:pPr>
              <w:pStyle w:val="Tabelle-Text"/>
              <w:rPr>
                <w:color w:val="EF3A84" w:themeColor="background2"/>
              </w:rPr>
            </w:pPr>
            <w:r w:rsidRPr="00EC5F1A">
              <w:rPr>
                <w:color w:val="EF3A84" w:themeColor="background2"/>
              </w:rPr>
              <w:t>There is one or more government-supported, evidence-based, graphical front-of-pack labelling systems on packaged foods that enable consumers to assess the ecological impact of a product</w:t>
            </w:r>
          </w:p>
          <w:p w14:paraId="1E14ED3F" w14:textId="7C9FFE95" w:rsidR="00491BA1" w:rsidRPr="00EC5F1A" w:rsidRDefault="00491BA1" w:rsidP="001E40B4">
            <w:pPr>
              <w:pStyle w:val="Tabelle-Text"/>
              <w:rPr>
                <w:i/>
                <w:iCs/>
                <w:color w:val="EF3A84" w:themeColor="background2"/>
              </w:rPr>
            </w:pPr>
            <w:r w:rsidRPr="00EC5F1A">
              <w:rPr>
                <w:i/>
                <w:iCs/>
                <w:color w:val="EF3A84" w:themeColor="background2"/>
              </w:rPr>
              <w:t>Note: New indicator to account for sustainability</w:t>
            </w:r>
          </w:p>
        </w:tc>
      </w:tr>
      <w:tr w:rsidR="00210771" w:rsidRPr="00FC2735" w14:paraId="7D5E1492" w14:textId="77777777" w:rsidTr="005B67D6">
        <w:trPr>
          <w:trHeight w:val="20"/>
        </w:trPr>
        <w:tc>
          <w:tcPr>
            <w:tcW w:w="175" w:type="pct"/>
            <w:vMerge w:val="restart"/>
            <w:hideMark/>
          </w:tcPr>
          <w:p w14:paraId="246B5657" w14:textId="23F8D20D" w:rsidR="009C586E" w:rsidRPr="00225C91" w:rsidRDefault="009C586E" w:rsidP="001E40B4">
            <w:pPr>
              <w:pStyle w:val="Tabelle-Text"/>
            </w:pPr>
            <w:r w:rsidRPr="00225C91">
              <w:t>3</w:t>
            </w:r>
          </w:p>
        </w:tc>
        <w:tc>
          <w:tcPr>
            <w:tcW w:w="687" w:type="pct"/>
            <w:vMerge w:val="restart"/>
            <w:hideMark/>
          </w:tcPr>
          <w:p w14:paraId="44DC15D5" w14:textId="7566C735" w:rsidR="009C586E" w:rsidRPr="00225C91" w:rsidRDefault="009C586E" w:rsidP="001E40B4">
            <w:pPr>
              <w:pStyle w:val="Tabelle-Text"/>
            </w:pPr>
            <w:r w:rsidRPr="00225C91">
              <w:t>Food promotion</w:t>
            </w:r>
          </w:p>
        </w:tc>
        <w:tc>
          <w:tcPr>
            <w:tcW w:w="4138" w:type="pct"/>
            <w:gridSpan w:val="3"/>
            <w:hideMark/>
          </w:tcPr>
          <w:p w14:paraId="125C6367" w14:textId="236BE88B" w:rsidR="009C586E" w:rsidRPr="00225C91" w:rsidRDefault="009C586E" w:rsidP="001E40B4">
            <w:pPr>
              <w:pStyle w:val="Tabelle-Text"/>
            </w:pPr>
            <w:r w:rsidRPr="00225C91">
              <w:t>There is a comprehensive policy implemented by the government to reduce the impact (exposure and power) of promotion of unhealthy foods to children (&lt;16years) across all media</w:t>
            </w:r>
          </w:p>
        </w:tc>
      </w:tr>
      <w:tr w:rsidR="00574C31" w:rsidRPr="00FC2735" w14:paraId="0F75DFAB" w14:textId="77777777" w:rsidTr="005B67D6">
        <w:trPr>
          <w:trHeight w:val="20"/>
        </w:trPr>
        <w:tc>
          <w:tcPr>
            <w:tcW w:w="175" w:type="pct"/>
            <w:vMerge/>
            <w:hideMark/>
          </w:tcPr>
          <w:p w14:paraId="1D48210C" w14:textId="534ACEAD" w:rsidR="009C586E" w:rsidRPr="00225C91" w:rsidRDefault="009C586E" w:rsidP="001E40B4">
            <w:pPr>
              <w:pStyle w:val="Tabelle-Text"/>
            </w:pPr>
          </w:p>
        </w:tc>
        <w:tc>
          <w:tcPr>
            <w:tcW w:w="687" w:type="pct"/>
            <w:vMerge/>
            <w:hideMark/>
          </w:tcPr>
          <w:p w14:paraId="73289482" w14:textId="79BB3100" w:rsidR="009C586E" w:rsidRPr="00225C91" w:rsidRDefault="009C586E" w:rsidP="001E40B4">
            <w:pPr>
              <w:pStyle w:val="Tabelle-Text"/>
            </w:pPr>
          </w:p>
        </w:tc>
        <w:tc>
          <w:tcPr>
            <w:tcW w:w="579" w:type="pct"/>
            <w:hideMark/>
          </w:tcPr>
          <w:p w14:paraId="76D6468B" w14:textId="77777777" w:rsidR="009C586E" w:rsidRPr="00225C91" w:rsidRDefault="009C586E" w:rsidP="001E40B4">
            <w:pPr>
              <w:pStyle w:val="Tabelle-Text"/>
            </w:pPr>
            <w:r w:rsidRPr="00225C91">
              <w:t>PROMO1</w:t>
            </w:r>
          </w:p>
        </w:tc>
        <w:tc>
          <w:tcPr>
            <w:tcW w:w="755" w:type="pct"/>
            <w:hideMark/>
          </w:tcPr>
          <w:p w14:paraId="155D4480" w14:textId="77777777" w:rsidR="009C586E" w:rsidRPr="00225C91" w:rsidRDefault="009C586E" w:rsidP="001E40B4">
            <w:pPr>
              <w:pStyle w:val="Tabelle-Text"/>
            </w:pPr>
            <w:r w:rsidRPr="00225C91">
              <w:t>Broadcast media</w:t>
            </w:r>
          </w:p>
        </w:tc>
        <w:tc>
          <w:tcPr>
            <w:tcW w:w="2803" w:type="pct"/>
            <w:hideMark/>
          </w:tcPr>
          <w:p w14:paraId="36199BAC" w14:textId="77777777" w:rsidR="009C586E" w:rsidRPr="00225C91" w:rsidRDefault="009C586E" w:rsidP="001E40B4">
            <w:pPr>
              <w:pStyle w:val="Tabelle-Text"/>
            </w:pPr>
            <w:r w:rsidRPr="00225C91">
              <w:t>Effective policies are implemented by the government to restrict exposure and power of promotion of unhealthy foods to children through broadcast media (TV, radio)</w:t>
            </w:r>
          </w:p>
        </w:tc>
      </w:tr>
      <w:tr w:rsidR="00574C31" w:rsidRPr="00FC2735" w14:paraId="7EF8F711" w14:textId="77777777" w:rsidTr="005B67D6">
        <w:trPr>
          <w:trHeight w:val="20"/>
        </w:trPr>
        <w:tc>
          <w:tcPr>
            <w:tcW w:w="175" w:type="pct"/>
            <w:vMerge/>
            <w:hideMark/>
          </w:tcPr>
          <w:p w14:paraId="38124FDB" w14:textId="4D27D757" w:rsidR="009C586E" w:rsidRPr="00225C91" w:rsidRDefault="009C586E" w:rsidP="001E40B4">
            <w:pPr>
              <w:pStyle w:val="Tabelle-Text"/>
            </w:pPr>
          </w:p>
        </w:tc>
        <w:tc>
          <w:tcPr>
            <w:tcW w:w="687" w:type="pct"/>
            <w:vMerge/>
            <w:hideMark/>
          </w:tcPr>
          <w:p w14:paraId="318E48E5" w14:textId="6B0DCA25" w:rsidR="009C586E" w:rsidRPr="00225C91" w:rsidRDefault="009C586E" w:rsidP="001E40B4">
            <w:pPr>
              <w:pStyle w:val="Tabelle-Text"/>
            </w:pPr>
          </w:p>
        </w:tc>
        <w:tc>
          <w:tcPr>
            <w:tcW w:w="579" w:type="pct"/>
            <w:hideMark/>
          </w:tcPr>
          <w:p w14:paraId="3A8F45D8" w14:textId="77777777" w:rsidR="009C586E" w:rsidRPr="00225C91" w:rsidRDefault="009C586E" w:rsidP="001E40B4">
            <w:pPr>
              <w:pStyle w:val="Tabelle-Text"/>
            </w:pPr>
            <w:r w:rsidRPr="00225C91">
              <w:t>PROMO2</w:t>
            </w:r>
          </w:p>
        </w:tc>
        <w:tc>
          <w:tcPr>
            <w:tcW w:w="755" w:type="pct"/>
            <w:hideMark/>
          </w:tcPr>
          <w:p w14:paraId="25774257" w14:textId="77777777" w:rsidR="009C586E" w:rsidRPr="00225C91" w:rsidRDefault="009C586E" w:rsidP="001E40B4">
            <w:pPr>
              <w:pStyle w:val="Tabelle-Text"/>
            </w:pPr>
            <w:r w:rsidRPr="00225C91">
              <w:t>None broadcast media</w:t>
            </w:r>
          </w:p>
        </w:tc>
        <w:tc>
          <w:tcPr>
            <w:tcW w:w="2803" w:type="pct"/>
            <w:hideMark/>
          </w:tcPr>
          <w:p w14:paraId="6B38D965" w14:textId="4AE5934A" w:rsidR="009C586E" w:rsidRPr="00225C91" w:rsidRDefault="009C586E" w:rsidP="001E40B4">
            <w:pPr>
              <w:pStyle w:val="Tabelle-Text"/>
            </w:pPr>
            <w:r w:rsidRPr="00225C91">
              <w:t>Effective policies are implemented by the government to restrict exposure and power of promotion of unhealthy foods to children through non</w:t>
            </w:r>
            <w:r w:rsidR="00F771FB" w:rsidRPr="00225C91">
              <w:t xml:space="preserve">e </w:t>
            </w:r>
            <w:r w:rsidRPr="00225C91">
              <w:t>broadcast media (e.g. Internet, social media, food packaging, sponsorship, outdoor advertising including around schools)</w:t>
            </w:r>
          </w:p>
        </w:tc>
      </w:tr>
      <w:tr w:rsidR="00574C31" w:rsidRPr="00FC2735" w14:paraId="5E42E348" w14:textId="77777777" w:rsidTr="005B67D6">
        <w:trPr>
          <w:trHeight w:val="20"/>
        </w:trPr>
        <w:tc>
          <w:tcPr>
            <w:tcW w:w="175" w:type="pct"/>
            <w:vMerge/>
            <w:hideMark/>
          </w:tcPr>
          <w:p w14:paraId="302B3F4A" w14:textId="3F5623E9" w:rsidR="009C586E" w:rsidRPr="00225C91" w:rsidRDefault="009C586E" w:rsidP="001E40B4">
            <w:pPr>
              <w:pStyle w:val="Tabelle-Text"/>
            </w:pPr>
          </w:p>
        </w:tc>
        <w:tc>
          <w:tcPr>
            <w:tcW w:w="687" w:type="pct"/>
            <w:vMerge/>
            <w:hideMark/>
          </w:tcPr>
          <w:p w14:paraId="0627B3F5" w14:textId="5232B0B3" w:rsidR="009C586E" w:rsidRPr="00225C91" w:rsidRDefault="009C586E" w:rsidP="001E40B4">
            <w:pPr>
              <w:pStyle w:val="Tabelle-Text"/>
            </w:pPr>
          </w:p>
        </w:tc>
        <w:tc>
          <w:tcPr>
            <w:tcW w:w="579" w:type="pct"/>
            <w:hideMark/>
          </w:tcPr>
          <w:p w14:paraId="3C2F68B7" w14:textId="77777777" w:rsidR="009C586E" w:rsidRPr="00225C91" w:rsidRDefault="009C586E" w:rsidP="001E40B4">
            <w:pPr>
              <w:pStyle w:val="Tabelle-Text"/>
            </w:pPr>
            <w:r w:rsidRPr="00225C91">
              <w:t>PROMO3</w:t>
            </w:r>
          </w:p>
        </w:tc>
        <w:tc>
          <w:tcPr>
            <w:tcW w:w="755" w:type="pct"/>
            <w:hideMark/>
          </w:tcPr>
          <w:p w14:paraId="01D0FC7E" w14:textId="77777777" w:rsidR="009C586E" w:rsidRPr="00225C91" w:rsidRDefault="009C586E" w:rsidP="001E40B4">
            <w:pPr>
              <w:pStyle w:val="Tabelle-Text"/>
            </w:pPr>
            <w:r w:rsidRPr="00225C91">
              <w:t>Settings where children gather</w:t>
            </w:r>
          </w:p>
        </w:tc>
        <w:tc>
          <w:tcPr>
            <w:tcW w:w="2803" w:type="pct"/>
            <w:hideMark/>
          </w:tcPr>
          <w:p w14:paraId="4973103D" w14:textId="77777777" w:rsidR="009C586E" w:rsidRPr="00225C91" w:rsidRDefault="009C586E" w:rsidP="001E40B4">
            <w:pPr>
              <w:pStyle w:val="Tabelle-Text"/>
            </w:pPr>
            <w:r w:rsidRPr="00225C91">
              <w:t>Effective policies are implemented by the government to ensure that unhealthy foods are not commercially promoted to children in settings where children gather (e.g. preschools, schools, sport and cultural events)</w:t>
            </w:r>
          </w:p>
        </w:tc>
      </w:tr>
      <w:tr w:rsidR="00574C31" w:rsidRPr="00FC2735" w14:paraId="0B608E64" w14:textId="77777777" w:rsidTr="005B67D6">
        <w:trPr>
          <w:trHeight w:val="20"/>
        </w:trPr>
        <w:tc>
          <w:tcPr>
            <w:tcW w:w="175" w:type="pct"/>
            <w:vMerge/>
            <w:hideMark/>
          </w:tcPr>
          <w:p w14:paraId="471619F2" w14:textId="3EAF0B20" w:rsidR="009C586E" w:rsidRPr="00225C91" w:rsidRDefault="009C586E" w:rsidP="001E40B4">
            <w:pPr>
              <w:pStyle w:val="Tabelle-Text"/>
            </w:pPr>
          </w:p>
        </w:tc>
        <w:tc>
          <w:tcPr>
            <w:tcW w:w="687" w:type="pct"/>
            <w:vMerge/>
            <w:hideMark/>
          </w:tcPr>
          <w:p w14:paraId="35EE3C1F" w14:textId="0A6992D7" w:rsidR="009C586E" w:rsidRPr="00225C91" w:rsidRDefault="009C586E" w:rsidP="001E40B4">
            <w:pPr>
              <w:pStyle w:val="Tabelle-Text"/>
            </w:pPr>
          </w:p>
        </w:tc>
        <w:tc>
          <w:tcPr>
            <w:tcW w:w="579" w:type="pct"/>
            <w:hideMark/>
          </w:tcPr>
          <w:p w14:paraId="0F85379F" w14:textId="77777777" w:rsidR="009C586E" w:rsidRPr="00225C91" w:rsidRDefault="009C586E" w:rsidP="001E40B4">
            <w:pPr>
              <w:pStyle w:val="Tabelle-Text"/>
            </w:pPr>
            <w:r w:rsidRPr="00225C91">
              <w:t>PROMO4</w:t>
            </w:r>
          </w:p>
        </w:tc>
        <w:tc>
          <w:tcPr>
            <w:tcW w:w="755" w:type="pct"/>
            <w:hideMark/>
          </w:tcPr>
          <w:p w14:paraId="04B397BF" w14:textId="77777777" w:rsidR="009C586E" w:rsidRPr="00225C91" w:rsidRDefault="009C586E" w:rsidP="001E40B4">
            <w:pPr>
              <w:pStyle w:val="Tabelle-Text"/>
            </w:pPr>
            <w:r w:rsidRPr="00225C91">
              <w:t>(Public) infrastructure and spaces</w:t>
            </w:r>
          </w:p>
        </w:tc>
        <w:tc>
          <w:tcPr>
            <w:tcW w:w="2803" w:type="pct"/>
            <w:hideMark/>
          </w:tcPr>
          <w:p w14:paraId="0FBD75CE" w14:textId="77777777" w:rsidR="009C586E" w:rsidRPr="00225C91" w:rsidRDefault="009C586E" w:rsidP="001E40B4">
            <w:pPr>
              <w:pStyle w:val="Tabelle-Text"/>
            </w:pPr>
            <w:r w:rsidRPr="00225C91">
              <w:t>Effective policies are implemented by the government to prevent unhealthy foods from being advertised in places where children and adolescents gather (e.g., kindergartens, schools, sports, and recreational facilities)</w:t>
            </w:r>
          </w:p>
          <w:p w14:paraId="78D12AB6" w14:textId="45335BC7" w:rsidR="0066754D" w:rsidRPr="00ED7AEA" w:rsidRDefault="00BF253D" w:rsidP="001E40B4">
            <w:pPr>
              <w:pStyle w:val="Tabelle-Text"/>
            </w:pPr>
            <w:r w:rsidRPr="00EC5F1A">
              <w:rPr>
                <w:i/>
                <w:iCs/>
                <w:color w:val="EF3A84" w:themeColor="background2"/>
              </w:rPr>
              <w:t xml:space="preserve">Note: </w:t>
            </w:r>
            <w:r w:rsidR="00225C91" w:rsidRPr="00EC5F1A">
              <w:rPr>
                <w:i/>
                <w:iCs/>
                <w:color w:val="EF3A84" w:themeColor="background2"/>
              </w:rPr>
              <w:t>I</w:t>
            </w:r>
            <w:r w:rsidR="0066754D" w:rsidRPr="00EC5F1A">
              <w:rPr>
                <w:i/>
                <w:iCs/>
                <w:color w:val="EF3A84" w:themeColor="background2"/>
              </w:rPr>
              <w:t xml:space="preserve">ndicator </w:t>
            </w:r>
            <w:r w:rsidRPr="00EC5F1A">
              <w:rPr>
                <w:i/>
                <w:iCs/>
                <w:color w:val="EF3A84" w:themeColor="background2"/>
              </w:rPr>
              <w:t xml:space="preserve">taken from the </w:t>
            </w:r>
            <w:r w:rsidR="0066754D" w:rsidRPr="00EC5F1A">
              <w:rPr>
                <w:i/>
                <w:iCs/>
                <w:color w:val="EF3A84" w:themeColor="background2"/>
              </w:rPr>
              <w:t>German Food-EPI</w:t>
            </w:r>
            <w:r w:rsidR="0066754D" w:rsidRPr="00ED7AEA">
              <w:rPr>
                <w:color w:val="EF3A84" w:themeColor="background2"/>
              </w:rPr>
              <w:t xml:space="preserve"> </w:t>
            </w:r>
            <w:r w:rsidR="0066754D" w:rsidRPr="00186FCB">
              <w:fldChar w:fldCharType="begin"/>
            </w:r>
            <w:r w:rsidR="00216423">
              <w:instrText xml:space="preserve"> ADDIN ZOTERO_ITEM CSL_CITATION {"citationID":"a14ftld25uh","properties":{"formattedCitation":"[2]","plainCitation":"[2]","noteIndex":0},"citationItems":[{"id":166,"uris":["http://zotero.org/users/5617569/items/NZM7E5P4"],"itemData":{"id":166,"type":"article-journal","abstract":"Objective:\nTo systematically assess Germany’s nutrition policies, to benchmark them against international best practices and to identify priority policy actions to improve population-level nutrition in Germany.\n\n\nDesign:\nWe applied the Food Environment Policy Index (Food-EPI), a methodological framework developed by the International Network for Food and Obesity/non-communicable Diseases Research, Monitoring and Action Support (INFORMAS) network. Qualitative content analysis of laws, directives and other documents formed the basis of a multistaged, structured consultation process.\n\n\nSetting:\nGermany.\n\n\nParticipants:\nThe expert consultation process included fifty-five experts from academia, public administration and civil society.\n\n\nResults:\nGermany lags behind international best practices in several key policy areas. For eighteen policy indicators, the degree of implementation compared with international best practices was rated as very low, for twenty-one as low, for eight as intermediate and for none as high. In particular, indicators on food taxation, regulation of food marketing as well as retail and food service sector policies were rated as very low to low. Identified priority actions included the binding implementation of nutrition standards for schools and kindergartens, a reform of the value added tax on foods and beverages, a sugar-sweetened beverage tax and stricter regulation of food marketing directed at children.\n\n\nConclusions:\nThe results show that Germany makes insufficient use of the potential of evidence-informed health-promoting nutrition policies. Adopting international best practices in key policy areas could help to reduce the burden of nutrition-related chronic disease and related inequalities in nutrition and health in Germany. Implementation of relevant policies requires political leadership, a broad societal dialogue and evidence-informed advocacy by civil society, including the scientific community.","container-title":"Public Health Nutrition","DOI":"10.1017/S1368980021004742","ISSN":"1368-9800, 1475-2727","issue":"6","language":"en","page":"1691-1700","publisher":"Cambridge University Press","source":"Cambridge University Press","title":"Nutrition policies in Germany: a systematic assessment with the Food Environment Policy Index","title-short":"Nutrition policies in Germany","volume":"25","author":[{"family":"Philipsborn","given":"Peter","dropping-particle":"von"},{"family":"Geffert","given":"Karin"},{"family":"Klinger","given":"Carmen"},{"family":"Hebestreit","given":"Antje"},{"family":"Stratil","given":"Jan"},{"family":"Rehfuess","given":"Eva Annette"}],"issued":{"date-parts":[["2022",6]]}}}],"schema":"https://github.com/citation-style-language/schema/raw/master/csl-citation.json"} </w:instrText>
            </w:r>
            <w:r w:rsidR="0066754D" w:rsidRPr="00186FCB">
              <w:fldChar w:fldCharType="separate"/>
            </w:r>
            <w:r w:rsidR="00F833B1">
              <w:t>[2]</w:t>
            </w:r>
            <w:r w:rsidR="0066754D" w:rsidRPr="00186FCB">
              <w:fldChar w:fldCharType="end"/>
            </w:r>
          </w:p>
        </w:tc>
      </w:tr>
      <w:tr w:rsidR="00574C31" w:rsidRPr="00FC2735" w14:paraId="532DC4C3" w14:textId="77777777" w:rsidTr="005B67D6">
        <w:trPr>
          <w:trHeight w:val="20"/>
        </w:trPr>
        <w:tc>
          <w:tcPr>
            <w:tcW w:w="175" w:type="pct"/>
            <w:vMerge/>
            <w:hideMark/>
          </w:tcPr>
          <w:p w14:paraId="124358FD" w14:textId="2C29EC32" w:rsidR="009C586E" w:rsidRPr="00225C91" w:rsidRDefault="009C586E" w:rsidP="001E40B4">
            <w:pPr>
              <w:pStyle w:val="Tabelle-Text"/>
            </w:pPr>
          </w:p>
        </w:tc>
        <w:tc>
          <w:tcPr>
            <w:tcW w:w="687" w:type="pct"/>
            <w:vMerge/>
            <w:hideMark/>
          </w:tcPr>
          <w:p w14:paraId="3CB9A067" w14:textId="4D04C786" w:rsidR="009C586E" w:rsidRPr="00225C91" w:rsidRDefault="009C586E" w:rsidP="001E40B4">
            <w:pPr>
              <w:pStyle w:val="Tabelle-Text"/>
            </w:pPr>
          </w:p>
        </w:tc>
        <w:tc>
          <w:tcPr>
            <w:tcW w:w="579" w:type="pct"/>
            <w:hideMark/>
          </w:tcPr>
          <w:p w14:paraId="384B55A0" w14:textId="77777777" w:rsidR="009C586E" w:rsidRPr="00225C91" w:rsidRDefault="009C586E" w:rsidP="001E40B4">
            <w:pPr>
              <w:pStyle w:val="Tabelle-Text"/>
            </w:pPr>
            <w:r w:rsidRPr="00225C91">
              <w:t>PROMO5</w:t>
            </w:r>
          </w:p>
        </w:tc>
        <w:tc>
          <w:tcPr>
            <w:tcW w:w="755" w:type="pct"/>
            <w:hideMark/>
          </w:tcPr>
          <w:p w14:paraId="3D20BC88" w14:textId="77777777" w:rsidR="009C586E" w:rsidRPr="00225C91" w:rsidRDefault="009C586E" w:rsidP="001E40B4">
            <w:pPr>
              <w:pStyle w:val="Tabelle-Text"/>
            </w:pPr>
            <w:r w:rsidRPr="00225C91">
              <w:t>Product and packaging</w:t>
            </w:r>
          </w:p>
        </w:tc>
        <w:tc>
          <w:tcPr>
            <w:tcW w:w="2803" w:type="pct"/>
            <w:hideMark/>
          </w:tcPr>
          <w:p w14:paraId="232FD087" w14:textId="77777777" w:rsidR="009C586E" w:rsidRPr="00225C91" w:rsidRDefault="009C586E" w:rsidP="001E40B4">
            <w:pPr>
              <w:pStyle w:val="Tabelle-Text"/>
            </w:pPr>
            <w:r w:rsidRPr="00225C91">
              <w:t>Effective policies have been implemented by the government to prevent unhealthy foods from being advertised to children and adolescents through product and packaging design features, including potential product incentives (e.g., collectible items)</w:t>
            </w:r>
          </w:p>
          <w:p w14:paraId="2BED8C58" w14:textId="543F8EEE" w:rsidR="0066754D" w:rsidRPr="00ED7AEA" w:rsidRDefault="00BF253D" w:rsidP="001E40B4">
            <w:pPr>
              <w:pStyle w:val="Tabelle-Text"/>
            </w:pPr>
            <w:r w:rsidRPr="00EC5F1A">
              <w:rPr>
                <w:i/>
                <w:iCs/>
                <w:color w:val="EF3A84" w:themeColor="background2"/>
              </w:rPr>
              <w:t xml:space="preserve">Note: </w:t>
            </w:r>
            <w:r w:rsidR="00225C91" w:rsidRPr="00EC5F1A">
              <w:rPr>
                <w:i/>
                <w:iCs/>
                <w:color w:val="EF3A84" w:themeColor="background2"/>
              </w:rPr>
              <w:t>I</w:t>
            </w:r>
            <w:r w:rsidRPr="00EC5F1A">
              <w:rPr>
                <w:i/>
                <w:iCs/>
                <w:color w:val="EF3A84" w:themeColor="background2"/>
              </w:rPr>
              <w:t>ndicator taken from the German Food-EPI</w:t>
            </w:r>
            <w:r w:rsidRPr="00ED7AEA">
              <w:rPr>
                <w:color w:val="EF3A84" w:themeColor="background2"/>
              </w:rPr>
              <w:t xml:space="preserve"> </w:t>
            </w:r>
            <w:r w:rsidRPr="00186FCB">
              <w:fldChar w:fldCharType="begin"/>
            </w:r>
            <w:r w:rsidR="00216423">
              <w:instrText xml:space="preserve"> ADDIN ZOTERO_ITEM CSL_CITATION {"citationID":"J5XJKdlu","properties":{"formattedCitation":"[2]","plainCitation":"[2]","noteIndex":0},"citationItems":[{"id":166,"uris":["http://zotero.org/users/5617569/items/NZM7E5P4"],"itemData":{"id":166,"type":"article-journal","abstract":"Objective:\nTo systematically assess Germany’s nutrition policies, to benchmark them against international best practices and to identify priority policy actions to improve population-level nutrition in Germany.\n\n\nDesign:\nWe applied the Food Environment Policy Index (Food-EPI), a methodological framework developed by the International Network for Food and Obesity/non-communicable Diseases Research, Monitoring and Action Support (INFORMAS) network. Qualitative content analysis of laws, directives and other documents formed the basis of a multistaged, structured consultation process.\n\n\nSetting:\nGermany.\n\n\nParticipants:\nThe expert consultation process included fifty-five experts from academia, public administration and civil society.\n\n\nResults:\nGermany lags behind international best practices in several key policy areas. For eighteen policy indicators, the degree of implementation compared with international best practices was rated as very low, for twenty-one as low, for eight as intermediate and for none as high. In particular, indicators on food taxation, regulation of food marketing as well as retail and food service sector policies were rated as very low to low. Identified priority actions included the binding implementation of nutrition standards for schools and kindergartens, a reform of the value added tax on foods and beverages, a sugar-sweetened beverage tax and stricter regulation of food marketing directed at children.\n\n\nConclusions:\nThe results show that Germany makes insufficient use of the potential of evidence-informed health-promoting nutrition policies. Adopting international best practices in key policy areas could help to reduce the burden of nutrition-related chronic disease and related inequalities in nutrition and health in Germany. Implementation of relevant policies requires political leadership, a broad societal dialogue and evidence-informed advocacy by civil society, including the scientific community.","container-title":"Public Health Nutrition","DOI":"10.1017/S1368980021004742","ISSN":"1368-9800, 1475-2727","issue":"6","language":"en","page":"1691-1700","publisher":"Cambridge University Press","source":"Cambridge University Press","title":"Nutrition policies in Germany: a systematic assessment with the Food Environment Policy Index","title-short":"Nutrition policies in Germany","volume":"25","author":[{"family":"Philipsborn","given":"Peter","dropping-particle":"von"},{"family":"Geffert","given":"Karin"},{"family":"Klinger","given":"Carmen"},{"family":"Hebestreit","given":"Antje"},{"family":"Stratil","given":"Jan"},{"family":"Rehfuess","given":"Eva Annette"}],"issued":{"date-parts":[["2022",6]]}}}],"schema":"https://github.com/citation-style-language/schema/raw/master/csl-citation.json"} </w:instrText>
            </w:r>
            <w:r w:rsidRPr="00186FCB">
              <w:fldChar w:fldCharType="separate"/>
            </w:r>
            <w:r w:rsidR="00F833B1">
              <w:t>[2]</w:t>
            </w:r>
            <w:r w:rsidRPr="00186FCB">
              <w:fldChar w:fldCharType="end"/>
            </w:r>
          </w:p>
        </w:tc>
      </w:tr>
      <w:tr w:rsidR="00210771" w:rsidRPr="00FC2735" w14:paraId="67D2A558" w14:textId="77777777" w:rsidTr="005B67D6">
        <w:trPr>
          <w:trHeight w:val="20"/>
        </w:trPr>
        <w:tc>
          <w:tcPr>
            <w:tcW w:w="175" w:type="pct"/>
            <w:vMerge w:val="restart"/>
            <w:hideMark/>
          </w:tcPr>
          <w:p w14:paraId="1DE260E8" w14:textId="1E253370" w:rsidR="009C586E" w:rsidRPr="00225C91" w:rsidRDefault="009C586E" w:rsidP="001E40B4">
            <w:pPr>
              <w:pStyle w:val="Tabelle-Text"/>
            </w:pPr>
            <w:r w:rsidRPr="00225C91">
              <w:t>4</w:t>
            </w:r>
          </w:p>
        </w:tc>
        <w:tc>
          <w:tcPr>
            <w:tcW w:w="687" w:type="pct"/>
            <w:vMerge w:val="restart"/>
            <w:hideMark/>
          </w:tcPr>
          <w:p w14:paraId="10AC659F" w14:textId="05E2CDBF" w:rsidR="009C586E" w:rsidRPr="00225C91" w:rsidRDefault="009C586E" w:rsidP="001E40B4">
            <w:pPr>
              <w:pStyle w:val="Tabelle-Text"/>
            </w:pPr>
            <w:r w:rsidRPr="00225C91">
              <w:t>Food prices</w:t>
            </w:r>
          </w:p>
        </w:tc>
        <w:tc>
          <w:tcPr>
            <w:tcW w:w="4138" w:type="pct"/>
            <w:gridSpan w:val="3"/>
            <w:hideMark/>
          </w:tcPr>
          <w:p w14:paraId="1D2677E7" w14:textId="54C2E778" w:rsidR="009C586E" w:rsidRPr="00225C91" w:rsidRDefault="009C586E" w:rsidP="001E40B4">
            <w:pPr>
              <w:pStyle w:val="Tabelle-Text"/>
            </w:pPr>
            <w:r w:rsidRPr="00225C91">
              <w:t>Food pricing policies (e.g., taxes and subsidies) are aligned with health outcomes by helping to make the healthy eating choices the easier, cheaper choices</w:t>
            </w:r>
          </w:p>
        </w:tc>
      </w:tr>
      <w:tr w:rsidR="00574C31" w:rsidRPr="00FC2735" w14:paraId="56322B6F" w14:textId="77777777" w:rsidTr="005B67D6">
        <w:trPr>
          <w:trHeight w:val="20"/>
        </w:trPr>
        <w:tc>
          <w:tcPr>
            <w:tcW w:w="175" w:type="pct"/>
            <w:vMerge/>
            <w:hideMark/>
          </w:tcPr>
          <w:p w14:paraId="171E054D" w14:textId="2C273030" w:rsidR="009C586E" w:rsidRPr="00225C91" w:rsidRDefault="009C586E" w:rsidP="001E40B4">
            <w:pPr>
              <w:pStyle w:val="Tabelle-Text"/>
            </w:pPr>
          </w:p>
        </w:tc>
        <w:tc>
          <w:tcPr>
            <w:tcW w:w="687" w:type="pct"/>
            <w:vMerge/>
            <w:hideMark/>
          </w:tcPr>
          <w:p w14:paraId="75BE16C3" w14:textId="6110FE9A" w:rsidR="009C586E" w:rsidRPr="00225C91" w:rsidRDefault="009C586E" w:rsidP="001E40B4">
            <w:pPr>
              <w:pStyle w:val="Tabelle-Text"/>
            </w:pPr>
          </w:p>
        </w:tc>
        <w:tc>
          <w:tcPr>
            <w:tcW w:w="579" w:type="pct"/>
            <w:hideMark/>
          </w:tcPr>
          <w:p w14:paraId="187C3519" w14:textId="77777777" w:rsidR="009C586E" w:rsidRPr="00225C91" w:rsidRDefault="009C586E" w:rsidP="001E40B4">
            <w:pPr>
              <w:pStyle w:val="Tabelle-Text"/>
            </w:pPr>
            <w:r w:rsidRPr="00225C91">
              <w:t>PRICES1</w:t>
            </w:r>
          </w:p>
        </w:tc>
        <w:tc>
          <w:tcPr>
            <w:tcW w:w="755" w:type="pct"/>
            <w:hideMark/>
          </w:tcPr>
          <w:p w14:paraId="700DB61A" w14:textId="276B5123" w:rsidR="009C586E" w:rsidRPr="00225C91" w:rsidRDefault="009C586E" w:rsidP="001E40B4">
            <w:pPr>
              <w:pStyle w:val="Tabelle-Text"/>
            </w:pPr>
            <w:r w:rsidRPr="00225C91">
              <w:t xml:space="preserve">Taxes </w:t>
            </w:r>
            <w:r w:rsidR="00EC5F1A">
              <w:t xml:space="preserve">on </w:t>
            </w:r>
            <w:r w:rsidRPr="00225C91">
              <w:t>healthy foods</w:t>
            </w:r>
          </w:p>
        </w:tc>
        <w:tc>
          <w:tcPr>
            <w:tcW w:w="2803" w:type="pct"/>
            <w:hideMark/>
          </w:tcPr>
          <w:p w14:paraId="59100239" w14:textId="77777777" w:rsidR="009C586E" w:rsidRPr="00225C91" w:rsidRDefault="009C586E" w:rsidP="001E40B4">
            <w:pPr>
              <w:pStyle w:val="Tabelle-Text"/>
            </w:pPr>
            <w:r w:rsidRPr="00225C91">
              <w:t>Taxes or levies on healthy foods are minimised to encourage healthy food choices where possible (e.g. low or no sales tax, excise, value-added or import duties on fruit and vegetables)</w:t>
            </w:r>
          </w:p>
        </w:tc>
      </w:tr>
      <w:tr w:rsidR="00574C31" w:rsidRPr="00FC2735" w14:paraId="7036DE7B" w14:textId="77777777" w:rsidTr="005B67D6">
        <w:trPr>
          <w:trHeight w:val="20"/>
        </w:trPr>
        <w:tc>
          <w:tcPr>
            <w:tcW w:w="175" w:type="pct"/>
            <w:vMerge/>
            <w:hideMark/>
          </w:tcPr>
          <w:p w14:paraId="5DB91C49" w14:textId="5F148872" w:rsidR="009C586E" w:rsidRPr="00225C91" w:rsidRDefault="009C586E" w:rsidP="001E40B4">
            <w:pPr>
              <w:pStyle w:val="Tabelle-Text"/>
            </w:pPr>
          </w:p>
        </w:tc>
        <w:tc>
          <w:tcPr>
            <w:tcW w:w="687" w:type="pct"/>
            <w:vMerge/>
            <w:hideMark/>
          </w:tcPr>
          <w:p w14:paraId="217F09FE" w14:textId="5BC15D1C" w:rsidR="009C586E" w:rsidRPr="00225C91" w:rsidRDefault="009C586E" w:rsidP="001E40B4">
            <w:pPr>
              <w:pStyle w:val="Tabelle-Text"/>
            </w:pPr>
          </w:p>
        </w:tc>
        <w:tc>
          <w:tcPr>
            <w:tcW w:w="579" w:type="pct"/>
            <w:hideMark/>
          </w:tcPr>
          <w:p w14:paraId="21AF1736" w14:textId="77777777" w:rsidR="009C586E" w:rsidRPr="00225C91" w:rsidRDefault="009C586E" w:rsidP="001E40B4">
            <w:pPr>
              <w:pStyle w:val="Tabelle-Text"/>
            </w:pPr>
            <w:r w:rsidRPr="00225C91">
              <w:t>PRICES2</w:t>
            </w:r>
          </w:p>
        </w:tc>
        <w:tc>
          <w:tcPr>
            <w:tcW w:w="755" w:type="pct"/>
            <w:hideMark/>
          </w:tcPr>
          <w:p w14:paraId="551A4676" w14:textId="0A41C091" w:rsidR="009C586E" w:rsidRPr="00225C91" w:rsidRDefault="009C586E" w:rsidP="001E40B4">
            <w:pPr>
              <w:pStyle w:val="Tabelle-Text"/>
            </w:pPr>
            <w:r w:rsidRPr="00225C91">
              <w:t xml:space="preserve">Taxes </w:t>
            </w:r>
            <w:r w:rsidR="00EC5F1A">
              <w:t>on</w:t>
            </w:r>
            <w:r w:rsidRPr="00225C91">
              <w:t xml:space="preserve"> unhealthy foods</w:t>
            </w:r>
          </w:p>
        </w:tc>
        <w:tc>
          <w:tcPr>
            <w:tcW w:w="2803" w:type="pct"/>
            <w:hideMark/>
          </w:tcPr>
          <w:p w14:paraId="6C0E0085" w14:textId="3A15982C" w:rsidR="009C586E" w:rsidRPr="00225C91" w:rsidRDefault="009C586E" w:rsidP="001E40B4">
            <w:pPr>
              <w:pStyle w:val="Tabelle-Text"/>
            </w:pPr>
            <w:r w:rsidRPr="00225C91">
              <w:t xml:space="preserve">Taxes or levies on unhealthy foods (e.g. sugar-sweetened beverages, foods high in nutrients of concern) are in place and increase the retail prices of these foods by at least 10% to discourage unhealthy </w:t>
            </w:r>
            <w:r w:rsidRPr="00225C91">
              <w:lastRenderedPageBreak/>
              <w:t>food choices where possible, and the</w:t>
            </w:r>
            <w:r w:rsidR="00F5593C" w:rsidRPr="00225C91">
              <w:t xml:space="preserve"> revenues of the</w:t>
            </w:r>
            <w:r w:rsidRPr="00225C91">
              <w:t>se taxes are reinvested to improve population health</w:t>
            </w:r>
          </w:p>
        </w:tc>
      </w:tr>
      <w:tr w:rsidR="00574C31" w:rsidRPr="00FC2735" w14:paraId="15C6BC54" w14:textId="77777777" w:rsidTr="005B67D6">
        <w:trPr>
          <w:trHeight w:val="62"/>
        </w:trPr>
        <w:tc>
          <w:tcPr>
            <w:tcW w:w="175" w:type="pct"/>
            <w:vMerge/>
            <w:hideMark/>
          </w:tcPr>
          <w:p w14:paraId="040211BE" w14:textId="351A7C53" w:rsidR="009C586E" w:rsidRPr="00225C91" w:rsidRDefault="009C586E" w:rsidP="001E40B4">
            <w:pPr>
              <w:pStyle w:val="Tabelle-Text"/>
            </w:pPr>
          </w:p>
        </w:tc>
        <w:tc>
          <w:tcPr>
            <w:tcW w:w="687" w:type="pct"/>
            <w:vMerge/>
            <w:hideMark/>
          </w:tcPr>
          <w:p w14:paraId="5E6F5FA4" w14:textId="264A892E" w:rsidR="009C586E" w:rsidRPr="00225C91" w:rsidRDefault="009C586E" w:rsidP="001E40B4">
            <w:pPr>
              <w:pStyle w:val="Tabelle-Text"/>
            </w:pPr>
          </w:p>
        </w:tc>
        <w:tc>
          <w:tcPr>
            <w:tcW w:w="579" w:type="pct"/>
            <w:hideMark/>
          </w:tcPr>
          <w:p w14:paraId="71B50A90" w14:textId="77777777" w:rsidR="009C586E" w:rsidRPr="00225C91" w:rsidRDefault="009C586E" w:rsidP="001E40B4">
            <w:pPr>
              <w:pStyle w:val="Tabelle-Text"/>
            </w:pPr>
            <w:r w:rsidRPr="00225C91">
              <w:t>PRICES3</w:t>
            </w:r>
          </w:p>
        </w:tc>
        <w:tc>
          <w:tcPr>
            <w:tcW w:w="755" w:type="pct"/>
            <w:hideMark/>
          </w:tcPr>
          <w:p w14:paraId="49633D68" w14:textId="77777777" w:rsidR="009C586E" w:rsidRPr="00225C91" w:rsidRDefault="009C586E" w:rsidP="001E40B4">
            <w:pPr>
              <w:pStyle w:val="Tabelle-Text"/>
            </w:pPr>
            <w:r w:rsidRPr="00225C91">
              <w:t>Subsidies</w:t>
            </w:r>
          </w:p>
        </w:tc>
        <w:tc>
          <w:tcPr>
            <w:tcW w:w="2803" w:type="pct"/>
            <w:hideMark/>
          </w:tcPr>
          <w:p w14:paraId="7F37ABCC" w14:textId="49F9DA03" w:rsidR="009C586E" w:rsidRPr="00225C91" w:rsidRDefault="009C586E" w:rsidP="001E40B4">
            <w:pPr>
              <w:pStyle w:val="Tabelle-Text"/>
            </w:pPr>
            <w:r w:rsidRPr="00225C91">
              <w:t>The intent of existing subsidies on foods, including infrastructure funding support (e.g. research and development, supporting markets or transport systems), is to favour healthy rather than unhealthy foods</w:t>
            </w:r>
            <w:r w:rsidRPr="00225C91">
              <w:br/>
            </w:r>
            <w:r w:rsidRPr="00225C91">
              <w:rPr>
                <w:i/>
                <w:iCs/>
                <w:color w:val="F03A84"/>
              </w:rPr>
              <w:t>Note: Subsidies or support measures for daycare and school meals are addressed in Indicator PROV1, and research funding is covered in FUND2.</w:t>
            </w:r>
          </w:p>
        </w:tc>
      </w:tr>
      <w:tr w:rsidR="00574C31" w:rsidRPr="00FC2735" w14:paraId="589235A6" w14:textId="77777777" w:rsidTr="005B67D6">
        <w:trPr>
          <w:trHeight w:val="20"/>
        </w:trPr>
        <w:tc>
          <w:tcPr>
            <w:tcW w:w="175" w:type="pct"/>
            <w:vMerge/>
            <w:hideMark/>
          </w:tcPr>
          <w:p w14:paraId="0433A8E1" w14:textId="5D84B28F" w:rsidR="009C586E" w:rsidRPr="00225C91" w:rsidRDefault="009C586E" w:rsidP="001E40B4">
            <w:pPr>
              <w:pStyle w:val="Tabelle-Text"/>
            </w:pPr>
          </w:p>
        </w:tc>
        <w:tc>
          <w:tcPr>
            <w:tcW w:w="687" w:type="pct"/>
            <w:vMerge/>
            <w:hideMark/>
          </w:tcPr>
          <w:p w14:paraId="4CE2625B" w14:textId="62F37270" w:rsidR="009C586E" w:rsidRPr="00225C91" w:rsidRDefault="009C586E" w:rsidP="001E40B4">
            <w:pPr>
              <w:pStyle w:val="Tabelle-Text"/>
            </w:pPr>
          </w:p>
        </w:tc>
        <w:tc>
          <w:tcPr>
            <w:tcW w:w="579" w:type="pct"/>
            <w:hideMark/>
          </w:tcPr>
          <w:p w14:paraId="23E413C1" w14:textId="77777777" w:rsidR="009C586E" w:rsidRPr="00225C91" w:rsidRDefault="009C586E" w:rsidP="001E40B4">
            <w:pPr>
              <w:pStyle w:val="Tabelle-Text"/>
            </w:pPr>
            <w:r w:rsidRPr="00225C91">
              <w:t>PRICES4</w:t>
            </w:r>
          </w:p>
        </w:tc>
        <w:tc>
          <w:tcPr>
            <w:tcW w:w="755" w:type="pct"/>
            <w:hideMark/>
          </w:tcPr>
          <w:p w14:paraId="7FD68CA8" w14:textId="77777777" w:rsidR="009C586E" w:rsidRPr="00225C91" w:rsidRDefault="009C586E" w:rsidP="001E40B4">
            <w:pPr>
              <w:pStyle w:val="Tabelle-Text"/>
            </w:pPr>
            <w:r w:rsidRPr="00225C91">
              <w:t>Food-related income support</w:t>
            </w:r>
          </w:p>
        </w:tc>
        <w:tc>
          <w:tcPr>
            <w:tcW w:w="2803" w:type="pct"/>
            <w:hideMark/>
          </w:tcPr>
          <w:p w14:paraId="64DEF60D" w14:textId="3B171B13" w:rsidR="009C586E" w:rsidRPr="00225C91" w:rsidRDefault="009C586E" w:rsidP="001E40B4">
            <w:pPr>
              <w:pStyle w:val="Tabelle-Text"/>
            </w:pPr>
            <w:r w:rsidRPr="00225C91">
              <w:t>The government ensures that food-related income support programs are for healthy foods</w:t>
            </w:r>
            <w:r w:rsidRPr="00225C91">
              <w:br/>
            </w:r>
            <w:r w:rsidRPr="0000460B">
              <w:rPr>
                <w:i/>
                <w:iCs/>
                <w:color w:val="F03A84"/>
              </w:rPr>
              <w:t>Note: Subsidies or support measures for daycare and school meals are addressed in Indicator PROV1</w:t>
            </w:r>
          </w:p>
        </w:tc>
      </w:tr>
      <w:tr w:rsidR="00210771" w:rsidRPr="00FC2735" w14:paraId="1CC9975F" w14:textId="77777777" w:rsidTr="005B67D6">
        <w:trPr>
          <w:trHeight w:val="20"/>
        </w:trPr>
        <w:tc>
          <w:tcPr>
            <w:tcW w:w="175" w:type="pct"/>
            <w:vMerge w:val="restart"/>
            <w:hideMark/>
          </w:tcPr>
          <w:p w14:paraId="7C2114D7" w14:textId="4F07482C" w:rsidR="009C586E" w:rsidRPr="00225C91" w:rsidRDefault="009C586E" w:rsidP="001E40B4">
            <w:pPr>
              <w:pStyle w:val="Tabelle-Text"/>
            </w:pPr>
            <w:r w:rsidRPr="00225C91">
              <w:t>5</w:t>
            </w:r>
          </w:p>
        </w:tc>
        <w:tc>
          <w:tcPr>
            <w:tcW w:w="687" w:type="pct"/>
            <w:vMerge w:val="restart"/>
            <w:hideMark/>
          </w:tcPr>
          <w:p w14:paraId="1C297FC2" w14:textId="6B5448B6" w:rsidR="009C586E" w:rsidRPr="00225C91" w:rsidRDefault="009C586E" w:rsidP="001E40B4">
            <w:pPr>
              <w:pStyle w:val="Tabelle-Text"/>
            </w:pPr>
            <w:r w:rsidRPr="00225C91">
              <w:t>Food provision</w:t>
            </w:r>
          </w:p>
        </w:tc>
        <w:tc>
          <w:tcPr>
            <w:tcW w:w="4138" w:type="pct"/>
            <w:gridSpan w:val="3"/>
            <w:hideMark/>
          </w:tcPr>
          <w:p w14:paraId="7B34345C" w14:textId="3D4FD028" w:rsidR="009C586E" w:rsidRPr="00225C91" w:rsidRDefault="009C586E" w:rsidP="001E40B4">
            <w:pPr>
              <w:pStyle w:val="Tabelle-Text"/>
            </w:pPr>
            <w:r w:rsidRPr="00225C91">
              <w:t>The government ensures that there are healthy food service policies implemented in government-funded settings to ensure that food provision encourages healthy food choices, and the government actively encourages and supports private companies to implement similar policies</w:t>
            </w:r>
          </w:p>
        </w:tc>
      </w:tr>
      <w:tr w:rsidR="00574C31" w:rsidRPr="00FC2735" w14:paraId="59093537" w14:textId="77777777" w:rsidTr="005B67D6">
        <w:trPr>
          <w:trHeight w:val="20"/>
        </w:trPr>
        <w:tc>
          <w:tcPr>
            <w:tcW w:w="175" w:type="pct"/>
            <w:vMerge/>
            <w:hideMark/>
          </w:tcPr>
          <w:p w14:paraId="7CC0EB5A" w14:textId="13877A3F" w:rsidR="009C586E" w:rsidRPr="00225C91" w:rsidRDefault="009C586E" w:rsidP="001E40B4">
            <w:pPr>
              <w:pStyle w:val="Tabelle-Text"/>
            </w:pPr>
          </w:p>
        </w:tc>
        <w:tc>
          <w:tcPr>
            <w:tcW w:w="687" w:type="pct"/>
            <w:vMerge/>
            <w:hideMark/>
          </w:tcPr>
          <w:p w14:paraId="1011E5B7" w14:textId="3430EB60" w:rsidR="009C586E" w:rsidRPr="00225C91" w:rsidRDefault="009C586E" w:rsidP="001E40B4">
            <w:pPr>
              <w:pStyle w:val="Tabelle-Text"/>
            </w:pPr>
          </w:p>
        </w:tc>
        <w:tc>
          <w:tcPr>
            <w:tcW w:w="579" w:type="pct"/>
            <w:hideMark/>
          </w:tcPr>
          <w:p w14:paraId="19A66770" w14:textId="77777777" w:rsidR="009C586E" w:rsidRPr="00225C91" w:rsidRDefault="009C586E" w:rsidP="001E40B4">
            <w:pPr>
              <w:pStyle w:val="Tabelle-Text"/>
            </w:pPr>
            <w:r w:rsidRPr="00225C91">
              <w:t>PROV1</w:t>
            </w:r>
          </w:p>
        </w:tc>
        <w:tc>
          <w:tcPr>
            <w:tcW w:w="755" w:type="pct"/>
            <w:hideMark/>
          </w:tcPr>
          <w:p w14:paraId="1FDAF1E1" w14:textId="2BCE844A" w:rsidR="009C586E" w:rsidRPr="00225C91" w:rsidRDefault="009C586E" w:rsidP="001E40B4">
            <w:pPr>
              <w:pStyle w:val="Tabelle-Text"/>
            </w:pPr>
            <w:r w:rsidRPr="00225C91">
              <w:t>Schools and early childhood education</w:t>
            </w:r>
          </w:p>
        </w:tc>
        <w:tc>
          <w:tcPr>
            <w:tcW w:w="2803" w:type="pct"/>
            <w:hideMark/>
          </w:tcPr>
          <w:p w14:paraId="2D7E1570" w14:textId="77777777" w:rsidR="009C586E" w:rsidRPr="00225C91" w:rsidRDefault="009C586E" w:rsidP="001E40B4">
            <w:pPr>
              <w:pStyle w:val="Tabelle-Text"/>
            </w:pPr>
            <w:r w:rsidRPr="00225C91">
              <w:t>The government ensures that there are clear, consistent policies (including nutrition standards) implemented in schools and early childhood education services for food service activities (canteens, food at events, fundraising, promotions, vending machines etc.) to provide and promote healthy food choices</w:t>
            </w:r>
          </w:p>
        </w:tc>
      </w:tr>
      <w:tr w:rsidR="00574C31" w:rsidRPr="00FC2735" w14:paraId="393FF301" w14:textId="77777777" w:rsidTr="005B67D6">
        <w:trPr>
          <w:trHeight w:val="20"/>
        </w:trPr>
        <w:tc>
          <w:tcPr>
            <w:tcW w:w="175" w:type="pct"/>
            <w:vMerge/>
            <w:hideMark/>
          </w:tcPr>
          <w:p w14:paraId="514B5C6A" w14:textId="295055E9" w:rsidR="009C586E" w:rsidRPr="00225C91" w:rsidRDefault="009C586E" w:rsidP="001E40B4">
            <w:pPr>
              <w:pStyle w:val="Tabelle-Text"/>
            </w:pPr>
          </w:p>
        </w:tc>
        <w:tc>
          <w:tcPr>
            <w:tcW w:w="687" w:type="pct"/>
            <w:vMerge/>
            <w:hideMark/>
          </w:tcPr>
          <w:p w14:paraId="53253BC1" w14:textId="3B6A3412" w:rsidR="009C586E" w:rsidRPr="00225C91" w:rsidRDefault="009C586E" w:rsidP="001E40B4">
            <w:pPr>
              <w:pStyle w:val="Tabelle-Text"/>
            </w:pPr>
          </w:p>
        </w:tc>
        <w:tc>
          <w:tcPr>
            <w:tcW w:w="579" w:type="pct"/>
            <w:hideMark/>
          </w:tcPr>
          <w:p w14:paraId="56722E82" w14:textId="77777777" w:rsidR="009C586E" w:rsidRPr="00225C91" w:rsidRDefault="009C586E" w:rsidP="001E40B4">
            <w:pPr>
              <w:pStyle w:val="Tabelle-Text"/>
            </w:pPr>
            <w:r w:rsidRPr="00225C91">
              <w:t>PROV2</w:t>
            </w:r>
          </w:p>
        </w:tc>
        <w:tc>
          <w:tcPr>
            <w:tcW w:w="755" w:type="pct"/>
            <w:hideMark/>
          </w:tcPr>
          <w:p w14:paraId="756F116E" w14:textId="77777777" w:rsidR="009C586E" w:rsidRPr="00225C91" w:rsidRDefault="009C586E" w:rsidP="001E40B4">
            <w:pPr>
              <w:pStyle w:val="Tabelle-Text"/>
            </w:pPr>
            <w:r w:rsidRPr="00225C91">
              <w:t>Other public sector settings</w:t>
            </w:r>
          </w:p>
        </w:tc>
        <w:tc>
          <w:tcPr>
            <w:tcW w:w="2803" w:type="pct"/>
            <w:hideMark/>
          </w:tcPr>
          <w:p w14:paraId="40FCB1DB" w14:textId="77777777" w:rsidR="009C586E" w:rsidRPr="00225C91" w:rsidRDefault="009C586E" w:rsidP="001E40B4">
            <w:pPr>
              <w:pStyle w:val="Tabelle-Text"/>
            </w:pPr>
            <w:r w:rsidRPr="00225C91">
              <w:t>The government ensures that there are clear, consistent policies in other public sector settings for food service activities (canteens, food at events, fundraising, promotions, vending machines, public procurement standards etc.) to provide and promote healthy food choices</w:t>
            </w:r>
          </w:p>
        </w:tc>
      </w:tr>
      <w:tr w:rsidR="00574C31" w:rsidRPr="00FC2735" w14:paraId="740D1F15" w14:textId="77777777" w:rsidTr="005B67D6">
        <w:trPr>
          <w:trHeight w:val="20"/>
        </w:trPr>
        <w:tc>
          <w:tcPr>
            <w:tcW w:w="175" w:type="pct"/>
            <w:vMerge/>
            <w:hideMark/>
          </w:tcPr>
          <w:p w14:paraId="655A3C09" w14:textId="7F122457" w:rsidR="009C586E" w:rsidRPr="00225C91" w:rsidRDefault="009C586E" w:rsidP="001E40B4">
            <w:pPr>
              <w:pStyle w:val="Tabelle-Text"/>
            </w:pPr>
          </w:p>
        </w:tc>
        <w:tc>
          <w:tcPr>
            <w:tcW w:w="687" w:type="pct"/>
            <w:vMerge/>
            <w:hideMark/>
          </w:tcPr>
          <w:p w14:paraId="51BE1AD5" w14:textId="321B4813" w:rsidR="009C586E" w:rsidRPr="00225C91" w:rsidRDefault="009C586E" w:rsidP="001E40B4">
            <w:pPr>
              <w:pStyle w:val="Tabelle-Text"/>
            </w:pPr>
          </w:p>
        </w:tc>
        <w:tc>
          <w:tcPr>
            <w:tcW w:w="579" w:type="pct"/>
            <w:hideMark/>
          </w:tcPr>
          <w:p w14:paraId="051836FF" w14:textId="77777777" w:rsidR="009C586E" w:rsidRPr="00225C91" w:rsidRDefault="009C586E" w:rsidP="001E40B4">
            <w:pPr>
              <w:pStyle w:val="Tabelle-Text"/>
            </w:pPr>
            <w:r w:rsidRPr="00225C91">
              <w:t>PROV3</w:t>
            </w:r>
          </w:p>
        </w:tc>
        <w:tc>
          <w:tcPr>
            <w:tcW w:w="755" w:type="pct"/>
            <w:hideMark/>
          </w:tcPr>
          <w:p w14:paraId="0D029168" w14:textId="2B002448" w:rsidR="009C586E" w:rsidRPr="00225C91" w:rsidRDefault="009C586E" w:rsidP="001E40B4">
            <w:pPr>
              <w:pStyle w:val="Tabelle-Text"/>
            </w:pPr>
            <w:r w:rsidRPr="00225C91">
              <w:t>Public sector support systems</w:t>
            </w:r>
          </w:p>
        </w:tc>
        <w:tc>
          <w:tcPr>
            <w:tcW w:w="2803" w:type="pct"/>
            <w:hideMark/>
          </w:tcPr>
          <w:p w14:paraId="3691022C" w14:textId="635D5177" w:rsidR="009C586E" w:rsidRPr="00225C91" w:rsidRDefault="009C586E" w:rsidP="001E40B4">
            <w:pPr>
              <w:pStyle w:val="Tabelle-Text"/>
            </w:pPr>
            <w:r w:rsidRPr="00225C91">
              <w:t xml:space="preserve">The government ensures that there are good support and training systems to help schools and other public sector </w:t>
            </w:r>
            <w:r w:rsidR="008354F5" w:rsidRPr="00225C91">
              <w:t>organisations,</w:t>
            </w:r>
            <w:r w:rsidRPr="00225C91">
              <w:t xml:space="preserve"> and their caterers meet the healthy food service policies and guidelines</w:t>
            </w:r>
          </w:p>
        </w:tc>
      </w:tr>
      <w:tr w:rsidR="00574C31" w:rsidRPr="00FC2735" w14:paraId="618F2597" w14:textId="77777777" w:rsidTr="005B67D6">
        <w:trPr>
          <w:trHeight w:val="20"/>
        </w:trPr>
        <w:tc>
          <w:tcPr>
            <w:tcW w:w="175" w:type="pct"/>
            <w:vMerge/>
            <w:hideMark/>
          </w:tcPr>
          <w:p w14:paraId="366E654F" w14:textId="39D3DF9B" w:rsidR="009C586E" w:rsidRPr="00225C91" w:rsidRDefault="009C586E" w:rsidP="001E40B4">
            <w:pPr>
              <w:pStyle w:val="Tabelle-Text"/>
            </w:pPr>
          </w:p>
        </w:tc>
        <w:tc>
          <w:tcPr>
            <w:tcW w:w="687" w:type="pct"/>
            <w:vMerge/>
            <w:hideMark/>
          </w:tcPr>
          <w:p w14:paraId="44316B21" w14:textId="2B851E5A" w:rsidR="009C586E" w:rsidRPr="00225C91" w:rsidRDefault="009C586E" w:rsidP="001E40B4">
            <w:pPr>
              <w:pStyle w:val="Tabelle-Text"/>
            </w:pPr>
          </w:p>
        </w:tc>
        <w:tc>
          <w:tcPr>
            <w:tcW w:w="579" w:type="pct"/>
            <w:hideMark/>
          </w:tcPr>
          <w:p w14:paraId="36E7AC40" w14:textId="77777777" w:rsidR="009C586E" w:rsidRPr="00225C91" w:rsidRDefault="009C586E" w:rsidP="001E40B4">
            <w:pPr>
              <w:pStyle w:val="Tabelle-Text"/>
            </w:pPr>
            <w:r w:rsidRPr="00225C91">
              <w:t>PROV4</w:t>
            </w:r>
          </w:p>
        </w:tc>
        <w:tc>
          <w:tcPr>
            <w:tcW w:w="755" w:type="pct"/>
            <w:hideMark/>
          </w:tcPr>
          <w:p w14:paraId="70C7F63A" w14:textId="4D7F62DA" w:rsidR="009C586E" w:rsidRPr="00225C91" w:rsidRDefault="009C586E" w:rsidP="001E40B4">
            <w:pPr>
              <w:pStyle w:val="Tabelle-Text"/>
            </w:pPr>
            <w:r w:rsidRPr="00225C91">
              <w:t>Private sector support systems</w:t>
            </w:r>
          </w:p>
        </w:tc>
        <w:tc>
          <w:tcPr>
            <w:tcW w:w="2803" w:type="pct"/>
            <w:hideMark/>
          </w:tcPr>
          <w:p w14:paraId="423E0D40" w14:textId="77777777" w:rsidR="009C586E" w:rsidRPr="00225C91" w:rsidRDefault="009C586E" w:rsidP="001E40B4">
            <w:pPr>
              <w:pStyle w:val="Tabelle-Text"/>
            </w:pPr>
            <w:r w:rsidRPr="00225C91">
              <w:t>The government actively encourages and supports private companies to provide and promote healthy foods and meals in their workplaces</w:t>
            </w:r>
          </w:p>
        </w:tc>
      </w:tr>
      <w:tr w:rsidR="00210771" w:rsidRPr="00FC2735" w14:paraId="5E16CB39" w14:textId="77777777" w:rsidTr="005B67D6">
        <w:trPr>
          <w:trHeight w:val="20"/>
        </w:trPr>
        <w:tc>
          <w:tcPr>
            <w:tcW w:w="175" w:type="pct"/>
            <w:vMerge w:val="restart"/>
            <w:hideMark/>
          </w:tcPr>
          <w:p w14:paraId="627A6E1F" w14:textId="4554A862" w:rsidR="009C586E" w:rsidRPr="00225C91" w:rsidRDefault="009C586E" w:rsidP="001E40B4">
            <w:pPr>
              <w:pStyle w:val="Tabelle-Text"/>
            </w:pPr>
            <w:r w:rsidRPr="00225C91">
              <w:t>6</w:t>
            </w:r>
          </w:p>
          <w:p w14:paraId="4BA20DC9" w14:textId="330E5753" w:rsidR="009C586E" w:rsidRPr="00225C91" w:rsidRDefault="009C586E" w:rsidP="001E40B4">
            <w:pPr>
              <w:pStyle w:val="Tabelle-Text"/>
            </w:pPr>
          </w:p>
        </w:tc>
        <w:tc>
          <w:tcPr>
            <w:tcW w:w="687" w:type="pct"/>
            <w:vMerge w:val="restart"/>
            <w:hideMark/>
          </w:tcPr>
          <w:p w14:paraId="22F7C27F" w14:textId="6D6C19C4" w:rsidR="009C586E" w:rsidRPr="00225C91" w:rsidRDefault="009C586E" w:rsidP="001E40B4">
            <w:pPr>
              <w:pStyle w:val="Tabelle-Text"/>
            </w:pPr>
            <w:r w:rsidRPr="00225C91">
              <w:t>Food in retail</w:t>
            </w:r>
          </w:p>
        </w:tc>
        <w:tc>
          <w:tcPr>
            <w:tcW w:w="4138" w:type="pct"/>
            <w:gridSpan w:val="3"/>
            <w:hideMark/>
          </w:tcPr>
          <w:p w14:paraId="4C7921E9" w14:textId="6DA25227" w:rsidR="009C586E" w:rsidRPr="00225C91" w:rsidRDefault="009C586E" w:rsidP="001E40B4">
            <w:pPr>
              <w:pStyle w:val="Tabelle-Text"/>
            </w:pPr>
            <w:r w:rsidRPr="00225C91">
              <w:t>The government implement</w:t>
            </w:r>
            <w:r w:rsidR="00CC4255" w:rsidRPr="00225C91">
              <w:t>s</w:t>
            </w:r>
            <w:r w:rsidRPr="00225C91">
              <w:t xml:space="preserve"> policies and programs to support the availability of healthy foods and limit the availability of unhealthy foods in communities (outlet density and locations) and in-store (product placement)</w:t>
            </w:r>
          </w:p>
        </w:tc>
      </w:tr>
      <w:tr w:rsidR="00574C31" w:rsidRPr="00FC2735" w14:paraId="2F364170" w14:textId="77777777" w:rsidTr="005B67D6">
        <w:trPr>
          <w:trHeight w:val="20"/>
        </w:trPr>
        <w:tc>
          <w:tcPr>
            <w:tcW w:w="175" w:type="pct"/>
            <w:vMerge/>
            <w:hideMark/>
          </w:tcPr>
          <w:p w14:paraId="2B7F32E8" w14:textId="3A8F88FB" w:rsidR="009C586E" w:rsidRPr="00225C91" w:rsidRDefault="009C586E" w:rsidP="001E40B4">
            <w:pPr>
              <w:pStyle w:val="Tabelle-Text"/>
            </w:pPr>
          </w:p>
        </w:tc>
        <w:tc>
          <w:tcPr>
            <w:tcW w:w="687" w:type="pct"/>
            <w:vMerge/>
            <w:hideMark/>
          </w:tcPr>
          <w:p w14:paraId="49D0C905" w14:textId="68B80C2E" w:rsidR="009C586E" w:rsidRPr="00225C91" w:rsidRDefault="009C586E" w:rsidP="001E40B4">
            <w:pPr>
              <w:pStyle w:val="Tabelle-Text"/>
            </w:pPr>
          </w:p>
        </w:tc>
        <w:tc>
          <w:tcPr>
            <w:tcW w:w="579" w:type="pct"/>
            <w:hideMark/>
          </w:tcPr>
          <w:p w14:paraId="69BC9D61" w14:textId="77777777" w:rsidR="009C586E" w:rsidRPr="00225C91" w:rsidRDefault="009C586E" w:rsidP="001E40B4">
            <w:pPr>
              <w:pStyle w:val="Tabelle-Text"/>
            </w:pPr>
            <w:r w:rsidRPr="00225C91">
              <w:t>RETAIL1</w:t>
            </w:r>
          </w:p>
        </w:tc>
        <w:tc>
          <w:tcPr>
            <w:tcW w:w="755" w:type="pct"/>
            <w:hideMark/>
          </w:tcPr>
          <w:p w14:paraId="03EE86E8" w14:textId="659AA18B" w:rsidR="009C586E" w:rsidRPr="00225C91" w:rsidRDefault="006E0BCB" w:rsidP="001E40B4">
            <w:pPr>
              <w:pStyle w:val="Tabelle-Text"/>
            </w:pPr>
            <w:r>
              <w:t>Spatial planning</w:t>
            </w:r>
            <w:r w:rsidR="009C586E" w:rsidRPr="00225C91">
              <w:t xml:space="preserve"> - unhealthy foods</w:t>
            </w:r>
          </w:p>
        </w:tc>
        <w:tc>
          <w:tcPr>
            <w:tcW w:w="2803" w:type="pct"/>
            <w:hideMark/>
          </w:tcPr>
          <w:p w14:paraId="506543D8" w14:textId="1E3FE488" w:rsidR="00CC4255" w:rsidRPr="006E0BCB" w:rsidRDefault="00CC4255" w:rsidP="001E40B4">
            <w:pPr>
              <w:pStyle w:val="Tabelle-Text"/>
              <w:rPr>
                <w:color w:val="EF3A84" w:themeColor="background2"/>
              </w:rPr>
            </w:pPr>
            <w:r w:rsidRPr="006E0BCB">
              <w:rPr>
                <w:color w:val="EF3A84" w:themeColor="background2"/>
              </w:rPr>
              <w:t xml:space="preserve">The government uses </w:t>
            </w:r>
            <w:r w:rsidR="006E0BCB" w:rsidRPr="006E0BCB">
              <w:rPr>
                <w:color w:val="EF3A84" w:themeColor="background2"/>
              </w:rPr>
              <w:t xml:space="preserve">land-use regulation and spatial planning policy </w:t>
            </w:r>
            <w:r w:rsidRPr="006E0BCB">
              <w:rPr>
                <w:color w:val="EF3A84" w:themeColor="background2"/>
              </w:rPr>
              <w:t xml:space="preserve">to place limits on the density or placement of quick service restaurants or other food outlets selling mainly unhealthy foods in communities </w:t>
            </w:r>
          </w:p>
          <w:p w14:paraId="70BA1EA3" w14:textId="6A44A37E" w:rsidR="009C586E" w:rsidRPr="00225C91" w:rsidRDefault="00CC4255" w:rsidP="001E40B4">
            <w:pPr>
              <w:pStyle w:val="Tabelle-Text"/>
              <w:rPr>
                <w:color w:val="EF3A84" w:themeColor="background2"/>
              </w:rPr>
            </w:pPr>
            <w:r w:rsidRPr="006E0BCB">
              <w:rPr>
                <w:i/>
                <w:iCs/>
                <w:color w:val="EF3A84" w:themeColor="background2"/>
              </w:rPr>
              <w:lastRenderedPageBreak/>
              <w:t>Note: Original wording adjusted to align with style of definitions</w:t>
            </w:r>
            <w:r w:rsidRPr="00225C91">
              <w:rPr>
                <w:color w:val="EF3A84" w:themeColor="background2"/>
              </w:rPr>
              <w:br/>
            </w:r>
            <w:r w:rsidR="009C586E" w:rsidRPr="006E0BCB">
              <w:rPr>
                <w:strike/>
              </w:rPr>
              <w:t>Zoning laws and policies are robust enough and are being used, where needed, by local governments to place limits on the density or placement of quick serve restaurants or other outlets selling mainly unhealthy foods in communities</w:t>
            </w:r>
          </w:p>
        </w:tc>
      </w:tr>
      <w:tr w:rsidR="00574C31" w:rsidRPr="00FC2735" w14:paraId="59B7A56C" w14:textId="77777777" w:rsidTr="005B67D6">
        <w:trPr>
          <w:trHeight w:val="20"/>
        </w:trPr>
        <w:tc>
          <w:tcPr>
            <w:tcW w:w="175" w:type="pct"/>
            <w:vMerge/>
            <w:hideMark/>
          </w:tcPr>
          <w:p w14:paraId="4F7920A8" w14:textId="346D2545" w:rsidR="009C586E" w:rsidRPr="00225C91" w:rsidRDefault="009C586E" w:rsidP="001E40B4">
            <w:pPr>
              <w:pStyle w:val="Tabelle-Text"/>
            </w:pPr>
          </w:p>
        </w:tc>
        <w:tc>
          <w:tcPr>
            <w:tcW w:w="687" w:type="pct"/>
            <w:vMerge/>
            <w:hideMark/>
          </w:tcPr>
          <w:p w14:paraId="74E6A4FF" w14:textId="4455867E" w:rsidR="009C586E" w:rsidRPr="00225C91" w:rsidRDefault="009C586E" w:rsidP="001E40B4">
            <w:pPr>
              <w:pStyle w:val="Tabelle-Text"/>
            </w:pPr>
          </w:p>
        </w:tc>
        <w:tc>
          <w:tcPr>
            <w:tcW w:w="579" w:type="pct"/>
            <w:hideMark/>
          </w:tcPr>
          <w:p w14:paraId="4F54ADEB" w14:textId="77777777" w:rsidR="009C586E" w:rsidRPr="00225C91" w:rsidRDefault="009C586E" w:rsidP="001E40B4">
            <w:pPr>
              <w:pStyle w:val="Tabelle-Text"/>
            </w:pPr>
            <w:r w:rsidRPr="00225C91">
              <w:t>RETAIL2</w:t>
            </w:r>
          </w:p>
        </w:tc>
        <w:tc>
          <w:tcPr>
            <w:tcW w:w="755" w:type="pct"/>
            <w:hideMark/>
          </w:tcPr>
          <w:p w14:paraId="7EA0DDC5" w14:textId="6F6A5D62" w:rsidR="009C586E" w:rsidRPr="00225C91" w:rsidRDefault="006E0BCB" w:rsidP="001E40B4">
            <w:pPr>
              <w:pStyle w:val="Tabelle-Text"/>
            </w:pPr>
            <w:r>
              <w:t>Spatial planning</w:t>
            </w:r>
            <w:r w:rsidR="009C586E" w:rsidRPr="00225C91">
              <w:t xml:space="preserve"> - healthy foods</w:t>
            </w:r>
          </w:p>
        </w:tc>
        <w:tc>
          <w:tcPr>
            <w:tcW w:w="2803" w:type="pct"/>
            <w:hideMark/>
          </w:tcPr>
          <w:p w14:paraId="47ECEFB2" w14:textId="142EE750" w:rsidR="00CC4255" w:rsidRPr="006E0BCB" w:rsidRDefault="006E0BCB" w:rsidP="001E40B4">
            <w:pPr>
              <w:pStyle w:val="Tabelle-Text"/>
              <w:rPr>
                <w:color w:val="EF3A84" w:themeColor="background2"/>
              </w:rPr>
            </w:pPr>
            <w:r w:rsidRPr="006E0BCB">
              <w:rPr>
                <w:color w:val="EF3A84" w:themeColor="background2"/>
              </w:rPr>
              <w:t xml:space="preserve">The government uses land-use regulation and spatial planning policy </w:t>
            </w:r>
            <w:r w:rsidR="00CC4255" w:rsidRPr="006E0BCB">
              <w:rPr>
                <w:color w:val="EF3A84" w:themeColor="background2"/>
              </w:rPr>
              <w:t>to encourage/increase the availability of outlets selling fresh fruit and vegetables</w:t>
            </w:r>
          </w:p>
          <w:p w14:paraId="07204914" w14:textId="67CCA898" w:rsidR="00CC4255" w:rsidRPr="006E0BCB" w:rsidRDefault="00CC4255" w:rsidP="001E40B4">
            <w:pPr>
              <w:pStyle w:val="Tabelle-Text"/>
              <w:rPr>
                <w:i/>
                <w:iCs/>
                <w:color w:val="EF3A84" w:themeColor="background2"/>
              </w:rPr>
            </w:pPr>
            <w:r w:rsidRPr="006E0BCB">
              <w:rPr>
                <w:i/>
                <w:iCs/>
                <w:color w:val="EF3A84" w:themeColor="background2"/>
              </w:rPr>
              <w:t>Note: Original wording adjusted to align with style of definitions</w:t>
            </w:r>
          </w:p>
          <w:p w14:paraId="7C68C0C1" w14:textId="7E5B1422" w:rsidR="009C586E" w:rsidRPr="006E0BCB" w:rsidRDefault="009C586E" w:rsidP="001E40B4">
            <w:pPr>
              <w:pStyle w:val="Tabelle-Text"/>
              <w:rPr>
                <w:strike/>
              </w:rPr>
            </w:pPr>
            <w:r w:rsidRPr="006E0BCB">
              <w:rPr>
                <w:strike/>
              </w:rPr>
              <w:t>Zoning laws and policies are robust enough and are being used, where needed, by local governments to encourage the availability of outlets selling fresh fruit and vegetables</w:t>
            </w:r>
          </w:p>
        </w:tc>
      </w:tr>
      <w:tr w:rsidR="00574C31" w:rsidRPr="00FC2735" w14:paraId="50638142" w14:textId="77777777" w:rsidTr="005B67D6">
        <w:trPr>
          <w:trHeight w:val="20"/>
        </w:trPr>
        <w:tc>
          <w:tcPr>
            <w:tcW w:w="175" w:type="pct"/>
            <w:vMerge/>
            <w:hideMark/>
          </w:tcPr>
          <w:p w14:paraId="7551FD11" w14:textId="1944DC06" w:rsidR="009C586E" w:rsidRPr="00225C91" w:rsidRDefault="009C586E" w:rsidP="001E40B4">
            <w:pPr>
              <w:pStyle w:val="Tabelle-Text"/>
            </w:pPr>
          </w:p>
        </w:tc>
        <w:tc>
          <w:tcPr>
            <w:tcW w:w="687" w:type="pct"/>
            <w:vMerge/>
            <w:hideMark/>
          </w:tcPr>
          <w:p w14:paraId="65667766" w14:textId="11AA131B" w:rsidR="009C586E" w:rsidRPr="00225C91" w:rsidRDefault="009C586E" w:rsidP="001E40B4">
            <w:pPr>
              <w:pStyle w:val="Tabelle-Text"/>
            </w:pPr>
          </w:p>
        </w:tc>
        <w:tc>
          <w:tcPr>
            <w:tcW w:w="579" w:type="pct"/>
            <w:hideMark/>
          </w:tcPr>
          <w:p w14:paraId="26FF7892" w14:textId="77777777" w:rsidR="009C586E" w:rsidRPr="00225C91" w:rsidRDefault="009C586E" w:rsidP="001E40B4">
            <w:pPr>
              <w:pStyle w:val="Tabelle-Text"/>
            </w:pPr>
            <w:r w:rsidRPr="00225C91">
              <w:t>RETAIL3</w:t>
            </w:r>
          </w:p>
        </w:tc>
        <w:tc>
          <w:tcPr>
            <w:tcW w:w="755" w:type="pct"/>
            <w:hideMark/>
          </w:tcPr>
          <w:p w14:paraId="31C13DD3" w14:textId="77777777" w:rsidR="009C586E" w:rsidRPr="00225C91" w:rsidRDefault="009C586E" w:rsidP="001E40B4">
            <w:pPr>
              <w:pStyle w:val="Tabelle-Text"/>
            </w:pPr>
            <w:r w:rsidRPr="00225C91">
              <w:t>In-store availability of healthy / unhealthy foods</w:t>
            </w:r>
          </w:p>
        </w:tc>
        <w:tc>
          <w:tcPr>
            <w:tcW w:w="2803" w:type="pct"/>
            <w:hideMark/>
          </w:tcPr>
          <w:p w14:paraId="5D6D97C0" w14:textId="77777777" w:rsidR="009C586E" w:rsidRPr="00225C91" w:rsidRDefault="009C586E" w:rsidP="001E40B4">
            <w:pPr>
              <w:pStyle w:val="Tabelle-Text"/>
            </w:pPr>
            <w:r w:rsidRPr="00225C91">
              <w:t>The government ensures existing support systems are in place to encourage food stores to promote the in-store availability of healthy foods and to limit the in-store availability of unhealthy foods</w:t>
            </w:r>
          </w:p>
        </w:tc>
      </w:tr>
      <w:tr w:rsidR="00574C31" w:rsidRPr="00FC2735" w14:paraId="27CE7EBD" w14:textId="77777777" w:rsidTr="005B67D6">
        <w:trPr>
          <w:trHeight w:val="20"/>
        </w:trPr>
        <w:tc>
          <w:tcPr>
            <w:tcW w:w="175" w:type="pct"/>
            <w:vMerge/>
            <w:hideMark/>
          </w:tcPr>
          <w:p w14:paraId="14629905" w14:textId="10D78E25" w:rsidR="009C586E" w:rsidRPr="00225C91" w:rsidRDefault="009C586E" w:rsidP="001E40B4">
            <w:pPr>
              <w:pStyle w:val="Tabelle-Text"/>
            </w:pPr>
          </w:p>
        </w:tc>
        <w:tc>
          <w:tcPr>
            <w:tcW w:w="687" w:type="pct"/>
            <w:vMerge/>
            <w:hideMark/>
          </w:tcPr>
          <w:p w14:paraId="259518B4" w14:textId="08154468" w:rsidR="009C586E" w:rsidRPr="00225C91" w:rsidRDefault="009C586E" w:rsidP="001E40B4">
            <w:pPr>
              <w:pStyle w:val="Tabelle-Text"/>
            </w:pPr>
          </w:p>
        </w:tc>
        <w:tc>
          <w:tcPr>
            <w:tcW w:w="579" w:type="pct"/>
            <w:hideMark/>
          </w:tcPr>
          <w:p w14:paraId="63E17A98" w14:textId="77777777" w:rsidR="009C586E" w:rsidRPr="00225C91" w:rsidRDefault="009C586E" w:rsidP="001E40B4">
            <w:pPr>
              <w:pStyle w:val="Tabelle-Text"/>
            </w:pPr>
            <w:r w:rsidRPr="00225C91">
              <w:t>RETAIL4</w:t>
            </w:r>
          </w:p>
        </w:tc>
        <w:tc>
          <w:tcPr>
            <w:tcW w:w="755" w:type="pct"/>
            <w:hideMark/>
          </w:tcPr>
          <w:p w14:paraId="5C2904D0" w14:textId="77777777" w:rsidR="009C586E" w:rsidRPr="00225C91" w:rsidRDefault="009C586E" w:rsidP="001E40B4">
            <w:pPr>
              <w:pStyle w:val="Tabelle-Text"/>
            </w:pPr>
            <w:r w:rsidRPr="00225C91">
              <w:t>Food service outlets</w:t>
            </w:r>
          </w:p>
        </w:tc>
        <w:tc>
          <w:tcPr>
            <w:tcW w:w="2803" w:type="pct"/>
            <w:hideMark/>
          </w:tcPr>
          <w:p w14:paraId="2CAA9979" w14:textId="77777777" w:rsidR="009C586E" w:rsidRPr="00225C91" w:rsidRDefault="009C586E" w:rsidP="001E40B4">
            <w:pPr>
              <w:pStyle w:val="Tabelle-Text"/>
            </w:pPr>
            <w:r w:rsidRPr="00225C91">
              <w:t>The government ensures existing support systems are in place to encourage food service outlets to increase the promotion and availability of healthy foods and to decrease the promotion and availability of unhealthy foods</w:t>
            </w:r>
          </w:p>
        </w:tc>
      </w:tr>
      <w:tr w:rsidR="00225C91" w:rsidRPr="00225C91" w14:paraId="501806F1" w14:textId="77777777" w:rsidTr="005B67D6">
        <w:trPr>
          <w:trHeight w:val="20"/>
        </w:trPr>
        <w:tc>
          <w:tcPr>
            <w:tcW w:w="175" w:type="pct"/>
            <w:vMerge w:val="restart"/>
            <w:hideMark/>
          </w:tcPr>
          <w:p w14:paraId="45A02E7D" w14:textId="08AF4C4A" w:rsidR="009C586E" w:rsidRPr="00225C91" w:rsidRDefault="009C586E" w:rsidP="001E40B4">
            <w:pPr>
              <w:pStyle w:val="Tabelle-Text"/>
            </w:pPr>
            <w:r w:rsidRPr="00225C91">
              <w:t>7</w:t>
            </w:r>
          </w:p>
          <w:p w14:paraId="37E0F2F3" w14:textId="7CAD92BB" w:rsidR="009C586E" w:rsidRPr="00225C91" w:rsidRDefault="009C586E" w:rsidP="001E40B4">
            <w:pPr>
              <w:pStyle w:val="Tabelle-Text"/>
            </w:pPr>
          </w:p>
        </w:tc>
        <w:tc>
          <w:tcPr>
            <w:tcW w:w="687" w:type="pct"/>
            <w:vMerge w:val="restart"/>
            <w:hideMark/>
          </w:tcPr>
          <w:p w14:paraId="4BD52965" w14:textId="7CE8D22E" w:rsidR="009C586E" w:rsidRPr="00225C91" w:rsidRDefault="009C586E" w:rsidP="001E40B4">
            <w:pPr>
              <w:pStyle w:val="Tabelle-Text"/>
            </w:pPr>
            <w:r w:rsidRPr="00225C91">
              <w:t>Food trade and investment</w:t>
            </w:r>
          </w:p>
        </w:tc>
        <w:tc>
          <w:tcPr>
            <w:tcW w:w="4138" w:type="pct"/>
            <w:gridSpan w:val="3"/>
            <w:hideMark/>
          </w:tcPr>
          <w:p w14:paraId="7850D569" w14:textId="37182024" w:rsidR="009C586E" w:rsidRPr="00225C91" w:rsidRDefault="009C586E" w:rsidP="001E40B4">
            <w:pPr>
              <w:pStyle w:val="Tabelle-Text"/>
            </w:pPr>
            <w:r w:rsidRPr="00225C91">
              <w:t>The government ensures that trade and investment agreements protect food sovereignty, favour healthy food environments, are linked with domestic health and agricultural policies in ways that are consistent with health objectives, and do not promote unhealthy food environments</w:t>
            </w:r>
          </w:p>
        </w:tc>
      </w:tr>
      <w:tr w:rsidR="00574C31" w:rsidRPr="00FC2735" w14:paraId="0006C7C2" w14:textId="77777777" w:rsidTr="005B67D6">
        <w:trPr>
          <w:trHeight w:val="20"/>
        </w:trPr>
        <w:tc>
          <w:tcPr>
            <w:tcW w:w="175" w:type="pct"/>
            <w:vMerge/>
            <w:hideMark/>
          </w:tcPr>
          <w:p w14:paraId="44CF37AC" w14:textId="1488227F" w:rsidR="009C586E" w:rsidRPr="00225C91" w:rsidRDefault="009C586E" w:rsidP="001E40B4">
            <w:pPr>
              <w:pStyle w:val="Tabelle-Text"/>
            </w:pPr>
          </w:p>
        </w:tc>
        <w:tc>
          <w:tcPr>
            <w:tcW w:w="687" w:type="pct"/>
            <w:vMerge/>
            <w:hideMark/>
          </w:tcPr>
          <w:p w14:paraId="5C979F71" w14:textId="10EE2353" w:rsidR="009C586E" w:rsidRPr="00225C91" w:rsidRDefault="009C586E" w:rsidP="001E40B4">
            <w:pPr>
              <w:pStyle w:val="Tabelle-Text"/>
            </w:pPr>
          </w:p>
        </w:tc>
        <w:tc>
          <w:tcPr>
            <w:tcW w:w="579" w:type="pct"/>
            <w:hideMark/>
          </w:tcPr>
          <w:p w14:paraId="3FCCA9B6" w14:textId="77777777" w:rsidR="009C586E" w:rsidRPr="00225C91" w:rsidRDefault="009C586E" w:rsidP="001E40B4">
            <w:pPr>
              <w:pStyle w:val="Tabelle-Text"/>
            </w:pPr>
            <w:r w:rsidRPr="00225C91">
              <w:t>TRADE1</w:t>
            </w:r>
          </w:p>
        </w:tc>
        <w:tc>
          <w:tcPr>
            <w:tcW w:w="755" w:type="pct"/>
            <w:hideMark/>
          </w:tcPr>
          <w:p w14:paraId="29978808" w14:textId="77777777" w:rsidR="009C586E" w:rsidRPr="00225C91" w:rsidRDefault="009C586E" w:rsidP="001E40B4">
            <w:pPr>
              <w:pStyle w:val="Tabelle-Text"/>
            </w:pPr>
            <w:r w:rsidRPr="00225C91">
              <w:t>Risk impact assessments</w:t>
            </w:r>
          </w:p>
        </w:tc>
        <w:tc>
          <w:tcPr>
            <w:tcW w:w="2803" w:type="pct"/>
            <w:hideMark/>
          </w:tcPr>
          <w:p w14:paraId="354A5760" w14:textId="77777777" w:rsidR="009C586E" w:rsidRPr="00225C91" w:rsidRDefault="009C586E" w:rsidP="001E40B4">
            <w:pPr>
              <w:pStyle w:val="Tabelle-Text"/>
            </w:pPr>
            <w:r w:rsidRPr="00225C91">
              <w:t>The government undertakes risk impact assessments before and during the negotiation of trade and investment agreements, to identify, evaluate and minimize the direct and indirect negative impacts of such agreements on population nutrition and health</w:t>
            </w:r>
          </w:p>
        </w:tc>
      </w:tr>
      <w:tr w:rsidR="00574C31" w:rsidRPr="00FC2735" w14:paraId="11D2ED20" w14:textId="77777777" w:rsidTr="005B67D6">
        <w:trPr>
          <w:trHeight w:val="20"/>
        </w:trPr>
        <w:tc>
          <w:tcPr>
            <w:tcW w:w="175" w:type="pct"/>
            <w:vMerge/>
            <w:hideMark/>
          </w:tcPr>
          <w:p w14:paraId="1F2A14B3" w14:textId="2D4D4C69" w:rsidR="009C586E" w:rsidRPr="00225C91" w:rsidRDefault="009C586E" w:rsidP="001E40B4">
            <w:pPr>
              <w:pStyle w:val="Tabelle-Text"/>
            </w:pPr>
          </w:p>
        </w:tc>
        <w:tc>
          <w:tcPr>
            <w:tcW w:w="687" w:type="pct"/>
            <w:vMerge/>
            <w:hideMark/>
          </w:tcPr>
          <w:p w14:paraId="2C68EBD9" w14:textId="04C618F5" w:rsidR="009C586E" w:rsidRPr="00225C91" w:rsidRDefault="009C586E" w:rsidP="001E40B4">
            <w:pPr>
              <w:pStyle w:val="Tabelle-Text"/>
            </w:pPr>
          </w:p>
        </w:tc>
        <w:tc>
          <w:tcPr>
            <w:tcW w:w="579" w:type="pct"/>
            <w:hideMark/>
          </w:tcPr>
          <w:p w14:paraId="502CBC9F" w14:textId="77777777" w:rsidR="009C586E" w:rsidRPr="00225C91" w:rsidRDefault="009C586E" w:rsidP="001E40B4">
            <w:pPr>
              <w:pStyle w:val="Tabelle-Text"/>
            </w:pPr>
            <w:r w:rsidRPr="00225C91">
              <w:t>TRADE2</w:t>
            </w:r>
          </w:p>
        </w:tc>
        <w:tc>
          <w:tcPr>
            <w:tcW w:w="755" w:type="pct"/>
            <w:hideMark/>
          </w:tcPr>
          <w:p w14:paraId="5F4D02F7" w14:textId="77777777" w:rsidR="009C586E" w:rsidRPr="00225C91" w:rsidRDefault="009C586E" w:rsidP="001E40B4">
            <w:pPr>
              <w:pStyle w:val="Tabelle-Text"/>
            </w:pPr>
            <w:r w:rsidRPr="00225C91">
              <w:t>Protect regulatory capacity</w:t>
            </w:r>
          </w:p>
        </w:tc>
        <w:tc>
          <w:tcPr>
            <w:tcW w:w="2803" w:type="pct"/>
            <w:hideMark/>
          </w:tcPr>
          <w:p w14:paraId="2877AA74" w14:textId="77777777" w:rsidR="009C586E" w:rsidRPr="00225C91" w:rsidRDefault="009C586E" w:rsidP="001E40B4">
            <w:pPr>
              <w:pStyle w:val="Tabelle-Text"/>
            </w:pPr>
            <w:r w:rsidRPr="00225C91">
              <w:t>The government adopts measures to manage investment and protect their regulatory capacity with respect to public health nutrition</w:t>
            </w:r>
          </w:p>
        </w:tc>
      </w:tr>
      <w:tr w:rsidR="00574C31" w:rsidRPr="00FC2735" w14:paraId="21F3E302" w14:textId="77777777" w:rsidTr="005B67D6">
        <w:trPr>
          <w:trHeight w:val="20"/>
        </w:trPr>
        <w:tc>
          <w:tcPr>
            <w:tcW w:w="175" w:type="pct"/>
            <w:hideMark/>
          </w:tcPr>
          <w:p w14:paraId="63DF94F4" w14:textId="77777777" w:rsidR="005D4C4D" w:rsidRPr="0000460B" w:rsidRDefault="005D4C4D" w:rsidP="001E40B4">
            <w:pPr>
              <w:pStyle w:val="Tabelle-Text"/>
              <w:rPr>
                <w:color w:val="EF3A84" w:themeColor="background2"/>
              </w:rPr>
            </w:pPr>
            <w:r w:rsidRPr="0000460B">
              <w:rPr>
                <w:color w:val="EF3A84" w:themeColor="background2"/>
              </w:rPr>
              <w:t>8</w:t>
            </w:r>
          </w:p>
        </w:tc>
        <w:tc>
          <w:tcPr>
            <w:tcW w:w="687" w:type="pct"/>
            <w:hideMark/>
          </w:tcPr>
          <w:p w14:paraId="1362348D" w14:textId="77777777" w:rsidR="005D4C4D" w:rsidRPr="0000460B" w:rsidRDefault="005D4C4D" w:rsidP="001E40B4">
            <w:pPr>
              <w:pStyle w:val="Tabelle-Text"/>
              <w:rPr>
                <w:color w:val="EF3A84" w:themeColor="background2"/>
              </w:rPr>
            </w:pPr>
            <w:r w:rsidRPr="0000460B">
              <w:rPr>
                <w:color w:val="EF3A84" w:themeColor="background2"/>
              </w:rPr>
              <w:t>Food waste</w:t>
            </w:r>
          </w:p>
        </w:tc>
        <w:tc>
          <w:tcPr>
            <w:tcW w:w="579" w:type="pct"/>
            <w:hideMark/>
          </w:tcPr>
          <w:p w14:paraId="3986CBE1" w14:textId="77777777" w:rsidR="005D4C4D" w:rsidRPr="0000460B" w:rsidRDefault="005D4C4D" w:rsidP="001E40B4">
            <w:pPr>
              <w:pStyle w:val="Tabelle-Text"/>
              <w:rPr>
                <w:color w:val="EF3A84" w:themeColor="background2"/>
              </w:rPr>
            </w:pPr>
            <w:r w:rsidRPr="0000460B">
              <w:rPr>
                <w:color w:val="EF3A84" w:themeColor="background2"/>
              </w:rPr>
              <w:t>WAST1</w:t>
            </w:r>
          </w:p>
        </w:tc>
        <w:tc>
          <w:tcPr>
            <w:tcW w:w="755" w:type="pct"/>
            <w:hideMark/>
          </w:tcPr>
          <w:p w14:paraId="03485B99" w14:textId="77777777" w:rsidR="005D4C4D" w:rsidRPr="0000460B" w:rsidRDefault="005D4C4D" w:rsidP="001E40B4">
            <w:pPr>
              <w:pStyle w:val="Tabelle-Text"/>
              <w:rPr>
                <w:color w:val="EF3A84" w:themeColor="background2"/>
              </w:rPr>
            </w:pPr>
            <w:r w:rsidRPr="0000460B">
              <w:rPr>
                <w:color w:val="EF3A84" w:themeColor="background2"/>
              </w:rPr>
              <w:t>Food waste</w:t>
            </w:r>
          </w:p>
        </w:tc>
        <w:tc>
          <w:tcPr>
            <w:tcW w:w="2803" w:type="pct"/>
            <w:hideMark/>
          </w:tcPr>
          <w:p w14:paraId="5C3EECC3" w14:textId="77777777" w:rsidR="005D4C4D" w:rsidRPr="0000460B" w:rsidRDefault="005D4C4D" w:rsidP="001E40B4">
            <w:pPr>
              <w:pStyle w:val="Tabelle-Text"/>
              <w:rPr>
                <w:color w:val="EF3A84" w:themeColor="background2"/>
              </w:rPr>
            </w:pPr>
            <w:r w:rsidRPr="0000460B">
              <w:rPr>
                <w:color w:val="EF3A84" w:themeColor="background2"/>
              </w:rPr>
              <w:t>The government has defined targets to reduce food waste along the supply chain and has implemented corresponding measures</w:t>
            </w:r>
          </w:p>
          <w:p w14:paraId="09EE9C6E" w14:textId="5A12D58F" w:rsidR="0066754D" w:rsidRPr="0000460B" w:rsidRDefault="00BF253D" w:rsidP="001E40B4">
            <w:pPr>
              <w:pStyle w:val="Tabelle-Text"/>
              <w:rPr>
                <w:i/>
                <w:iCs/>
                <w:color w:val="EF3A84" w:themeColor="background2"/>
              </w:rPr>
            </w:pPr>
            <w:r w:rsidRPr="0000460B">
              <w:rPr>
                <w:i/>
                <w:iCs/>
                <w:color w:val="EF3A84" w:themeColor="background2"/>
              </w:rPr>
              <w:t xml:space="preserve">Note: </w:t>
            </w:r>
            <w:r w:rsidR="0066754D" w:rsidRPr="0000460B">
              <w:rPr>
                <w:i/>
                <w:iCs/>
                <w:color w:val="EF3A84" w:themeColor="background2"/>
              </w:rPr>
              <w:t>New</w:t>
            </w:r>
            <w:r w:rsidR="00AF644D" w:rsidRPr="0000460B">
              <w:rPr>
                <w:i/>
                <w:iCs/>
                <w:color w:val="EF3A84" w:themeColor="background2"/>
              </w:rPr>
              <w:t xml:space="preserve"> domain and</w:t>
            </w:r>
            <w:r w:rsidR="0066754D" w:rsidRPr="0000460B">
              <w:rPr>
                <w:i/>
                <w:iCs/>
                <w:color w:val="EF3A84" w:themeColor="background2"/>
              </w:rPr>
              <w:t xml:space="preserve"> indicator </w:t>
            </w:r>
            <w:r w:rsidRPr="0000460B">
              <w:rPr>
                <w:i/>
                <w:iCs/>
                <w:color w:val="EF3A84" w:themeColor="background2"/>
              </w:rPr>
              <w:t xml:space="preserve">to account for sustainability </w:t>
            </w:r>
            <w:r w:rsidR="0066754D" w:rsidRPr="0000460B">
              <w:rPr>
                <w:i/>
                <w:iCs/>
                <w:color w:val="EF3A84" w:themeColor="background2"/>
              </w:rPr>
              <w:t xml:space="preserve">– as food waste accounts </w:t>
            </w:r>
            <w:r w:rsidRPr="0000460B">
              <w:rPr>
                <w:i/>
                <w:iCs/>
                <w:color w:val="EF3A84" w:themeColor="background2"/>
              </w:rPr>
              <w:t xml:space="preserve">for about 8 to 10 percent of annual global greenhouse gas emissions </w:t>
            </w:r>
            <w:r w:rsidRPr="0000460B">
              <w:rPr>
                <w:i/>
                <w:iCs/>
                <w:color w:val="EF3A84" w:themeColor="background2"/>
              </w:rPr>
              <w:fldChar w:fldCharType="begin"/>
            </w:r>
            <w:r w:rsidR="00F833B1" w:rsidRPr="0000460B">
              <w:rPr>
                <w:i/>
                <w:iCs/>
                <w:color w:val="EF3A84" w:themeColor="background2"/>
              </w:rPr>
              <w:instrText xml:space="preserve"> ADDIN ZOTERO_ITEM CSL_CITATION {"citationID":"a62gv1rjib","properties":{"formattedCitation":"[3]","plainCitation":"[3]","noteIndex":0},"citationItems":[{"id":95,"uris":["http://zotero.org/users/5617569/items/4M8L6XZM"],"itemData":{"id":95,"type":"webpage","title":"Food loss and waste account for 8-10% of annual global greenhouse gas emissions; cost USD 1 trillion annually","URL":"https://unfccc.int/news/food-loss-and-waste-account-for-8-10-of-annual-global-greenhouse-gas-emissions-cost-usd-1-trillion","author":[{"family":"United Nations Climate Change","given":""}],"accessed":{"date-parts":[["2025",4,9]]},"issued":{"date-parts":[["2024",9,30]]}}}],"schema":"https://github.com/citation-style-language/schema/raw/master/csl-citation.json"} </w:instrText>
            </w:r>
            <w:r w:rsidRPr="0000460B">
              <w:rPr>
                <w:i/>
                <w:iCs/>
                <w:color w:val="EF3A84" w:themeColor="background2"/>
              </w:rPr>
              <w:fldChar w:fldCharType="separate"/>
            </w:r>
            <w:r w:rsidR="00F833B1" w:rsidRPr="0000460B">
              <w:rPr>
                <w:i/>
                <w:iCs/>
                <w:color w:val="EF3A84" w:themeColor="background2"/>
              </w:rPr>
              <w:t>[3]</w:t>
            </w:r>
            <w:r w:rsidRPr="0000460B">
              <w:rPr>
                <w:i/>
                <w:iCs/>
                <w:color w:val="EF3A84" w:themeColor="background2"/>
              </w:rPr>
              <w:fldChar w:fldCharType="end"/>
            </w:r>
          </w:p>
        </w:tc>
      </w:tr>
    </w:tbl>
    <w:p w14:paraId="67C28744" w14:textId="5462B1AF" w:rsidR="009C586E" w:rsidRPr="00225C91" w:rsidRDefault="009C586E" w:rsidP="001E40B4">
      <w:pPr>
        <w:pStyle w:val="Beschriftung"/>
      </w:pPr>
      <w:bookmarkStart w:id="7" w:name="_Ref193363038"/>
      <w:bookmarkStart w:id="8" w:name="_Toc222325226"/>
      <w:r w:rsidRPr="00225C91">
        <w:lastRenderedPageBreak/>
        <w:t xml:space="preserve">Table </w:t>
      </w:r>
      <w:r w:rsidR="00672F33">
        <w:fldChar w:fldCharType="begin"/>
      </w:r>
      <w:r w:rsidR="00672F33">
        <w:instrText xml:space="preserve"> SEQ Table \* ARABIC </w:instrText>
      </w:r>
      <w:r w:rsidR="00672F33">
        <w:fldChar w:fldCharType="separate"/>
      </w:r>
      <w:r w:rsidR="00901762">
        <w:rPr>
          <w:noProof/>
        </w:rPr>
        <w:t>2</w:t>
      </w:r>
      <w:r w:rsidR="00672F33">
        <w:fldChar w:fldCharType="end"/>
      </w:r>
      <w:bookmarkEnd w:id="7"/>
      <w:r w:rsidRPr="00225C91">
        <w:t xml:space="preserve"> INFORMAS Food-EPI</w:t>
      </w:r>
      <w:r w:rsidR="00D82EF5">
        <w:t xml:space="preserve">: </w:t>
      </w:r>
      <w:r w:rsidRPr="00225C91">
        <w:t>Infrastructure support domains and indicators</w:t>
      </w:r>
      <w:bookmarkEnd w:id="8"/>
    </w:p>
    <w:tbl>
      <w:tblPr>
        <w:tblStyle w:val="TabellemithellemGitternetz"/>
        <w:tblW w:w="5000" w:type="pct"/>
        <w:tblLook w:val="04A0" w:firstRow="1" w:lastRow="0" w:firstColumn="1" w:lastColumn="0" w:noHBand="0" w:noVBand="1"/>
      </w:tblPr>
      <w:tblGrid>
        <w:gridCol w:w="439"/>
        <w:gridCol w:w="1306"/>
        <w:gridCol w:w="1061"/>
        <w:gridCol w:w="1584"/>
        <w:gridCol w:w="4956"/>
      </w:tblGrid>
      <w:tr w:rsidR="00B44BA8" w:rsidRPr="00225C91" w14:paraId="025DD691" w14:textId="77777777" w:rsidTr="00E67C31">
        <w:trPr>
          <w:trHeight w:val="20"/>
          <w:tblHeader/>
        </w:trPr>
        <w:tc>
          <w:tcPr>
            <w:tcW w:w="177" w:type="pct"/>
            <w:hideMark/>
          </w:tcPr>
          <w:p w14:paraId="618B4569" w14:textId="77777777" w:rsidR="009C586E" w:rsidRPr="005B67D6" w:rsidRDefault="009C586E" w:rsidP="005B67D6">
            <w:pPr>
              <w:pStyle w:val="Tabelle-berschrift"/>
              <w:rPr>
                <w:lang w:val="de-DE"/>
              </w:rPr>
            </w:pPr>
            <w:r w:rsidRPr="005B67D6">
              <w:t>#</w:t>
            </w:r>
          </w:p>
        </w:tc>
        <w:tc>
          <w:tcPr>
            <w:tcW w:w="597" w:type="pct"/>
            <w:hideMark/>
          </w:tcPr>
          <w:p w14:paraId="36F2B811" w14:textId="77777777" w:rsidR="009C586E" w:rsidRPr="005B67D6" w:rsidRDefault="009C586E" w:rsidP="005B67D6">
            <w:pPr>
              <w:pStyle w:val="Tabelle-berschrift"/>
            </w:pPr>
            <w:r w:rsidRPr="005B67D6">
              <w:t>Domain</w:t>
            </w:r>
          </w:p>
        </w:tc>
        <w:tc>
          <w:tcPr>
            <w:tcW w:w="552" w:type="pct"/>
            <w:hideMark/>
          </w:tcPr>
          <w:p w14:paraId="188C45BC" w14:textId="77777777" w:rsidR="009C586E" w:rsidRPr="005B67D6" w:rsidRDefault="009C586E" w:rsidP="005B67D6">
            <w:pPr>
              <w:pStyle w:val="Tabelle-berschrift"/>
            </w:pPr>
            <w:r w:rsidRPr="005B67D6">
              <w:t>Indicator</w:t>
            </w:r>
          </w:p>
        </w:tc>
        <w:tc>
          <w:tcPr>
            <w:tcW w:w="730" w:type="pct"/>
            <w:hideMark/>
          </w:tcPr>
          <w:p w14:paraId="585C03CE" w14:textId="77777777" w:rsidR="009C586E" w:rsidRPr="005B67D6" w:rsidRDefault="009C586E" w:rsidP="005B67D6">
            <w:pPr>
              <w:pStyle w:val="Tabelle-berschrift"/>
            </w:pPr>
            <w:r w:rsidRPr="005B67D6">
              <w:t>Name</w:t>
            </w:r>
          </w:p>
        </w:tc>
        <w:tc>
          <w:tcPr>
            <w:tcW w:w="2943" w:type="pct"/>
            <w:hideMark/>
          </w:tcPr>
          <w:p w14:paraId="5D0ACCC0" w14:textId="77777777" w:rsidR="009C586E" w:rsidRPr="005B67D6" w:rsidRDefault="009C586E" w:rsidP="005B67D6">
            <w:pPr>
              <w:pStyle w:val="Tabelle-berschrift"/>
            </w:pPr>
            <w:r w:rsidRPr="005B67D6">
              <w:t>Definition</w:t>
            </w:r>
            <w:r w:rsidRPr="005B67D6">
              <w:rPr>
                <w:rStyle w:val="Funotenzeichen"/>
                <w:b w:val="0"/>
                <w:bCs/>
              </w:rPr>
              <w:footnoteReference w:id="2"/>
            </w:r>
          </w:p>
        </w:tc>
      </w:tr>
      <w:tr w:rsidR="009C586E" w:rsidRPr="00225C91" w14:paraId="4DA130D3" w14:textId="77777777" w:rsidTr="00A64C48">
        <w:trPr>
          <w:trHeight w:val="20"/>
        </w:trPr>
        <w:tc>
          <w:tcPr>
            <w:tcW w:w="177" w:type="pct"/>
            <w:vMerge w:val="restart"/>
            <w:hideMark/>
          </w:tcPr>
          <w:p w14:paraId="55DD559E" w14:textId="0462E70B" w:rsidR="009C586E" w:rsidRPr="00225C91" w:rsidRDefault="009C586E" w:rsidP="001E40B4">
            <w:pPr>
              <w:pStyle w:val="Tabelle-Text"/>
            </w:pPr>
            <w:r w:rsidRPr="00225C91">
              <w:t>9</w:t>
            </w:r>
          </w:p>
          <w:p w14:paraId="64FE53C0" w14:textId="0C7FFB8B" w:rsidR="009C586E" w:rsidRPr="00225C91" w:rsidRDefault="009C586E" w:rsidP="001E40B4">
            <w:pPr>
              <w:pStyle w:val="Tabelle-Text"/>
            </w:pPr>
          </w:p>
        </w:tc>
        <w:tc>
          <w:tcPr>
            <w:tcW w:w="597" w:type="pct"/>
            <w:vMerge w:val="restart"/>
            <w:hideMark/>
          </w:tcPr>
          <w:p w14:paraId="04019052" w14:textId="4A6D2D23" w:rsidR="009C586E" w:rsidRPr="00225C91" w:rsidRDefault="009C586E" w:rsidP="001E40B4">
            <w:pPr>
              <w:pStyle w:val="Tabelle-Text"/>
            </w:pPr>
            <w:r w:rsidRPr="00225C91">
              <w:t>Leadership</w:t>
            </w:r>
          </w:p>
          <w:p w14:paraId="0BDFE9F5" w14:textId="37F697C0" w:rsidR="009C586E" w:rsidRPr="00225C91" w:rsidRDefault="009C586E" w:rsidP="001E40B4">
            <w:pPr>
              <w:pStyle w:val="Tabelle-Text"/>
            </w:pPr>
          </w:p>
        </w:tc>
        <w:tc>
          <w:tcPr>
            <w:tcW w:w="4225" w:type="pct"/>
            <w:gridSpan w:val="3"/>
            <w:hideMark/>
          </w:tcPr>
          <w:p w14:paraId="281F237D" w14:textId="77777777" w:rsidR="009C586E" w:rsidRPr="00225C91" w:rsidRDefault="009C586E" w:rsidP="001E40B4">
            <w:pPr>
              <w:pStyle w:val="Tabelle-Text"/>
            </w:pPr>
            <w:r w:rsidRPr="00225C91">
              <w:t>The political leadership ensures that there is strong support for the vision, planning, communication, implementation and evaluation of policies and actions to create healthy food environments, improve population nutrition, and reduce diet-related inequalities</w:t>
            </w:r>
          </w:p>
        </w:tc>
      </w:tr>
      <w:tr w:rsidR="004E0EBA" w:rsidRPr="00225C91" w14:paraId="741FA1D5" w14:textId="77777777" w:rsidTr="00A64C48">
        <w:trPr>
          <w:trHeight w:val="20"/>
        </w:trPr>
        <w:tc>
          <w:tcPr>
            <w:tcW w:w="177" w:type="pct"/>
            <w:vMerge/>
            <w:hideMark/>
          </w:tcPr>
          <w:p w14:paraId="3BDAF441" w14:textId="35FD6A21" w:rsidR="009C586E" w:rsidRPr="00225C91" w:rsidRDefault="009C586E" w:rsidP="001E40B4">
            <w:pPr>
              <w:pStyle w:val="Tabelle-Text"/>
            </w:pPr>
          </w:p>
        </w:tc>
        <w:tc>
          <w:tcPr>
            <w:tcW w:w="597" w:type="pct"/>
            <w:vMerge/>
            <w:hideMark/>
          </w:tcPr>
          <w:p w14:paraId="59D94724" w14:textId="0AE811DA" w:rsidR="009C586E" w:rsidRPr="00225C91" w:rsidRDefault="009C586E" w:rsidP="001E40B4">
            <w:pPr>
              <w:pStyle w:val="Tabelle-Text"/>
            </w:pPr>
          </w:p>
        </w:tc>
        <w:tc>
          <w:tcPr>
            <w:tcW w:w="552" w:type="pct"/>
            <w:hideMark/>
          </w:tcPr>
          <w:p w14:paraId="7F8B0EA2" w14:textId="77777777" w:rsidR="009C586E" w:rsidRPr="00225C91" w:rsidRDefault="009C586E" w:rsidP="001E40B4">
            <w:pPr>
              <w:pStyle w:val="Tabelle-Text"/>
            </w:pPr>
            <w:r w:rsidRPr="00225C91">
              <w:t>LEAD1</w:t>
            </w:r>
          </w:p>
        </w:tc>
        <w:tc>
          <w:tcPr>
            <w:tcW w:w="730" w:type="pct"/>
            <w:hideMark/>
          </w:tcPr>
          <w:p w14:paraId="14BD65E6" w14:textId="77777777" w:rsidR="009C586E" w:rsidRPr="00225C91" w:rsidRDefault="009C586E" w:rsidP="001E40B4">
            <w:pPr>
              <w:pStyle w:val="Tabelle-Text"/>
            </w:pPr>
            <w:r w:rsidRPr="00225C91">
              <w:t>Political support</w:t>
            </w:r>
          </w:p>
        </w:tc>
        <w:tc>
          <w:tcPr>
            <w:tcW w:w="2943" w:type="pct"/>
            <w:hideMark/>
          </w:tcPr>
          <w:p w14:paraId="40FAE493" w14:textId="77777777" w:rsidR="009C586E" w:rsidRPr="00225C91" w:rsidRDefault="009C586E" w:rsidP="001E40B4">
            <w:pPr>
              <w:pStyle w:val="Tabelle-Text"/>
            </w:pPr>
            <w:r w:rsidRPr="00225C91">
              <w:t>There is strong, visible, political support (at the Head of Government / Cabinet level) for improving food environments, population nutrition, diet-related NCDs and their related inequalities</w:t>
            </w:r>
          </w:p>
        </w:tc>
      </w:tr>
      <w:tr w:rsidR="004E0EBA" w:rsidRPr="00225C91" w14:paraId="5B52DADE" w14:textId="77777777" w:rsidTr="00A64C48">
        <w:trPr>
          <w:trHeight w:val="20"/>
        </w:trPr>
        <w:tc>
          <w:tcPr>
            <w:tcW w:w="177" w:type="pct"/>
            <w:vMerge/>
            <w:hideMark/>
          </w:tcPr>
          <w:p w14:paraId="7C905EB0" w14:textId="7B288040" w:rsidR="009C586E" w:rsidRPr="00225C91" w:rsidRDefault="009C586E" w:rsidP="001E40B4">
            <w:pPr>
              <w:pStyle w:val="Tabelle-Text"/>
            </w:pPr>
          </w:p>
        </w:tc>
        <w:tc>
          <w:tcPr>
            <w:tcW w:w="597" w:type="pct"/>
            <w:vMerge/>
            <w:hideMark/>
          </w:tcPr>
          <w:p w14:paraId="498D7EF2" w14:textId="4DB97087" w:rsidR="009C586E" w:rsidRPr="00225C91" w:rsidRDefault="009C586E" w:rsidP="001E40B4">
            <w:pPr>
              <w:pStyle w:val="Tabelle-Text"/>
            </w:pPr>
          </w:p>
        </w:tc>
        <w:tc>
          <w:tcPr>
            <w:tcW w:w="552" w:type="pct"/>
            <w:hideMark/>
          </w:tcPr>
          <w:p w14:paraId="544BF13D" w14:textId="77777777" w:rsidR="009C586E" w:rsidRPr="00225C91" w:rsidRDefault="009C586E" w:rsidP="001E40B4">
            <w:pPr>
              <w:pStyle w:val="Tabelle-Text"/>
            </w:pPr>
            <w:r w:rsidRPr="00225C91">
              <w:t>LEAD2</w:t>
            </w:r>
          </w:p>
        </w:tc>
        <w:tc>
          <w:tcPr>
            <w:tcW w:w="730" w:type="pct"/>
            <w:hideMark/>
          </w:tcPr>
          <w:p w14:paraId="00729D83" w14:textId="77777777" w:rsidR="009C586E" w:rsidRPr="00225C91" w:rsidRDefault="009C586E" w:rsidP="001E40B4">
            <w:pPr>
              <w:pStyle w:val="Tabelle-Text"/>
            </w:pPr>
            <w:r w:rsidRPr="00225C91">
              <w:t>Population intake targets</w:t>
            </w:r>
          </w:p>
        </w:tc>
        <w:tc>
          <w:tcPr>
            <w:tcW w:w="2943" w:type="pct"/>
            <w:hideMark/>
          </w:tcPr>
          <w:p w14:paraId="481150BA" w14:textId="77777777" w:rsidR="009C586E" w:rsidRPr="00225C91" w:rsidRDefault="009C586E" w:rsidP="001E40B4">
            <w:pPr>
              <w:pStyle w:val="Tabelle-Text"/>
            </w:pPr>
            <w:r w:rsidRPr="00225C91">
              <w:t>Clear population intake targets have been established by the government for the nutrients of concern to meet WHO and national recommended dietary intake levels</w:t>
            </w:r>
          </w:p>
        </w:tc>
      </w:tr>
      <w:tr w:rsidR="004E0EBA" w:rsidRPr="00225C91" w14:paraId="751BE42C" w14:textId="77777777" w:rsidTr="00A64C48">
        <w:trPr>
          <w:trHeight w:val="62"/>
        </w:trPr>
        <w:tc>
          <w:tcPr>
            <w:tcW w:w="177" w:type="pct"/>
            <w:vMerge/>
            <w:hideMark/>
          </w:tcPr>
          <w:p w14:paraId="14A36027" w14:textId="48260485" w:rsidR="009C586E" w:rsidRPr="00225C91" w:rsidRDefault="009C586E" w:rsidP="001E40B4">
            <w:pPr>
              <w:pStyle w:val="Tabelle-Text"/>
            </w:pPr>
          </w:p>
        </w:tc>
        <w:tc>
          <w:tcPr>
            <w:tcW w:w="597" w:type="pct"/>
            <w:vMerge/>
            <w:hideMark/>
          </w:tcPr>
          <w:p w14:paraId="5AAC620D" w14:textId="27E5A87C" w:rsidR="009C586E" w:rsidRPr="00225C91" w:rsidRDefault="009C586E" w:rsidP="001E40B4">
            <w:pPr>
              <w:pStyle w:val="Tabelle-Text"/>
            </w:pPr>
          </w:p>
        </w:tc>
        <w:tc>
          <w:tcPr>
            <w:tcW w:w="552" w:type="pct"/>
            <w:hideMark/>
          </w:tcPr>
          <w:p w14:paraId="223A7B2B" w14:textId="77777777" w:rsidR="009C586E" w:rsidRPr="00225C91" w:rsidRDefault="009C586E" w:rsidP="001E40B4">
            <w:pPr>
              <w:pStyle w:val="Tabelle-Text"/>
            </w:pPr>
            <w:r w:rsidRPr="00225C91">
              <w:t>LEAD3</w:t>
            </w:r>
          </w:p>
        </w:tc>
        <w:tc>
          <w:tcPr>
            <w:tcW w:w="730" w:type="pct"/>
            <w:hideMark/>
          </w:tcPr>
          <w:p w14:paraId="3893F06C" w14:textId="77777777" w:rsidR="009C586E" w:rsidRPr="00225C91" w:rsidRDefault="009C586E" w:rsidP="001E40B4">
            <w:pPr>
              <w:pStyle w:val="Tabelle-Text"/>
            </w:pPr>
            <w:r w:rsidRPr="00225C91">
              <w:t>Food-based dietary guidelines</w:t>
            </w:r>
          </w:p>
        </w:tc>
        <w:tc>
          <w:tcPr>
            <w:tcW w:w="2943" w:type="pct"/>
            <w:hideMark/>
          </w:tcPr>
          <w:p w14:paraId="1E9CD952" w14:textId="77777777" w:rsidR="009C586E" w:rsidRPr="00225C91" w:rsidRDefault="009C586E" w:rsidP="001E40B4">
            <w:pPr>
              <w:pStyle w:val="Tabelle-Text"/>
              <w:rPr>
                <w:strike/>
                <w:color w:val="EF3A84" w:themeColor="background2"/>
              </w:rPr>
            </w:pPr>
            <w:r w:rsidRPr="00225C91">
              <w:t xml:space="preserve">Clear, interpretive, evidence-informed food-based dietary guidelines have been established </w:t>
            </w:r>
            <w:r w:rsidRPr="00225C91">
              <w:rPr>
                <w:strike/>
                <w:color w:val="EF3A84" w:themeColor="background2"/>
              </w:rPr>
              <w:t>and implemented</w:t>
            </w:r>
          </w:p>
          <w:p w14:paraId="1E7B23DF" w14:textId="55C4A563" w:rsidR="00CC4255" w:rsidRPr="008377BB" w:rsidRDefault="00CC4255" w:rsidP="001E40B4">
            <w:pPr>
              <w:pStyle w:val="Tabelle-Text"/>
              <w:rPr>
                <w:i/>
                <w:iCs/>
              </w:rPr>
            </w:pPr>
            <w:r w:rsidRPr="008377BB">
              <w:rPr>
                <w:i/>
                <w:iCs/>
                <w:color w:val="EF3A84" w:themeColor="background2"/>
              </w:rPr>
              <w:t>Note: Slightly adjusted to differentiate from LEAD4</w:t>
            </w:r>
          </w:p>
        </w:tc>
      </w:tr>
      <w:tr w:rsidR="004E0EBA" w:rsidRPr="00225C91" w14:paraId="64A3123E" w14:textId="77777777" w:rsidTr="00A64C48">
        <w:trPr>
          <w:trHeight w:val="20"/>
        </w:trPr>
        <w:tc>
          <w:tcPr>
            <w:tcW w:w="177" w:type="pct"/>
            <w:vMerge/>
            <w:hideMark/>
          </w:tcPr>
          <w:p w14:paraId="4A0D54BC" w14:textId="1D66CFDA" w:rsidR="009C586E" w:rsidRPr="00225C91" w:rsidRDefault="009C586E" w:rsidP="001E40B4">
            <w:pPr>
              <w:pStyle w:val="Tabelle-Text"/>
            </w:pPr>
          </w:p>
        </w:tc>
        <w:tc>
          <w:tcPr>
            <w:tcW w:w="597" w:type="pct"/>
            <w:vMerge/>
            <w:hideMark/>
          </w:tcPr>
          <w:p w14:paraId="7C7887BC" w14:textId="369DBC2B" w:rsidR="009C586E" w:rsidRPr="00225C91" w:rsidRDefault="009C586E" w:rsidP="001E40B4">
            <w:pPr>
              <w:pStyle w:val="Tabelle-Text"/>
            </w:pPr>
          </w:p>
        </w:tc>
        <w:tc>
          <w:tcPr>
            <w:tcW w:w="552" w:type="pct"/>
            <w:hideMark/>
          </w:tcPr>
          <w:p w14:paraId="36FC3687" w14:textId="77777777" w:rsidR="009C586E" w:rsidRPr="00225C91" w:rsidRDefault="009C586E" w:rsidP="001E40B4">
            <w:pPr>
              <w:pStyle w:val="Tabelle-Text"/>
            </w:pPr>
            <w:r w:rsidRPr="00225C91">
              <w:t>LEAD4</w:t>
            </w:r>
          </w:p>
        </w:tc>
        <w:tc>
          <w:tcPr>
            <w:tcW w:w="730" w:type="pct"/>
            <w:hideMark/>
          </w:tcPr>
          <w:p w14:paraId="04C49D02" w14:textId="77777777" w:rsidR="009C586E" w:rsidRPr="00225C91" w:rsidRDefault="009C586E" w:rsidP="001E40B4">
            <w:pPr>
              <w:pStyle w:val="Tabelle-Text"/>
            </w:pPr>
            <w:r w:rsidRPr="00225C91">
              <w:t>Implementation plan</w:t>
            </w:r>
          </w:p>
        </w:tc>
        <w:tc>
          <w:tcPr>
            <w:tcW w:w="2943" w:type="pct"/>
            <w:hideMark/>
          </w:tcPr>
          <w:p w14:paraId="05C7FF8A" w14:textId="77777777" w:rsidR="009C586E" w:rsidRPr="00225C91" w:rsidRDefault="009C586E" w:rsidP="001E40B4">
            <w:pPr>
              <w:pStyle w:val="Tabelle-Text"/>
            </w:pPr>
            <w:r w:rsidRPr="00225C91">
              <w:t>There is a comprehensive, transparent, up-to-date implementation plan (including priority policy and program strategies, social marketing for public awareness and threat of legislation for voluntary approaches) linked to national needs and priorities, to improve food environments, reduce the intake of the nutrients of concern to meet WHO and national recommended dietary intake levels, and reduce diet-related NCDs</w:t>
            </w:r>
          </w:p>
        </w:tc>
      </w:tr>
      <w:tr w:rsidR="004E0EBA" w:rsidRPr="00225C91" w14:paraId="2949D798" w14:textId="77777777" w:rsidTr="00A64C48">
        <w:trPr>
          <w:trHeight w:val="20"/>
        </w:trPr>
        <w:tc>
          <w:tcPr>
            <w:tcW w:w="177" w:type="pct"/>
            <w:vMerge/>
            <w:hideMark/>
          </w:tcPr>
          <w:p w14:paraId="5EFFCECE" w14:textId="7E7C68DE" w:rsidR="009C586E" w:rsidRPr="00225C91" w:rsidRDefault="009C586E" w:rsidP="001E40B4">
            <w:pPr>
              <w:pStyle w:val="Tabelle-Text"/>
            </w:pPr>
          </w:p>
        </w:tc>
        <w:tc>
          <w:tcPr>
            <w:tcW w:w="597" w:type="pct"/>
            <w:vMerge/>
            <w:hideMark/>
          </w:tcPr>
          <w:p w14:paraId="16AD9F76" w14:textId="595287FB" w:rsidR="009C586E" w:rsidRPr="00225C91" w:rsidRDefault="009C586E" w:rsidP="001E40B4">
            <w:pPr>
              <w:pStyle w:val="Tabelle-Text"/>
            </w:pPr>
          </w:p>
        </w:tc>
        <w:tc>
          <w:tcPr>
            <w:tcW w:w="552" w:type="pct"/>
            <w:hideMark/>
          </w:tcPr>
          <w:p w14:paraId="1DCB378E" w14:textId="77777777" w:rsidR="009C586E" w:rsidRPr="00225C91" w:rsidRDefault="009C586E" w:rsidP="001E40B4">
            <w:pPr>
              <w:pStyle w:val="Tabelle-Text"/>
            </w:pPr>
            <w:r w:rsidRPr="00225C91">
              <w:t>LEAD5</w:t>
            </w:r>
          </w:p>
        </w:tc>
        <w:tc>
          <w:tcPr>
            <w:tcW w:w="730" w:type="pct"/>
            <w:hideMark/>
          </w:tcPr>
          <w:p w14:paraId="181EF338" w14:textId="77777777" w:rsidR="009C586E" w:rsidRPr="00225C91" w:rsidRDefault="009C586E" w:rsidP="001E40B4">
            <w:pPr>
              <w:pStyle w:val="Tabelle-Text"/>
            </w:pPr>
            <w:r w:rsidRPr="00225C91">
              <w:t>Inequalities and vulnerable populations</w:t>
            </w:r>
          </w:p>
        </w:tc>
        <w:tc>
          <w:tcPr>
            <w:tcW w:w="2943" w:type="pct"/>
            <w:hideMark/>
          </w:tcPr>
          <w:p w14:paraId="76655A65" w14:textId="60993A12" w:rsidR="009C586E" w:rsidRPr="00225C91" w:rsidRDefault="009C586E" w:rsidP="001E40B4">
            <w:pPr>
              <w:pStyle w:val="Tabelle-Text"/>
            </w:pPr>
            <w:r w:rsidRPr="00225C91">
              <w:t>Government priorities have been established to reduce inequalities or protect vulnerable populations in relation to diet, nutrition, obesity and NCDs</w:t>
            </w:r>
          </w:p>
        </w:tc>
      </w:tr>
      <w:tr w:rsidR="009C586E" w:rsidRPr="00225C91" w14:paraId="5F4D2B14" w14:textId="77777777" w:rsidTr="00A64C48">
        <w:trPr>
          <w:trHeight w:val="20"/>
        </w:trPr>
        <w:tc>
          <w:tcPr>
            <w:tcW w:w="177" w:type="pct"/>
            <w:vMerge w:val="restart"/>
            <w:hideMark/>
          </w:tcPr>
          <w:p w14:paraId="2848C86C" w14:textId="1AE8992A" w:rsidR="009C586E" w:rsidRPr="00225C91" w:rsidRDefault="009C586E" w:rsidP="001E40B4">
            <w:pPr>
              <w:pStyle w:val="Tabelle-Text"/>
            </w:pPr>
            <w:r w:rsidRPr="00225C91">
              <w:t>10</w:t>
            </w:r>
          </w:p>
          <w:p w14:paraId="10E0A249" w14:textId="4127F524" w:rsidR="009C586E" w:rsidRPr="00225C91" w:rsidRDefault="009C586E" w:rsidP="001E40B4">
            <w:pPr>
              <w:pStyle w:val="Tabelle-Text"/>
            </w:pPr>
          </w:p>
        </w:tc>
        <w:tc>
          <w:tcPr>
            <w:tcW w:w="597" w:type="pct"/>
            <w:vMerge w:val="restart"/>
            <w:hideMark/>
          </w:tcPr>
          <w:p w14:paraId="573660C2" w14:textId="77777777" w:rsidR="009C586E" w:rsidRPr="00225C91" w:rsidRDefault="009C586E" w:rsidP="001E40B4">
            <w:pPr>
              <w:pStyle w:val="Tabelle-Text"/>
            </w:pPr>
            <w:r w:rsidRPr="00225C91">
              <w:t>Governance</w:t>
            </w:r>
          </w:p>
          <w:p w14:paraId="14BE899D" w14:textId="5B987830" w:rsidR="009C586E" w:rsidRPr="00225C91" w:rsidRDefault="009C586E" w:rsidP="001E40B4">
            <w:pPr>
              <w:pStyle w:val="Tabelle-Text"/>
            </w:pPr>
          </w:p>
        </w:tc>
        <w:tc>
          <w:tcPr>
            <w:tcW w:w="4225" w:type="pct"/>
            <w:gridSpan w:val="3"/>
            <w:hideMark/>
          </w:tcPr>
          <w:p w14:paraId="5CB67902" w14:textId="0353A469" w:rsidR="009C586E" w:rsidRPr="00225C91" w:rsidRDefault="009C586E" w:rsidP="001E40B4">
            <w:pPr>
              <w:pStyle w:val="Tabelle-Text"/>
            </w:pPr>
            <w:r w:rsidRPr="00225C91">
              <w:t>Governments have structures in place to ensure transparency and accountability, and encourage broad community participation and inclusion when formulating and implementing policies and actions to create healthy food environments, improve population nutrition, and reduce diet-related inequalities</w:t>
            </w:r>
          </w:p>
        </w:tc>
      </w:tr>
      <w:tr w:rsidR="004E0EBA" w:rsidRPr="00225C91" w14:paraId="577F25A8" w14:textId="77777777" w:rsidTr="00A64C48">
        <w:trPr>
          <w:trHeight w:val="20"/>
        </w:trPr>
        <w:tc>
          <w:tcPr>
            <w:tcW w:w="177" w:type="pct"/>
            <w:vMerge/>
            <w:hideMark/>
          </w:tcPr>
          <w:p w14:paraId="2E7A7795" w14:textId="04ED8D0C" w:rsidR="009C586E" w:rsidRPr="00225C91" w:rsidRDefault="009C586E" w:rsidP="001E40B4">
            <w:pPr>
              <w:pStyle w:val="Tabelle-Text"/>
            </w:pPr>
          </w:p>
        </w:tc>
        <w:tc>
          <w:tcPr>
            <w:tcW w:w="597" w:type="pct"/>
            <w:vMerge/>
            <w:hideMark/>
          </w:tcPr>
          <w:p w14:paraId="2B4A5663" w14:textId="1362FAA6" w:rsidR="009C586E" w:rsidRPr="00225C91" w:rsidRDefault="009C586E" w:rsidP="001E40B4">
            <w:pPr>
              <w:pStyle w:val="Tabelle-Text"/>
            </w:pPr>
          </w:p>
        </w:tc>
        <w:tc>
          <w:tcPr>
            <w:tcW w:w="552" w:type="pct"/>
            <w:hideMark/>
          </w:tcPr>
          <w:p w14:paraId="5DE0E3D6" w14:textId="77777777" w:rsidR="009C586E" w:rsidRPr="00225C91" w:rsidRDefault="009C586E" w:rsidP="001E40B4">
            <w:pPr>
              <w:pStyle w:val="Tabelle-Text"/>
            </w:pPr>
            <w:r w:rsidRPr="00225C91">
              <w:t xml:space="preserve">GOVER1 </w:t>
            </w:r>
          </w:p>
        </w:tc>
        <w:tc>
          <w:tcPr>
            <w:tcW w:w="730" w:type="pct"/>
            <w:hideMark/>
          </w:tcPr>
          <w:p w14:paraId="17917AB6" w14:textId="77777777" w:rsidR="009C586E" w:rsidRPr="00225C91" w:rsidRDefault="009C586E" w:rsidP="001E40B4">
            <w:pPr>
              <w:pStyle w:val="Tabelle-Text"/>
            </w:pPr>
            <w:r w:rsidRPr="00225C91">
              <w:t>Commercial influences on policy making</w:t>
            </w:r>
          </w:p>
        </w:tc>
        <w:tc>
          <w:tcPr>
            <w:tcW w:w="2943" w:type="pct"/>
            <w:hideMark/>
          </w:tcPr>
          <w:p w14:paraId="431D5628" w14:textId="77777777" w:rsidR="009C586E" w:rsidRPr="00225C91" w:rsidRDefault="009C586E" w:rsidP="001E40B4">
            <w:pPr>
              <w:pStyle w:val="Tabelle-Text"/>
            </w:pPr>
            <w:r w:rsidRPr="00225C91">
              <w:t>There are robust procedures to restrict commercial influences on the development of policies related to food environments where they have conflicts of interest with improving population nutrition</w:t>
            </w:r>
          </w:p>
        </w:tc>
      </w:tr>
      <w:tr w:rsidR="004E0EBA" w:rsidRPr="00225C91" w14:paraId="614D8708" w14:textId="77777777" w:rsidTr="00A64C48">
        <w:trPr>
          <w:trHeight w:val="20"/>
        </w:trPr>
        <w:tc>
          <w:tcPr>
            <w:tcW w:w="177" w:type="pct"/>
            <w:vMerge/>
            <w:hideMark/>
          </w:tcPr>
          <w:p w14:paraId="43D471CD" w14:textId="6E5C6BA0" w:rsidR="009C586E" w:rsidRPr="00225C91" w:rsidRDefault="009C586E" w:rsidP="001E40B4">
            <w:pPr>
              <w:pStyle w:val="Tabelle-Text"/>
            </w:pPr>
          </w:p>
        </w:tc>
        <w:tc>
          <w:tcPr>
            <w:tcW w:w="597" w:type="pct"/>
            <w:vMerge/>
            <w:hideMark/>
          </w:tcPr>
          <w:p w14:paraId="481EA229" w14:textId="68FDF79C" w:rsidR="009C586E" w:rsidRPr="00225C91" w:rsidRDefault="009C586E" w:rsidP="001E40B4">
            <w:pPr>
              <w:pStyle w:val="Tabelle-Text"/>
            </w:pPr>
          </w:p>
        </w:tc>
        <w:tc>
          <w:tcPr>
            <w:tcW w:w="552" w:type="pct"/>
            <w:hideMark/>
          </w:tcPr>
          <w:p w14:paraId="5A3FCCD2" w14:textId="77777777" w:rsidR="009C586E" w:rsidRPr="00225C91" w:rsidRDefault="009C586E" w:rsidP="001E40B4">
            <w:pPr>
              <w:pStyle w:val="Tabelle-Text"/>
            </w:pPr>
            <w:r w:rsidRPr="00225C91">
              <w:t>GOVER2</w:t>
            </w:r>
          </w:p>
        </w:tc>
        <w:tc>
          <w:tcPr>
            <w:tcW w:w="730" w:type="pct"/>
            <w:hideMark/>
          </w:tcPr>
          <w:p w14:paraId="5CA16A88" w14:textId="77777777" w:rsidR="009C586E" w:rsidRPr="00225C91" w:rsidRDefault="009C586E" w:rsidP="001E40B4">
            <w:pPr>
              <w:pStyle w:val="Tabelle-Text"/>
            </w:pPr>
            <w:r w:rsidRPr="00225C91">
              <w:t>Use of evidence</w:t>
            </w:r>
          </w:p>
        </w:tc>
        <w:tc>
          <w:tcPr>
            <w:tcW w:w="2943" w:type="pct"/>
            <w:hideMark/>
          </w:tcPr>
          <w:p w14:paraId="3780BFDE" w14:textId="77777777" w:rsidR="009C586E" w:rsidRPr="00225C91" w:rsidRDefault="009C586E" w:rsidP="001E40B4">
            <w:pPr>
              <w:pStyle w:val="Tabelle-Text"/>
            </w:pPr>
            <w:r w:rsidRPr="00225C91">
              <w:t>Policies and procedures are implemented for using evidence in the development of food policies</w:t>
            </w:r>
          </w:p>
        </w:tc>
      </w:tr>
      <w:tr w:rsidR="004E0EBA" w:rsidRPr="00225C91" w14:paraId="1ED71916" w14:textId="77777777" w:rsidTr="00A64C48">
        <w:trPr>
          <w:trHeight w:val="20"/>
        </w:trPr>
        <w:tc>
          <w:tcPr>
            <w:tcW w:w="177" w:type="pct"/>
            <w:vMerge/>
            <w:hideMark/>
          </w:tcPr>
          <w:p w14:paraId="76422082" w14:textId="11F9AE2C" w:rsidR="009C586E" w:rsidRPr="00225C91" w:rsidRDefault="009C586E" w:rsidP="001E40B4">
            <w:pPr>
              <w:pStyle w:val="Tabelle-Text"/>
            </w:pPr>
          </w:p>
        </w:tc>
        <w:tc>
          <w:tcPr>
            <w:tcW w:w="597" w:type="pct"/>
            <w:vMerge/>
            <w:hideMark/>
          </w:tcPr>
          <w:p w14:paraId="61E61CED" w14:textId="5F818502" w:rsidR="009C586E" w:rsidRPr="00225C91" w:rsidRDefault="009C586E" w:rsidP="001E40B4">
            <w:pPr>
              <w:pStyle w:val="Tabelle-Text"/>
            </w:pPr>
          </w:p>
        </w:tc>
        <w:tc>
          <w:tcPr>
            <w:tcW w:w="552" w:type="pct"/>
            <w:hideMark/>
          </w:tcPr>
          <w:p w14:paraId="53F09A1F" w14:textId="77777777" w:rsidR="009C586E" w:rsidRPr="00225C91" w:rsidRDefault="009C586E" w:rsidP="001E40B4">
            <w:pPr>
              <w:pStyle w:val="Tabelle-Text"/>
            </w:pPr>
            <w:r w:rsidRPr="00225C91">
              <w:t>GOVER3</w:t>
            </w:r>
          </w:p>
        </w:tc>
        <w:tc>
          <w:tcPr>
            <w:tcW w:w="730" w:type="pct"/>
            <w:hideMark/>
          </w:tcPr>
          <w:p w14:paraId="505571ED" w14:textId="77777777" w:rsidR="009C586E" w:rsidRPr="00225C91" w:rsidRDefault="009C586E" w:rsidP="001E40B4">
            <w:pPr>
              <w:pStyle w:val="Tabelle-Text"/>
            </w:pPr>
            <w:r w:rsidRPr="00225C91">
              <w:t>Transparency</w:t>
            </w:r>
          </w:p>
        </w:tc>
        <w:tc>
          <w:tcPr>
            <w:tcW w:w="2943" w:type="pct"/>
            <w:hideMark/>
          </w:tcPr>
          <w:p w14:paraId="790062B1" w14:textId="77777777" w:rsidR="009C586E" w:rsidRPr="00225C91" w:rsidRDefault="009C586E" w:rsidP="001E40B4">
            <w:pPr>
              <w:pStyle w:val="Tabelle-Text"/>
            </w:pPr>
            <w:r w:rsidRPr="00225C91">
              <w:t>Policies and procedures are implemented for ensuring transparency in the development of food policies</w:t>
            </w:r>
          </w:p>
        </w:tc>
      </w:tr>
      <w:tr w:rsidR="004E0EBA" w:rsidRPr="00225C91" w14:paraId="7D831F70" w14:textId="77777777" w:rsidTr="00A64C48">
        <w:trPr>
          <w:trHeight w:val="20"/>
        </w:trPr>
        <w:tc>
          <w:tcPr>
            <w:tcW w:w="177" w:type="pct"/>
            <w:vMerge/>
            <w:hideMark/>
          </w:tcPr>
          <w:p w14:paraId="3CEA3357" w14:textId="7C490134" w:rsidR="009C586E" w:rsidRPr="00225C91" w:rsidRDefault="009C586E" w:rsidP="001E40B4">
            <w:pPr>
              <w:pStyle w:val="Tabelle-Text"/>
            </w:pPr>
          </w:p>
        </w:tc>
        <w:tc>
          <w:tcPr>
            <w:tcW w:w="597" w:type="pct"/>
            <w:vMerge/>
            <w:hideMark/>
          </w:tcPr>
          <w:p w14:paraId="7FC05BFB" w14:textId="51FC83BC" w:rsidR="009C586E" w:rsidRPr="00225C91" w:rsidRDefault="009C586E" w:rsidP="001E40B4">
            <w:pPr>
              <w:pStyle w:val="Tabelle-Text"/>
            </w:pPr>
          </w:p>
        </w:tc>
        <w:tc>
          <w:tcPr>
            <w:tcW w:w="552" w:type="pct"/>
            <w:hideMark/>
          </w:tcPr>
          <w:p w14:paraId="1195A20D" w14:textId="77777777" w:rsidR="009C586E" w:rsidRPr="00225C91" w:rsidRDefault="009C586E" w:rsidP="001E40B4">
            <w:pPr>
              <w:pStyle w:val="Tabelle-Text"/>
            </w:pPr>
            <w:r w:rsidRPr="00225C91">
              <w:t>GOVER4</w:t>
            </w:r>
          </w:p>
        </w:tc>
        <w:tc>
          <w:tcPr>
            <w:tcW w:w="730" w:type="pct"/>
            <w:hideMark/>
          </w:tcPr>
          <w:p w14:paraId="3476758F" w14:textId="77777777" w:rsidR="009C586E" w:rsidRPr="00225C91" w:rsidRDefault="009C586E" w:rsidP="001E40B4">
            <w:pPr>
              <w:pStyle w:val="Tabelle-Text"/>
            </w:pPr>
            <w:r w:rsidRPr="00225C91">
              <w:t>Access to information</w:t>
            </w:r>
          </w:p>
        </w:tc>
        <w:tc>
          <w:tcPr>
            <w:tcW w:w="2943" w:type="pct"/>
            <w:hideMark/>
          </w:tcPr>
          <w:p w14:paraId="3F88C890" w14:textId="77777777" w:rsidR="009C586E" w:rsidRPr="00225C91" w:rsidRDefault="009C586E" w:rsidP="001E40B4">
            <w:pPr>
              <w:pStyle w:val="Tabelle-Text"/>
            </w:pPr>
            <w:r w:rsidRPr="00225C91">
              <w:t>The government ensures access to comprehensive nutrition information and key documents (e.g. budget documents, annual performance reviews and health indicators) for the public</w:t>
            </w:r>
          </w:p>
        </w:tc>
      </w:tr>
      <w:tr w:rsidR="009C586E" w:rsidRPr="00225C91" w14:paraId="3131A3F2" w14:textId="77777777" w:rsidTr="00A64C48">
        <w:trPr>
          <w:trHeight w:val="20"/>
        </w:trPr>
        <w:tc>
          <w:tcPr>
            <w:tcW w:w="177" w:type="pct"/>
            <w:vMerge w:val="restart"/>
            <w:hideMark/>
          </w:tcPr>
          <w:p w14:paraId="5B7CE362" w14:textId="271798D9" w:rsidR="009C586E" w:rsidRPr="00225C91" w:rsidRDefault="009C586E" w:rsidP="001E40B4">
            <w:pPr>
              <w:pStyle w:val="Tabelle-Text"/>
            </w:pPr>
            <w:r w:rsidRPr="00225C91">
              <w:t>11</w:t>
            </w:r>
          </w:p>
          <w:p w14:paraId="2A5A17CE" w14:textId="0DDA74FB" w:rsidR="009C586E" w:rsidRPr="00225C91" w:rsidRDefault="009C586E" w:rsidP="001E40B4">
            <w:pPr>
              <w:pStyle w:val="Tabelle-Text"/>
            </w:pPr>
          </w:p>
        </w:tc>
        <w:tc>
          <w:tcPr>
            <w:tcW w:w="597" w:type="pct"/>
            <w:vMerge w:val="restart"/>
            <w:hideMark/>
          </w:tcPr>
          <w:p w14:paraId="5D500716" w14:textId="023B7CF0" w:rsidR="009C586E" w:rsidRPr="00225C91" w:rsidRDefault="009C586E" w:rsidP="001E40B4">
            <w:pPr>
              <w:pStyle w:val="Tabelle-Text"/>
            </w:pPr>
            <w:r w:rsidRPr="00225C91">
              <w:t>Monitoring and intelligence</w:t>
            </w:r>
          </w:p>
        </w:tc>
        <w:tc>
          <w:tcPr>
            <w:tcW w:w="4225" w:type="pct"/>
            <w:gridSpan w:val="3"/>
            <w:hideMark/>
          </w:tcPr>
          <w:p w14:paraId="619F23EA" w14:textId="183F7DA7" w:rsidR="009C586E" w:rsidRPr="00225C91" w:rsidRDefault="009C586E" w:rsidP="001E40B4">
            <w:pPr>
              <w:pStyle w:val="Tabelle-Text"/>
            </w:pPr>
            <w:r w:rsidRPr="00225C91">
              <w:t>The government’s monitoring and intelligence systems (surveillance, evaluation, research and reporting) are comprehensive and regular enough to assess the status of food environments, population nutrition and diet-related NCDs and their inequalities, and to measure progress on achieving the goals of nutrition and health plans</w:t>
            </w:r>
          </w:p>
        </w:tc>
      </w:tr>
      <w:tr w:rsidR="004E0EBA" w:rsidRPr="00225C91" w14:paraId="452E364D" w14:textId="77777777" w:rsidTr="00A64C48">
        <w:trPr>
          <w:trHeight w:val="20"/>
        </w:trPr>
        <w:tc>
          <w:tcPr>
            <w:tcW w:w="177" w:type="pct"/>
            <w:vMerge/>
            <w:hideMark/>
          </w:tcPr>
          <w:p w14:paraId="586B4FE2" w14:textId="6AC9D1A7" w:rsidR="009C586E" w:rsidRPr="00225C91" w:rsidRDefault="009C586E" w:rsidP="001E40B4">
            <w:pPr>
              <w:pStyle w:val="Tabelle-Text"/>
            </w:pPr>
          </w:p>
        </w:tc>
        <w:tc>
          <w:tcPr>
            <w:tcW w:w="597" w:type="pct"/>
            <w:vMerge/>
            <w:hideMark/>
          </w:tcPr>
          <w:p w14:paraId="27E46A31" w14:textId="5DC77210" w:rsidR="009C586E" w:rsidRPr="00225C91" w:rsidRDefault="009C586E" w:rsidP="001E40B4">
            <w:pPr>
              <w:pStyle w:val="Tabelle-Text"/>
            </w:pPr>
          </w:p>
        </w:tc>
        <w:tc>
          <w:tcPr>
            <w:tcW w:w="552" w:type="pct"/>
            <w:hideMark/>
          </w:tcPr>
          <w:p w14:paraId="00CAB285" w14:textId="77777777" w:rsidR="009C586E" w:rsidRPr="00225C91" w:rsidRDefault="009C586E" w:rsidP="001E40B4">
            <w:pPr>
              <w:pStyle w:val="Tabelle-Text"/>
            </w:pPr>
            <w:r w:rsidRPr="00225C91">
              <w:t>MONIT1</w:t>
            </w:r>
          </w:p>
        </w:tc>
        <w:tc>
          <w:tcPr>
            <w:tcW w:w="730" w:type="pct"/>
            <w:hideMark/>
          </w:tcPr>
          <w:p w14:paraId="7B2F4E30" w14:textId="77777777" w:rsidR="009C586E" w:rsidRPr="00225C91" w:rsidRDefault="009C586E" w:rsidP="001E40B4">
            <w:pPr>
              <w:pStyle w:val="Tabelle-Text"/>
            </w:pPr>
            <w:r w:rsidRPr="00225C91">
              <w:t>Food environments</w:t>
            </w:r>
          </w:p>
        </w:tc>
        <w:tc>
          <w:tcPr>
            <w:tcW w:w="2943" w:type="pct"/>
            <w:hideMark/>
          </w:tcPr>
          <w:p w14:paraId="60D77847" w14:textId="77777777" w:rsidR="009C586E" w:rsidRPr="00225C91" w:rsidRDefault="009C586E" w:rsidP="001E40B4">
            <w:pPr>
              <w:pStyle w:val="Tabelle-Text"/>
            </w:pPr>
            <w:r w:rsidRPr="00225C91">
              <w:t>Monitoring systems, implemented by the government, are in place to regularly monitor food environments (especially for food composition for nutrients of concern, food promotion to children, and nutritional quality of food in schools and other public sector settings), against codes/guidelines/standards/targets</w:t>
            </w:r>
          </w:p>
        </w:tc>
      </w:tr>
      <w:tr w:rsidR="004E0EBA" w:rsidRPr="00225C91" w14:paraId="53680869" w14:textId="77777777" w:rsidTr="00A64C48">
        <w:trPr>
          <w:trHeight w:val="20"/>
        </w:trPr>
        <w:tc>
          <w:tcPr>
            <w:tcW w:w="177" w:type="pct"/>
            <w:vMerge/>
            <w:hideMark/>
          </w:tcPr>
          <w:p w14:paraId="18E60124" w14:textId="59BB9B35" w:rsidR="009C586E" w:rsidRPr="00225C91" w:rsidRDefault="009C586E" w:rsidP="001E40B4">
            <w:pPr>
              <w:pStyle w:val="Tabelle-Text"/>
            </w:pPr>
          </w:p>
        </w:tc>
        <w:tc>
          <w:tcPr>
            <w:tcW w:w="597" w:type="pct"/>
            <w:vMerge/>
            <w:hideMark/>
          </w:tcPr>
          <w:p w14:paraId="4AC67B66" w14:textId="7FD0AF9F" w:rsidR="009C586E" w:rsidRPr="00225C91" w:rsidRDefault="009C586E" w:rsidP="001E40B4">
            <w:pPr>
              <w:pStyle w:val="Tabelle-Text"/>
            </w:pPr>
          </w:p>
        </w:tc>
        <w:tc>
          <w:tcPr>
            <w:tcW w:w="552" w:type="pct"/>
            <w:hideMark/>
          </w:tcPr>
          <w:p w14:paraId="3B78D02C" w14:textId="77777777" w:rsidR="009C586E" w:rsidRPr="00225C91" w:rsidRDefault="009C586E" w:rsidP="001E40B4">
            <w:pPr>
              <w:pStyle w:val="Tabelle-Text"/>
            </w:pPr>
            <w:r w:rsidRPr="00225C91">
              <w:t>MONIT2</w:t>
            </w:r>
          </w:p>
        </w:tc>
        <w:tc>
          <w:tcPr>
            <w:tcW w:w="730" w:type="pct"/>
            <w:hideMark/>
          </w:tcPr>
          <w:p w14:paraId="24D6F2D7" w14:textId="321E7E8E" w:rsidR="00E34085" w:rsidRPr="00225C91" w:rsidRDefault="009C586E" w:rsidP="001E40B4">
            <w:pPr>
              <w:pStyle w:val="Tabelle-Text"/>
            </w:pPr>
            <w:r w:rsidRPr="00225C91">
              <w:t>Nutrition and health status</w:t>
            </w:r>
          </w:p>
        </w:tc>
        <w:tc>
          <w:tcPr>
            <w:tcW w:w="2943" w:type="pct"/>
            <w:hideMark/>
          </w:tcPr>
          <w:p w14:paraId="652EE730" w14:textId="09C6E60B" w:rsidR="00BF253D" w:rsidRPr="00225C91" w:rsidRDefault="009C586E" w:rsidP="001E40B4">
            <w:pPr>
              <w:pStyle w:val="Tabelle-Text"/>
              <w:rPr>
                <w:i/>
                <w:iCs/>
              </w:rPr>
            </w:pPr>
            <w:r w:rsidRPr="00225C91">
              <w:t>The nutritional status of adults and children (including nutrient intake and dietary habits), prevalence of overweight and obesity (assessed by anthropometric measurements), and prevalence of diet-related non-communicable diseases and their risk factors (e.g., incidence, prevalence, and mortality) are regularly monitored and compared against recommended dietary guidelines or specified intake targets.</w:t>
            </w:r>
            <w:r w:rsidRPr="00225C91">
              <w:br/>
            </w:r>
            <w:r w:rsidRPr="00225C91">
              <w:rPr>
                <w:i/>
                <w:iCs/>
                <w:color w:val="EF3A84" w:themeColor="background2"/>
              </w:rPr>
              <w:t>N</w:t>
            </w:r>
            <w:r w:rsidRPr="00E34085">
              <w:rPr>
                <w:i/>
                <w:iCs/>
                <w:color w:val="EF3A84" w:themeColor="background2"/>
              </w:rPr>
              <w:t xml:space="preserve">ote: MONIT2,3,4 been merged </w:t>
            </w:r>
            <w:r w:rsidR="0066754D" w:rsidRPr="00E34085">
              <w:rPr>
                <w:i/>
                <w:iCs/>
                <w:color w:val="EF3A84" w:themeColor="background2"/>
              </w:rPr>
              <w:t xml:space="preserve">– </w:t>
            </w:r>
            <w:r w:rsidR="00BF253D" w:rsidRPr="00E34085">
              <w:rPr>
                <w:i/>
                <w:iCs/>
                <w:color w:val="EF3A84" w:themeColor="background2"/>
              </w:rPr>
              <w:t xml:space="preserve">as in </w:t>
            </w:r>
            <w:r w:rsidR="0066754D" w:rsidRPr="00E34085">
              <w:rPr>
                <w:i/>
                <w:iCs/>
                <w:color w:val="EF3A84" w:themeColor="background2"/>
              </w:rPr>
              <w:t xml:space="preserve">the </w:t>
            </w:r>
            <w:r w:rsidRPr="00E34085">
              <w:rPr>
                <w:i/>
                <w:iCs/>
                <w:color w:val="EF3A84" w:themeColor="background2"/>
              </w:rPr>
              <w:t>German Food-EPI</w:t>
            </w:r>
            <w:r w:rsidR="0066754D" w:rsidRPr="00E34085">
              <w:rPr>
                <w:i/>
                <w:iCs/>
                <w:color w:val="EF3A84" w:themeColor="background2"/>
              </w:rPr>
              <w:t xml:space="preserve"> </w:t>
            </w:r>
            <w:r w:rsidR="0066754D" w:rsidRPr="00E34085">
              <w:rPr>
                <w:i/>
                <w:iCs/>
                <w:color w:val="EF3A84" w:themeColor="background2"/>
              </w:rPr>
              <w:fldChar w:fldCharType="begin"/>
            </w:r>
            <w:r w:rsidR="00216423">
              <w:rPr>
                <w:i/>
                <w:iCs/>
                <w:color w:val="EF3A84" w:themeColor="background2"/>
              </w:rPr>
              <w:instrText xml:space="preserve"> ADDIN ZOTERO_ITEM CSL_CITATION {"citationID":"wh8nY4tp","properties":{"formattedCitation":"[2]","plainCitation":"[2]","noteIndex":0},"citationItems":[{"id":166,"uris":["http://zotero.org/users/5617569/items/NZM7E5P4"],"itemData":{"id":166,"type":"article-journal","abstract":"Objective:\nTo systematically assess Germany’s nutrition policies, to benchmark them against international best practices and to identify priority policy actions to improve population-level nutrition in Germany.\n\n\nDesign:\nWe applied the Food Environment Policy Index (Food-EPI), a methodological framework developed by the International Network for Food and Obesity/non-communicable Diseases Research, Monitoring and Action Support (INFORMAS) network. Qualitative content analysis of laws, directives and other documents formed the basis of a multistaged, structured consultation process.\n\n\nSetting:\nGermany.\n\n\nParticipants:\nThe expert consultation process included fifty-five experts from academia, public administration and civil society.\n\n\nResults:\nGermany lags behind international best practices in several key policy areas. For eighteen policy indicators, the degree of implementation compared with international best practices was rated as very low, for twenty-one as low, for eight as intermediate and for none as high. In particular, indicators on food taxation, regulation of food marketing as well as retail and food service sector policies were rated as very low to low. Identified priority actions included the binding implementation of nutrition standards for schools and kindergartens, a reform of the value added tax on foods and beverages, a sugar-sweetened beverage tax and stricter regulation of food marketing directed at children.\n\n\nConclusions:\nThe results show that Germany makes insufficient use of the potential of evidence-informed health-promoting nutrition policies. Adopting international best practices in key policy areas could help to reduce the burden of nutrition-related chronic disease and related inequalities in nutrition and health in Germany. Implementation of relevant policies requires political leadership, a broad societal dialogue and evidence-informed advocacy by civil society, including the scientific community.","container-title":"Public Health Nutrition","DOI":"10.1017/S1368980021004742","ISSN":"1368-9800, 1475-2727","issue":"6","language":"en","page":"1691-1700","publisher":"Cambridge University Press","source":"Cambridge University Press","title":"Nutrition policies in Germany: a systematic assessment with the Food Environment Policy Index","title-short":"Nutrition policies in Germany","volume":"25","author":[{"family":"Philipsborn","given":"Peter","dropping-particle":"von"},{"family":"Geffert","given":"Karin"},{"family":"Klinger","given":"Carmen"},{"family":"Hebestreit","given":"Antje"},{"family":"Stratil","given":"Jan"},{"family":"Rehfuess","given":"Eva Annette"}],"issued":{"date-parts":[["2022",6]]}}}],"schema":"https://github.com/citation-style-language/schema/raw/master/csl-citation.json"} </w:instrText>
            </w:r>
            <w:r w:rsidR="0066754D" w:rsidRPr="00E34085">
              <w:rPr>
                <w:i/>
                <w:iCs/>
                <w:color w:val="EF3A84" w:themeColor="background2"/>
              </w:rPr>
              <w:fldChar w:fldCharType="separate"/>
            </w:r>
            <w:r w:rsidR="00F833B1" w:rsidRPr="00E34085">
              <w:rPr>
                <w:i/>
                <w:iCs/>
                <w:color w:val="EF3A84" w:themeColor="background2"/>
              </w:rPr>
              <w:t>[2]</w:t>
            </w:r>
            <w:r w:rsidR="0066754D" w:rsidRPr="00E34085">
              <w:rPr>
                <w:i/>
                <w:iCs/>
                <w:color w:val="EF3A84" w:themeColor="background2"/>
              </w:rPr>
              <w:fldChar w:fldCharType="end"/>
            </w:r>
          </w:p>
        </w:tc>
      </w:tr>
      <w:tr w:rsidR="004E0EBA" w:rsidRPr="00225C91" w14:paraId="5960346B" w14:textId="77777777" w:rsidTr="00A64C48">
        <w:trPr>
          <w:trHeight w:val="20"/>
        </w:trPr>
        <w:tc>
          <w:tcPr>
            <w:tcW w:w="177" w:type="pct"/>
            <w:vMerge/>
            <w:hideMark/>
          </w:tcPr>
          <w:p w14:paraId="0636A517" w14:textId="1CED48BF" w:rsidR="009C586E" w:rsidRPr="00225C91" w:rsidRDefault="009C586E" w:rsidP="001E40B4">
            <w:pPr>
              <w:pStyle w:val="Tabelle-Text"/>
            </w:pPr>
          </w:p>
        </w:tc>
        <w:tc>
          <w:tcPr>
            <w:tcW w:w="597" w:type="pct"/>
            <w:vMerge/>
            <w:hideMark/>
          </w:tcPr>
          <w:p w14:paraId="7968225E" w14:textId="2F34F024" w:rsidR="009C586E" w:rsidRPr="00225C91" w:rsidRDefault="009C586E" w:rsidP="001E40B4">
            <w:pPr>
              <w:pStyle w:val="Tabelle-Text"/>
            </w:pPr>
          </w:p>
        </w:tc>
        <w:tc>
          <w:tcPr>
            <w:tcW w:w="552" w:type="pct"/>
            <w:hideMark/>
          </w:tcPr>
          <w:p w14:paraId="2AFB6723" w14:textId="77777777" w:rsidR="009C586E" w:rsidRPr="00225C91" w:rsidRDefault="009C586E" w:rsidP="001E40B4">
            <w:pPr>
              <w:pStyle w:val="Tabelle-Text"/>
            </w:pPr>
            <w:r w:rsidRPr="00225C91">
              <w:t>MOINT5</w:t>
            </w:r>
          </w:p>
        </w:tc>
        <w:tc>
          <w:tcPr>
            <w:tcW w:w="730" w:type="pct"/>
            <w:hideMark/>
          </w:tcPr>
          <w:p w14:paraId="09B06E47" w14:textId="77777777" w:rsidR="009C586E" w:rsidRPr="00225C91" w:rsidRDefault="009C586E" w:rsidP="001E40B4">
            <w:pPr>
              <w:pStyle w:val="Tabelle-Text"/>
            </w:pPr>
            <w:r w:rsidRPr="00225C91">
              <w:t>Programs and policies</w:t>
            </w:r>
          </w:p>
        </w:tc>
        <w:tc>
          <w:tcPr>
            <w:tcW w:w="2943" w:type="pct"/>
            <w:hideMark/>
          </w:tcPr>
          <w:p w14:paraId="508354FC" w14:textId="77777777" w:rsidR="009C586E" w:rsidRPr="00225C91" w:rsidRDefault="009C586E" w:rsidP="001E40B4">
            <w:pPr>
              <w:pStyle w:val="Tabelle-Text"/>
            </w:pPr>
            <w:r w:rsidRPr="00225C91">
              <w:t>There is sufficient evaluation of major programs and policies to assess effectiveness and contribution to achieving the goals of the nutrition and health plans</w:t>
            </w:r>
          </w:p>
        </w:tc>
      </w:tr>
      <w:tr w:rsidR="004E0EBA" w:rsidRPr="00225C91" w14:paraId="5C5C6225" w14:textId="77777777" w:rsidTr="00A64C48">
        <w:trPr>
          <w:trHeight w:val="20"/>
        </w:trPr>
        <w:tc>
          <w:tcPr>
            <w:tcW w:w="177" w:type="pct"/>
            <w:vMerge/>
            <w:hideMark/>
          </w:tcPr>
          <w:p w14:paraId="5AC7C3C9" w14:textId="048A674C" w:rsidR="009C586E" w:rsidRPr="00225C91" w:rsidRDefault="009C586E" w:rsidP="001E40B4">
            <w:pPr>
              <w:pStyle w:val="Tabelle-Text"/>
            </w:pPr>
          </w:p>
        </w:tc>
        <w:tc>
          <w:tcPr>
            <w:tcW w:w="597" w:type="pct"/>
            <w:vMerge/>
            <w:hideMark/>
          </w:tcPr>
          <w:p w14:paraId="3CAEEAD5" w14:textId="56C1284D" w:rsidR="009C586E" w:rsidRPr="00225C91" w:rsidRDefault="009C586E" w:rsidP="001E40B4">
            <w:pPr>
              <w:pStyle w:val="Tabelle-Text"/>
            </w:pPr>
          </w:p>
        </w:tc>
        <w:tc>
          <w:tcPr>
            <w:tcW w:w="552" w:type="pct"/>
            <w:hideMark/>
          </w:tcPr>
          <w:p w14:paraId="1D73CE0A" w14:textId="77777777" w:rsidR="009C586E" w:rsidRPr="00225C91" w:rsidRDefault="009C586E" w:rsidP="001E40B4">
            <w:pPr>
              <w:pStyle w:val="Tabelle-Text"/>
            </w:pPr>
            <w:r w:rsidRPr="00225C91">
              <w:t>MONIT6</w:t>
            </w:r>
          </w:p>
        </w:tc>
        <w:tc>
          <w:tcPr>
            <w:tcW w:w="730" w:type="pct"/>
            <w:hideMark/>
          </w:tcPr>
          <w:p w14:paraId="7EB4153E" w14:textId="77777777" w:rsidR="009C586E" w:rsidRPr="00225C91" w:rsidRDefault="009C586E" w:rsidP="001E40B4">
            <w:pPr>
              <w:pStyle w:val="Tabelle-Text"/>
            </w:pPr>
            <w:r w:rsidRPr="00225C91">
              <w:t>Health inequalities</w:t>
            </w:r>
          </w:p>
        </w:tc>
        <w:tc>
          <w:tcPr>
            <w:tcW w:w="2943" w:type="pct"/>
            <w:hideMark/>
          </w:tcPr>
          <w:p w14:paraId="5D9FF3E4" w14:textId="77777777" w:rsidR="009C586E" w:rsidRPr="00225C91" w:rsidRDefault="009C586E" w:rsidP="001E40B4">
            <w:pPr>
              <w:pStyle w:val="Tabelle-Text"/>
            </w:pPr>
            <w:r w:rsidRPr="00225C91">
              <w:t>Progress towards reducing health inequalities or health impacts in vulnerable populations and societal and economic determinants of health are regularly monitored</w:t>
            </w:r>
          </w:p>
        </w:tc>
      </w:tr>
      <w:tr w:rsidR="004E0EBA" w:rsidRPr="00225C91" w14:paraId="7E7C6A26" w14:textId="77777777" w:rsidTr="00A64C48">
        <w:trPr>
          <w:trHeight w:val="20"/>
        </w:trPr>
        <w:tc>
          <w:tcPr>
            <w:tcW w:w="177" w:type="pct"/>
            <w:vMerge/>
            <w:hideMark/>
          </w:tcPr>
          <w:p w14:paraId="5F2E09FE" w14:textId="0CFE1CC4" w:rsidR="009C586E" w:rsidRPr="00225C91" w:rsidRDefault="009C586E" w:rsidP="001E40B4">
            <w:pPr>
              <w:pStyle w:val="Tabelle-Text"/>
            </w:pPr>
          </w:p>
        </w:tc>
        <w:tc>
          <w:tcPr>
            <w:tcW w:w="597" w:type="pct"/>
            <w:vMerge/>
            <w:hideMark/>
          </w:tcPr>
          <w:p w14:paraId="04424C57" w14:textId="64434DD9" w:rsidR="009C586E" w:rsidRPr="00225C91" w:rsidRDefault="009C586E" w:rsidP="001E40B4">
            <w:pPr>
              <w:pStyle w:val="Tabelle-Text"/>
            </w:pPr>
          </w:p>
        </w:tc>
        <w:tc>
          <w:tcPr>
            <w:tcW w:w="552" w:type="pct"/>
            <w:hideMark/>
          </w:tcPr>
          <w:p w14:paraId="7E774AC4" w14:textId="77777777" w:rsidR="009C586E" w:rsidRPr="00E34085" w:rsidRDefault="009C586E" w:rsidP="001E40B4">
            <w:pPr>
              <w:pStyle w:val="Tabelle-Text"/>
              <w:rPr>
                <w:color w:val="EF3A84" w:themeColor="background2"/>
              </w:rPr>
            </w:pPr>
            <w:r w:rsidRPr="00E34085">
              <w:rPr>
                <w:color w:val="EF3A84" w:themeColor="background2"/>
              </w:rPr>
              <w:t>MONIT7</w:t>
            </w:r>
          </w:p>
        </w:tc>
        <w:tc>
          <w:tcPr>
            <w:tcW w:w="730" w:type="pct"/>
            <w:hideMark/>
          </w:tcPr>
          <w:p w14:paraId="417C4501" w14:textId="77777777" w:rsidR="009C586E" w:rsidRPr="00E34085" w:rsidRDefault="009C586E" w:rsidP="001E40B4">
            <w:pPr>
              <w:pStyle w:val="Tabelle-Text"/>
              <w:rPr>
                <w:color w:val="EF3A84" w:themeColor="background2"/>
              </w:rPr>
            </w:pPr>
            <w:r w:rsidRPr="00E34085">
              <w:rPr>
                <w:color w:val="EF3A84" w:themeColor="background2"/>
              </w:rPr>
              <w:t>Environmental impact of the food system</w:t>
            </w:r>
          </w:p>
        </w:tc>
        <w:tc>
          <w:tcPr>
            <w:tcW w:w="2943" w:type="pct"/>
            <w:hideMark/>
          </w:tcPr>
          <w:p w14:paraId="576FFE52" w14:textId="63F85339" w:rsidR="009C586E" w:rsidRPr="00E34085" w:rsidRDefault="009C586E" w:rsidP="001E40B4">
            <w:pPr>
              <w:pStyle w:val="Tabelle-Text"/>
              <w:rPr>
                <w:color w:val="EF3A84" w:themeColor="background2"/>
              </w:rPr>
            </w:pPr>
            <w:r w:rsidRPr="00E34085">
              <w:rPr>
                <w:color w:val="EF3A84" w:themeColor="background2"/>
              </w:rPr>
              <w:t>The environmental impacts of the food system, including greenhouse gas emissions, are regularly monitored and compared against relevant targets.</w:t>
            </w:r>
            <w:r w:rsidRPr="00E34085">
              <w:rPr>
                <w:color w:val="EF3A84" w:themeColor="background2"/>
              </w:rPr>
              <w:br/>
            </w:r>
            <w:r w:rsidRPr="00E34085">
              <w:rPr>
                <w:i/>
                <w:iCs/>
                <w:color w:val="EF3A84" w:themeColor="background2"/>
              </w:rPr>
              <w:t xml:space="preserve">Note: </w:t>
            </w:r>
            <w:r w:rsidR="00BF253D" w:rsidRPr="00E34085">
              <w:rPr>
                <w:i/>
                <w:iCs/>
                <w:color w:val="EF3A84" w:themeColor="background2"/>
              </w:rPr>
              <w:t>N</w:t>
            </w:r>
            <w:r w:rsidRPr="00E34085">
              <w:rPr>
                <w:i/>
                <w:iCs/>
                <w:color w:val="EF3A84" w:themeColor="background2"/>
              </w:rPr>
              <w:t xml:space="preserve">ew indicator </w:t>
            </w:r>
            <w:r w:rsidR="00225C91" w:rsidRPr="00E34085">
              <w:rPr>
                <w:i/>
                <w:iCs/>
                <w:color w:val="EF3A84" w:themeColor="background2"/>
              </w:rPr>
              <w:t>to account for sustainability</w:t>
            </w:r>
          </w:p>
        </w:tc>
      </w:tr>
      <w:tr w:rsidR="009C586E" w:rsidRPr="00225C91" w14:paraId="2CA3416C" w14:textId="77777777" w:rsidTr="00A64C48">
        <w:trPr>
          <w:trHeight w:val="20"/>
        </w:trPr>
        <w:tc>
          <w:tcPr>
            <w:tcW w:w="177" w:type="pct"/>
            <w:vMerge w:val="restart"/>
            <w:hideMark/>
          </w:tcPr>
          <w:p w14:paraId="5F995372" w14:textId="39B0E61C" w:rsidR="009C586E" w:rsidRPr="00225C91" w:rsidRDefault="009C586E" w:rsidP="001E40B4">
            <w:pPr>
              <w:pStyle w:val="Tabelle-Text"/>
            </w:pPr>
            <w:r w:rsidRPr="00225C91">
              <w:t>12</w:t>
            </w:r>
          </w:p>
          <w:p w14:paraId="06013642" w14:textId="11E42FD7" w:rsidR="009C586E" w:rsidRPr="00225C91" w:rsidRDefault="009C586E" w:rsidP="001E40B4">
            <w:pPr>
              <w:pStyle w:val="Tabelle-Text"/>
            </w:pPr>
          </w:p>
        </w:tc>
        <w:tc>
          <w:tcPr>
            <w:tcW w:w="597" w:type="pct"/>
            <w:vMerge w:val="restart"/>
            <w:hideMark/>
          </w:tcPr>
          <w:p w14:paraId="1CE89C99" w14:textId="1255C655" w:rsidR="009C586E" w:rsidRPr="00225C91" w:rsidRDefault="009C586E" w:rsidP="001E40B4">
            <w:pPr>
              <w:pStyle w:val="Tabelle-Text"/>
            </w:pPr>
            <w:r w:rsidRPr="00225C91">
              <w:t>Funding and resources</w:t>
            </w:r>
          </w:p>
          <w:p w14:paraId="778B3E97" w14:textId="1F8B28C4" w:rsidR="009C586E" w:rsidRPr="00225C91" w:rsidRDefault="009C586E" w:rsidP="001E40B4">
            <w:pPr>
              <w:pStyle w:val="Tabelle-Text"/>
            </w:pPr>
          </w:p>
        </w:tc>
        <w:tc>
          <w:tcPr>
            <w:tcW w:w="4225" w:type="pct"/>
            <w:gridSpan w:val="3"/>
            <w:hideMark/>
          </w:tcPr>
          <w:p w14:paraId="7EA21F9A" w14:textId="754205D5" w:rsidR="009C586E" w:rsidRPr="00225C91" w:rsidRDefault="009C586E" w:rsidP="001E40B4">
            <w:pPr>
              <w:pStyle w:val="Tabelle-Text"/>
            </w:pPr>
            <w:r w:rsidRPr="00225C91">
              <w:t xml:space="preserve">Sufficient funding is invested in ‘Population Nutrition Promotion’(estimated from the investments in population promotion of healthy eating and healthy food environments for the prevention of obesity and diet-related NCDs, excluding all </w:t>
            </w:r>
            <w:r w:rsidRPr="00225C91">
              <w:lastRenderedPageBreak/>
              <w:t>one-on-one promotion (primary care, antenatal services, maternal and child nursing services etc.), food safety, micronutrient deficiencies (e.g. folate fortification) and undernutrition) to create healthy food environments, improved population nutrition, reductions in obesity, diet-related NCDs and their related inequalities</w:t>
            </w:r>
          </w:p>
        </w:tc>
      </w:tr>
      <w:tr w:rsidR="004E0EBA" w:rsidRPr="00225C91" w14:paraId="28380112" w14:textId="77777777" w:rsidTr="00A64C48">
        <w:trPr>
          <w:trHeight w:val="20"/>
        </w:trPr>
        <w:tc>
          <w:tcPr>
            <w:tcW w:w="177" w:type="pct"/>
            <w:vMerge/>
            <w:hideMark/>
          </w:tcPr>
          <w:p w14:paraId="0E11840F" w14:textId="490F00AA" w:rsidR="009C586E" w:rsidRPr="00225C91" w:rsidRDefault="009C586E" w:rsidP="001E40B4">
            <w:pPr>
              <w:pStyle w:val="Tabelle-Text"/>
            </w:pPr>
          </w:p>
        </w:tc>
        <w:tc>
          <w:tcPr>
            <w:tcW w:w="597" w:type="pct"/>
            <w:vMerge/>
            <w:hideMark/>
          </w:tcPr>
          <w:p w14:paraId="5103F34A" w14:textId="37499512" w:rsidR="009C586E" w:rsidRPr="00225C91" w:rsidRDefault="009C586E" w:rsidP="001E40B4">
            <w:pPr>
              <w:pStyle w:val="Tabelle-Text"/>
            </w:pPr>
          </w:p>
        </w:tc>
        <w:tc>
          <w:tcPr>
            <w:tcW w:w="552" w:type="pct"/>
            <w:hideMark/>
          </w:tcPr>
          <w:p w14:paraId="1F992E6F" w14:textId="77777777" w:rsidR="009C586E" w:rsidRPr="00225C91" w:rsidRDefault="009C586E" w:rsidP="001E40B4">
            <w:pPr>
              <w:pStyle w:val="Tabelle-Text"/>
            </w:pPr>
            <w:r w:rsidRPr="00225C91">
              <w:t>FUND1</w:t>
            </w:r>
          </w:p>
        </w:tc>
        <w:tc>
          <w:tcPr>
            <w:tcW w:w="730" w:type="pct"/>
            <w:hideMark/>
          </w:tcPr>
          <w:p w14:paraId="529715EA" w14:textId="4F2D0542" w:rsidR="009C586E" w:rsidRPr="00225C91" w:rsidRDefault="00941F20" w:rsidP="001E40B4">
            <w:pPr>
              <w:pStyle w:val="Tabelle-Text"/>
            </w:pPr>
            <w:r>
              <w:t>Budget</w:t>
            </w:r>
          </w:p>
        </w:tc>
        <w:tc>
          <w:tcPr>
            <w:tcW w:w="2943" w:type="pct"/>
            <w:hideMark/>
          </w:tcPr>
          <w:p w14:paraId="093097B0" w14:textId="77777777" w:rsidR="009C586E" w:rsidRPr="00225C91" w:rsidRDefault="009C586E" w:rsidP="001E40B4">
            <w:pPr>
              <w:pStyle w:val="Tabelle-Text"/>
            </w:pPr>
            <w:r w:rsidRPr="00225C91">
              <w:t>The ‘Population Nutrition Promotion’ budget, as a proportion of total health spending and/or in relation to the diet-related NCD burden is sufficient to reduce diet-related NCDs</w:t>
            </w:r>
          </w:p>
        </w:tc>
      </w:tr>
      <w:tr w:rsidR="004E0EBA" w:rsidRPr="00225C91" w14:paraId="17406572" w14:textId="77777777" w:rsidTr="00A64C48">
        <w:trPr>
          <w:trHeight w:val="20"/>
        </w:trPr>
        <w:tc>
          <w:tcPr>
            <w:tcW w:w="177" w:type="pct"/>
            <w:vMerge/>
            <w:hideMark/>
          </w:tcPr>
          <w:p w14:paraId="078DE9FB" w14:textId="0DEEFB29" w:rsidR="009C586E" w:rsidRPr="00225C91" w:rsidRDefault="009C586E" w:rsidP="001E40B4">
            <w:pPr>
              <w:pStyle w:val="Tabelle-Text"/>
            </w:pPr>
          </w:p>
        </w:tc>
        <w:tc>
          <w:tcPr>
            <w:tcW w:w="597" w:type="pct"/>
            <w:vMerge/>
            <w:hideMark/>
          </w:tcPr>
          <w:p w14:paraId="6A55FEE0" w14:textId="5C2F86BC" w:rsidR="009C586E" w:rsidRPr="00225C91" w:rsidRDefault="009C586E" w:rsidP="001E40B4">
            <w:pPr>
              <w:pStyle w:val="Tabelle-Text"/>
            </w:pPr>
          </w:p>
        </w:tc>
        <w:tc>
          <w:tcPr>
            <w:tcW w:w="552" w:type="pct"/>
            <w:hideMark/>
          </w:tcPr>
          <w:p w14:paraId="001FB62A" w14:textId="77777777" w:rsidR="009C586E" w:rsidRPr="00225C91" w:rsidRDefault="009C586E" w:rsidP="001E40B4">
            <w:pPr>
              <w:pStyle w:val="Tabelle-Text"/>
            </w:pPr>
            <w:r w:rsidRPr="00225C91">
              <w:t>FUND2</w:t>
            </w:r>
          </w:p>
        </w:tc>
        <w:tc>
          <w:tcPr>
            <w:tcW w:w="730" w:type="pct"/>
            <w:hideMark/>
          </w:tcPr>
          <w:p w14:paraId="5B9C141E" w14:textId="77777777" w:rsidR="009C586E" w:rsidRPr="00225C91" w:rsidRDefault="009C586E" w:rsidP="001E40B4">
            <w:pPr>
              <w:pStyle w:val="Tabelle-Text"/>
            </w:pPr>
            <w:r w:rsidRPr="00225C91">
              <w:t>Government funded research</w:t>
            </w:r>
          </w:p>
        </w:tc>
        <w:tc>
          <w:tcPr>
            <w:tcW w:w="2943" w:type="pct"/>
            <w:hideMark/>
          </w:tcPr>
          <w:p w14:paraId="0DBC98D9" w14:textId="77777777" w:rsidR="009C586E" w:rsidRPr="00225C91" w:rsidRDefault="009C586E" w:rsidP="001E40B4">
            <w:pPr>
              <w:pStyle w:val="Tabelle-Text"/>
            </w:pPr>
            <w:r w:rsidRPr="00225C91">
              <w:t>Government funded research is targeted for improving food environments, reducing obesity, NCDs and their related inequalities</w:t>
            </w:r>
          </w:p>
        </w:tc>
      </w:tr>
      <w:tr w:rsidR="004E0EBA" w:rsidRPr="00225C91" w14:paraId="62A85990" w14:textId="77777777" w:rsidTr="00A64C48">
        <w:trPr>
          <w:trHeight w:val="20"/>
        </w:trPr>
        <w:tc>
          <w:tcPr>
            <w:tcW w:w="177" w:type="pct"/>
            <w:vMerge/>
            <w:hideMark/>
          </w:tcPr>
          <w:p w14:paraId="1C808B20" w14:textId="444714F5" w:rsidR="009C586E" w:rsidRPr="00225C91" w:rsidRDefault="009C586E" w:rsidP="001E40B4">
            <w:pPr>
              <w:pStyle w:val="Tabelle-Text"/>
            </w:pPr>
          </w:p>
        </w:tc>
        <w:tc>
          <w:tcPr>
            <w:tcW w:w="597" w:type="pct"/>
            <w:vMerge/>
            <w:hideMark/>
          </w:tcPr>
          <w:p w14:paraId="0A6613C2" w14:textId="0BDFB15D" w:rsidR="009C586E" w:rsidRPr="00225C91" w:rsidRDefault="009C586E" w:rsidP="001E40B4">
            <w:pPr>
              <w:pStyle w:val="Tabelle-Text"/>
            </w:pPr>
          </w:p>
        </w:tc>
        <w:tc>
          <w:tcPr>
            <w:tcW w:w="552" w:type="pct"/>
            <w:hideMark/>
          </w:tcPr>
          <w:p w14:paraId="0910B7BF" w14:textId="77777777" w:rsidR="009C586E" w:rsidRPr="00225C91" w:rsidRDefault="009C586E" w:rsidP="001E40B4">
            <w:pPr>
              <w:pStyle w:val="Tabelle-Text"/>
            </w:pPr>
            <w:r w:rsidRPr="00225C91">
              <w:t>FUND3</w:t>
            </w:r>
          </w:p>
        </w:tc>
        <w:tc>
          <w:tcPr>
            <w:tcW w:w="730" w:type="pct"/>
            <w:hideMark/>
          </w:tcPr>
          <w:p w14:paraId="6165CBB0" w14:textId="77777777" w:rsidR="009C586E" w:rsidRPr="00225C91" w:rsidRDefault="009C586E" w:rsidP="001E40B4">
            <w:pPr>
              <w:pStyle w:val="Tabelle-Text"/>
            </w:pPr>
            <w:r w:rsidRPr="00225C91">
              <w:t>Statutory health promotion agency</w:t>
            </w:r>
          </w:p>
        </w:tc>
        <w:tc>
          <w:tcPr>
            <w:tcW w:w="2943" w:type="pct"/>
            <w:hideMark/>
          </w:tcPr>
          <w:p w14:paraId="19440CB6" w14:textId="77777777" w:rsidR="009C586E" w:rsidRPr="00225C91" w:rsidRDefault="009C586E" w:rsidP="001E40B4">
            <w:pPr>
              <w:pStyle w:val="Tabelle-Text"/>
            </w:pPr>
            <w:r w:rsidRPr="00225C91">
              <w:t>There is a statutory health promotion agency in place that includes an objective to improve population nutrition, with a secure funding stream</w:t>
            </w:r>
          </w:p>
        </w:tc>
      </w:tr>
      <w:tr w:rsidR="00F771FB" w:rsidRPr="00225C91" w14:paraId="2DAB4CAF" w14:textId="77777777" w:rsidTr="00A64C48">
        <w:trPr>
          <w:trHeight w:val="20"/>
        </w:trPr>
        <w:tc>
          <w:tcPr>
            <w:tcW w:w="177" w:type="pct"/>
            <w:vMerge w:val="restart"/>
            <w:hideMark/>
          </w:tcPr>
          <w:p w14:paraId="75F22D1B" w14:textId="6727F63A" w:rsidR="00F771FB" w:rsidRPr="00225C91" w:rsidRDefault="00F771FB" w:rsidP="001E40B4">
            <w:pPr>
              <w:pStyle w:val="Tabelle-Text"/>
            </w:pPr>
            <w:r w:rsidRPr="00225C91">
              <w:t>13</w:t>
            </w:r>
          </w:p>
          <w:p w14:paraId="6F80D309" w14:textId="054ADFEB" w:rsidR="00F771FB" w:rsidRPr="00225C91" w:rsidRDefault="00F771FB" w:rsidP="001E40B4">
            <w:pPr>
              <w:pStyle w:val="Tabelle-Text"/>
            </w:pPr>
          </w:p>
        </w:tc>
        <w:tc>
          <w:tcPr>
            <w:tcW w:w="597" w:type="pct"/>
            <w:vMerge w:val="restart"/>
            <w:hideMark/>
          </w:tcPr>
          <w:p w14:paraId="7D13DCED" w14:textId="72982CB6" w:rsidR="00F771FB" w:rsidRPr="00225C91" w:rsidRDefault="00F771FB" w:rsidP="001E40B4">
            <w:pPr>
              <w:pStyle w:val="Tabelle-Text"/>
            </w:pPr>
            <w:r w:rsidRPr="00225C91">
              <w:t>Platforms for interaction</w:t>
            </w:r>
          </w:p>
          <w:p w14:paraId="3C2CE56C" w14:textId="6C182AF7" w:rsidR="00F771FB" w:rsidRPr="00225C91" w:rsidRDefault="00F771FB" w:rsidP="001E40B4">
            <w:pPr>
              <w:pStyle w:val="Tabelle-Text"/>
            </w:pPr>
          </w:p>
        </w:tc>
        <w:tc>
          <w:tcPr>
            <w:tcW w:w="4225" w:type="pct"/>
            <w:gridSpan w:val="3"/>
            <w:hideMark/>
          </w:tcPr>
          <w:p w14:paraId="7117808B" w14:textId="1DC0B2F3" w:rsidR="00F771FB" w:rsidRPr="00225C91" w:rsidRDefault="00F771FB" w:rsidP="001E40B4">
            <w:pPr>
              <w:pStyle w:val="Tabelle-Text"/>
            </w:pPr>
            <w:r w:rsidRPr="00225C91">
              <w:t>There are coordination platforms and opportunities for synergies across government departments, levels of government, and other sectors (NGOs, private sector, and academia) such that policies and actions in food and nutrition are coherent, efficient and effective in improving food environments, population nutrition, diet-related NCDs and their related inequalities</w:t>
            </w:r>
          </w:p>
        </w:tc>
      </w:tr>
      <w:tr w:rsidR="004E0EBA" w:rsidRPr="00225C91" w14:paraId="09B26D34" w14:textId="77777777" w:rsidTr="00A64C48">
        <w:trPr>
          <w:trHeight w:val="20"/>
        </w:trPr>
        <w:tc>
          <w:tcPr>
            <w:tcW w:w="177" w:type="pct"/>
            <w:vMerge/>
            <w:hideMark/>
          </w:tcPr>
          <w:p w14:paraId="1FA9968A" w14:textId="37E56220" w:rsidR="00F771FB" w:rsidRPr="00225C91" w:rsidRDefault="00F771FB" w:rsidP="001E40B4">
            <w:pPr>
              <w:pStyle w:val="Tabelle-Text"/>
            </w:pPr>
          </w:p>
        </w:tc>
        <w:tc>
          <w:tcPr>
            <w:tcW w:w="597" w:type="pct"/>
            <w:vMerge/>
            <w:hideMark/>
          </w:tcPr>
          <w:p w14:paraId="4800F21E" w14:textId="566F0B5D" w:rsidR="00F771FB" w:rsidRPr="00225C91" w:rsidRDefault="00F771FB" w:rsidP="001E40B4">
            <w:pPr>
              <w:pStyle w:val="Tabelle-Text"/>
            </w:pPr>
          </w:p>
        </w:tc>
        <w:tc>
          <w:tcPr>
            <w:tcW w:w="552" w:type="pct"/>
            <w:hideMark/>
          </w:tcPr>
          <w:p w14:paraId="67553566" w14:textId="77777777" w:rsidR="00F771FB" w:rsidRPr="00225C91" w:rsidRDefault="00F771FB" w:rsidP="001E40B4">
            <w:pPr>
              <w:pStyle w:val="Tabelle-Text"/>
            </w:pPr>
            <w:r w:rsidRPr="00225C91">
              <w:t>PLAT1</w:t>
            </w:r>
          </w:p>
        </w:tc>
        <w:tc>
          <w:tcPr>
            <w:tcW w:w="730" w:type="pct"/>
            <w:hideMark/>
          </w:tcPr>
          <w:p w14:paraId="4AEE755A" w14:textId="3D624C40" w:rsidR="00F771FB" w:rsidRPr="00225C91" w:rsidRDefault="00941F20" w:rsidP="001E40B4">
            <w:pPr>
              <w:pStyle w:val="Tabelle-Text"/>
            </w:pPr>
            <w:r w:rsidRPr="00941F20">
              <w:t>Across government departments and levels</w:t>
            </w:r>
          </w:p>
        </w:tc>
        <w:tc>
          <w:tcPr>
            <w:tcW w:w="2943" w:type="pct"/>
            <w:hideMark/>
          </w:tcPr>
          <w:p w14:paraId="3918DBBB" w14:textId="77777777" w:rsidR="00F771FB" w:rsidRPr="00225C91" w:rsidRDefault="00F771FB" w:rsidP="001E40B4">
            <w:pPr>
              <w:pStyle w:val="Tabelle-Text"/>
            </w:pPr>
            <w:r w:rsidRPr="00225C91">
              <w:t>There are robust coordination mechanisms across departments and levels of government (national and local) to ensure policy coherence, alignment, and integration of food, obesity and diet-related NCD prevention policies across governments</w:t>
            </w:r>
          </w:p>
        </w:tc>
      </w:tr>
      <w:tr w:rsidR="004E0EBA" w:rsidRPr="00225C91" w14:paraId="546AF656" w14:textId="77777777" w:rsidTr="00A64C48">
        <w:trPr>
          <w:trHeight w:val="20"/>
        </w:trPr>
        <w:tc>
          <w:tcPr>
            <w:tcW w:w="177" w:type="pct"/>
            <w:vMerge/>
            <w:hideMark/>
          </w:tcPr>
          <w:p w14:paraId="1D141652" w14:textId="2121E250" w:rsidR="00F771FB" w:rsidRPr="00225C91" w:rsidRDefault="00F771FB" w:rsidP="001E40B4">
            <w:pPr>
              <w:pStyle w:val="Tabelle-Text"/>
            </w:pPr>
          </w:p>
        </w:tc>
        <w:tc>
          <w:tcPr>
            <w:tcW w:w="597" w:type="pct"/>
            <w:vMerge/>
            <w:hideMark/>
          </w:tcPr>
          <w:p w14:paraId="26A904A2" w14:textId="0C8123A7" w:rsidR="00F771FB" w:rsidRPr="00225C91" w:rsidRDefault="00F771FB" w:rsidP="001E40B4">
            <w:pPr>
              <w:pStyle w:val="Tabelle-Text"/>
            </w:pPr>
          </w:p>
        </w:tc>
        <w:tc>
          <w:tcPr>
            <w:tcW w:w="552" w:type="pct"/>
            <w:hideMark/>
          </w:tcPr>
          <w:p w14:paraId="3D238136" w14:textId="77777777" w:rsidR="00F771FB" w:rsidRPr="00225C91" w:rsidRDefault="00F771FB" w:rsidP="001E40B4">
            <w:pPr>
              <w:pStyle w:val="Tabelle-Text"/>
            </w:pPr>
            <w:r w:rsidRPr="00225C91">
              <w:t xml:space="preserve">PLAT2 </w:t>
            </w:r>
          </w:p>
        </w:tc>
        <w:tc>
          <w:tcPr>
            <w:tcW w:w="730" w:type="pct"/>
            <w:hideMark/>
          </w:tcPr>
          <w:p w14:paraId="1620BD9A" w14:textId="77777777" w:rsidR="00F771FB" w:rsidRPr="00225C91" w:rsidRDefault="00F771FB" w:rsidP="001E40B4">
            <w:pPr>
              <w:pStyle w:val="Tabelle-Text"/>
            </w:pPr>
            <w:r w:rsidRPr="00225C91">
              <w:t>Government and the commercial food sector</w:t>
            </w:r>
          </w:p>
        </w:tc>
        <w:tc>
          <w:tcPr>
            <w:tcW w:w="2943" w:type="pct"/>
            <w:hideMark/>
          </w:tcPr>
          <w:p w14:paraId="01166D47" w14:textId="77777777" w:rsidR="00F771FB" w:rsidRPr="00225C91" w:rsidRDefault="00F771FB" w:rsidP="001E40B4">
            <w:pPr>
              <w:pStyle w:val="Tabelle-Text"/>
            </w:pPr>
            <w:r w:rsidRPr="00225C91">
              <w:t>There are formal platforms between government and the commercial food sector to implement healthy food policies</w:t>
            </w:r>
          </w:p>
        </w:tc>
      </w:tr>
      <w:tr w:rsidR="004E0EBA" w:rsidRPr="00225C91" w14:paraId="050712F5" w14:textId="77777777" w:rsidTr="00A64C48">
        <w:trPr>
          <w:trHeight w:val="20"/>
        </w:trPr>
        <w:tc>
          <w:tcPr>
            <w:tcW w:w="177" w:type="pct"/>
            <w:vMerge/>
            <w:hideMark/>
          </w:tcPr>
          <w:p w14:paraId="26792E44" w14:textId="0EB2F49C" w:rsidR="00F771FB" w:rsidRPr="00225C91" w:rsidRDefault="00F771FB" w:rsidP="001E40B4">
            <w:pPr>
              <w:pStyle w:val="Tabelle-Text"/>
            </w:pPr>
          </w:p>
        </w:tc>
        <w:tc>
          <w:tcPr>
            <w:tcW w:w="597" w:type="pct"/>
            <w:vMerge/>
            <w:hideMark/>
          </w:tcPr>
          <w:p w14:paraId="11F0B0A9" w14:textId="29F62B31" w:rsidR="00F771FB" w:rsidRPr="00225C91" w:rsidRDefault="00F771FB" w:rsidP="001E40B4">
            <w:pPr>
              <w:pStyle w:val="Tabelle-Text"/>
            </w:pPr>
          </w:p>
        </w:tc>
        <w:tc>
          <w:tcPr>
            <w:tcW w:w="552" w:type="pct"/>
            <w:hideMark/>
          </w:tcPr>
          <w:p w14:paraId="59B60195" w14:textId="77777777" w:rsidR="00F771FB" w:rsidRPr="00225C91" w:rsidRDefault="00F771FB" w:rsidP="001E40B4">
            <w:pPr>
              <w:pStyle w:val="Tabelle-Text"/>
            </w:pPr>
            <w:r w:rsidRPr="00225C91">
              <w:t>PLAT3</w:t>
            </w:r>
          </w:p>
        </w:tc>
        <w:tc>
          <w:tcPr>
            <w:tcW w:w="730" w:type="pct"/>
            <w:hideMark/>
          </w:tcPr>
          <w:p w14:paraId="3667A831" w14:textId="77777777" w:rsidR="00F771FB" w:rsidRPr="00225C91" w:rsidRDefault="00F771FB" w:rsidP="001E40B4">
            <w:pPr>
              <w:pStyle w:val="Tabelle-Text"/>
            </w:pPr>
            <w:r w:rsidRPr="00225C91">
              <w:t>Government and civil society</w:t>
            </w:r>
          </w:p>
        </w:tc>
        <w:tc>
          <w:tcPr>
            <w:tcW w:w="2943" w:type="pct"/>
            <w:hideMark/>
          </w:tcPr>
          <w:p w14:paraId="41AC2B54" w14:textId="77777777" w:rsidR="00F771FB" w:rsidRPr="00225C91" w:rsidRDefault="00F771FB" w:rsidP="001E40B4">
            <w:pPr>
              <w:pStyle w:val="Tabelle-Text"/>
            </w:pPr>
            <w:r w:rsidRPr="00225C91">
              <w:t>There are formal platforms for regular interactions between government and civil society on food policies and other strategies to improve population nutrition</w:t>
            </w:r>
          </w:p>
        </w:tc>
      </w:tr>
      <w:tr w:rsidR="004E0EBA" w:rsidRPr="00225C91" w14:paraId="7B74CFD2" w14:textId="77777777" w:rsidTr="00A64C48">
        <w:trPr>
          <w:trHeight w:val="20"/>
        </w:trPr>
        <w:tc>
          <w:tcPr>
            <w:tcW w:w="177" w:type="pct"/>
            <w:vMerge/>
            <w:hideMark/>
          </w:tcPr>
          <w:p w14:paraId="7B6EE185" w14:textId="3120AD45" w:rsidR="00F771FB" w:rsidRPr="00225C91" w:rsidRDefault="00F771FB" w:rsidP="001E40B4">
            <w:pPr>
              <w:pStyle w:val="Tabelle-Text"/>
            </w:pPr>
          </w:p>
        </w:tc>
        <w:tc>
          <w:tcPr>
            <w:tcW w:w="597" w:type="pct"/>
            <w:vMerge/>
            <w:hideMark/>
          </w:tcPr>
          <w:p w14:paraId="67CEA513" w14:textId="58442DDD" w:rsidR="00F771FB" w:rsidRPr="00225C91" w:rsidRDefault="00F771FB" w:rsidP="001E40B4">
            <w:pPr>
              <w:pStyle w:val="Tabelle-Text"/>
            </w:pPr>
          </w:p>
        </w:tc>
        <w:tc>
          <w:tcPr>
            <w:tcW w:w="552" w:type="pct"/>
            <w:hideMark/>
          </w:tcPr>
          <w:p w14:paraId="7D9FAA2F" w14:textId="77777777" w:rsidR="00F771FB" w:rsidRPr="00ED7AEA" w:rsidRDefault="00F771FB" w:rsidP="001E40B4">
            <w:pPr>
              <w:pStyle w:val="Tabelle-Text"/>
            </w:pPr>
            <w:r w:rsidRPr="00ED7AEA">
              <w:t>PLAT4</w:t>
            </w:r>
          </w:p>
        </w:tc>
        <w:tc>
          <w:tcPr>
            <w:tcW w:w="730" w:type="pct"/>
            <w:hideMark/>
          </w:tcPr>
          <w:p w14:paraId="7150B692" w14:textId="77777777" w:rsidR="00F771FB" w:rsidRPr="00ED7AEA" w:rsidRDefault="00F771FB" w:rsidP="001E40B4">
            <w:pPr>
              <w:pStyle w:val="Tabelle-Text"/>
            </w:pPr>
            <w:r w:rsidRPr="00ED7AEA">
              <w:t>Systems-based approach</w:t>
            </w:r>
          </w:p>
        </w:tc>
        <w:tc>
          <w:tcPr>
            <w:tcW w:w="2943" w:type="pct"/>
            <w:hideMark/>
          </w:tcPr>
          <w:p w14:paraId="71FDC2D1" w14:textId="77777777" w:rsidR="00F771FB" w:rsidRPr="00ED7AEA" w:rsidRDefault="00F771FB" w:rsidP="001E40B4">
            <w:pPr>
              <w:pStyle w:val="Tabelle-Text"/>
            </w:pPr>
            <w:r w:rsidRPr="00ED7AEA">
              <w:t>The government leads a broad, coherent, effective, integrated and sustainable systems-based approach with local organisations to improve the healthiness of food environments at a national level</w:t>
            </w:r>
          </w:p>
          <w:p w14:paraId="4078F5A7" w14:textId="6D21201E" w:rsidR="00496BB5" w:rsidRPr="00ED7AEA" w:rsidRDefault="00496BB5" w:rsidP="001E40B4">
            <w:pPr>
              <w:pStyle w:val="Tabelle-Text"/>
            </w:pPr>
            <w:r w:rsidRPr="00ED7AEA">
              <w:rPr>
                <w:color w:val="EF3A84" w:themeColor="background2"/>
              </w:rPr>
              <w:t>Note</w:t>
            </w:r>
            <w:r w:rsidRPr="00E34085">
              <w:rPr>
                <w:i/>
                <w:iCs/>
                <w:color w:val="EF3A84" w:themeColor="background2"/>
              </w:rPr>
              <w:t xml:space="preserve">: Merged with HIAP1 as in the German Food-EPI </w:t>
            </w:r>
            <w:r w:rsidRPr="00E34085">
              <w:rPr>
                <w:i/>
                <w:iCs/>
              </w:rPr>
              <w:fldChar w:fldCharType="begin"/>
            </w:r>
            <w:r w:rsidR="00216423">
              <w:rPr>
                <w:i/>
                <w:iCs/>
              </w:rPr>
              <w:instrText xml:space="preserve"> ADDIN ZOTERO_ITEM CSL_CITATION {"citationID":"aan6uoku45","properties":{"formattedCitation":"[2]","plainCitation":"[2]","noteIndex":0},"citationItems":[{"id":166,"uris":["http://zotero.org/users/5617569/items/NZM7E5P4"],"itemData":{"id":166,"type":"article-journal","abstract":"Objective:\nTo systematically assess Germany’s nutrition policies, to benchmark them against international best practices and to identify priority policy actions to improve population-level nutrition in Germany.\n\n\nDesign:\nWe applied the Food Environment Policy Index (Food-EPI), a methodological framework developed by the International Network for Food and Obesity/non-communicable Diseases Research, Monitoring and Action Support (INFORMAS) network. Qualitative content analysis of laws, directives and other documents formed the basis of a multistaged, structured consultation process.\n\n\nSetting:\nGermany.\n\n\nParticipants:\nThe expert consultation process included fifty-five experts from academia, public administration and civil society.\n\n\nResults:\nGermany lags behind international best practices in several key policy areas. For eighteen policy indicators, the degree of implementation compared with international best practices was rated as very low, for twenty-one as low, for eight as intermediate and for none as high. In particular, indicators on food taxation, regulation of food marketing as well as retail and food service sector policies were rated as very low to low. Identified priority actions included the binding implementation of nutrition standards for schools and kindergartens, a reform of the value added tax on foods and beverages, a sugar-sweetened beverage tax and stricter regulation of food marketing directed at children.\n\n\nConclusions:\nThe results show that Germany makes insufficient use of the potential of evidence-informed health-promoting nutrition policies. Adopting international best practices in key policy areas could help to reduce the burden of nutrition-related chronic disease and related inequalities in nutrition and health in Germany. Implementation of relevant policies requires political leadership, a broad societal dialogue and evidence-informed advocacy by civil society, including the scientific community.","container-title":"Public Health Nutrition","DOI":"10.1017/S1368980021004742","ISSN":"1368-9800, 1475-2727","issue":"6","language":"en","page":"1691-1700","publisher":"Cambridge University Press","source":"Cambridge University Press","title":"Nutrition policies in Germany: a systematic assessment with the Food Environment Policy Index","title-short":"Nutrition policies in Germany","volume":"25","author":[{"family":"Philipsborn","given":"Peter","dropping-particle":"von"},{"family":"Geffert","given":"Karin"},{"family":"Klinger","given":"Carmen"},{"family":"Hebestreit","given":"Antje"},{"family":"Stratil","given":"Jan"},{"family":"Rehfuess","given":"Eva Annette"}],"issued":{"date-parts":[["2022",6]]}}}],"schema":"https://github.com/citation-style-language/schema/raw/master/csl-citation.json"} </w:instrText>
            </w:r>
            <w:r w:rsidRPr="00E34085">
              <w:rPr>
                <w:i/>
                <w:iCs/>
              </w:rPr>
              <w:fldChar w:fldCharType="separate"/>
            </w:r>
            <w:r w:rsidR="00F833B1" w:rsidRPr="00E34085">
              <w:rPr>
                <w:i/>
                <w:iCs/>
              </w:rPr>
              <w:t>[2]</w:t>
            </w:r>
            <w:r w:rsidRPr="00E34085">
              <w:rPr>
                <w:i/>
                <w:iCs/>
              </w:rPr>
              <w:fldChar w:fldCharType="end"/>
            </w:r>
          </w:p>
        </w:tc>
      </w:tr>
      <w:tr w:rsidR="004E0EBA" w:rsidRPr="00225C91" w14:paraId="0824181A" w14:textId="77777777" w:rsidTr="00A64C48">
        <w:trPr>
          <w:trHeight w:val="20"/>
        </w:trPr>
        <w:tc>
          <w:tcPr>
            <w:tcW w:w="177" w:type="pct"/>
            <w:vMerge/>
            <w:hideMark/>
          </w:tcPr>
          <w:p w14:paraId="4B55A86B" w14:textId="336357B8" w:rsidR="00F771FB" w:rsidRPr="00225C91" w:rsidRDefault="00F771FB" w:rsidP="001E40B4">
            <w:pPr>
              <w:pStyle w:val="Tabelle-Text"/>
            </w:pPr>
          </w:p>
        </w:tc>
        <w:tc>
          <w:tcPr>
            <w:tcW w:w="597" w:type="pct"/>
            <w:vMerge/>
            <w:hideMark/>
          </w:tcPr>
          <w:p w14:paraId="302AF7E6" w14:textId="12F5E7DC" w:rsidR="00F771FB" w:rsidRPr="00225C91" w:rsidRDefault="00F771FB" w:rsidP="001E40B4">
            <w:pPr>
              <w:pStyle w:val="Tabelle-Text"/>
            </w:pPr>
          </w:p>
        </w:tc>
        <w:tc>
          <w:tcPr>
            <w:tcW w:w="552" w:type="pct"/>
            <w:hideMark/>
          </w:tcPr>
          <w:p w14:paraId="7B750306" w14:textId="77777777" w:rsidR="00F771FB" w:rsidRPr="00225C91" w:rsidRDefault="00F771FB" w:rsidP="001E40B4">
            <w:pPr>
              <w:pStyle w:val="Tabelle-Text"/>
            </w:pPr>
            <w:r w:rsidRPr="00225C91">
              <w:t>PLAT5</w:t>
            </w:r>
          </w:p>
        </w:tc>
        <w:tc>
          <w:tcPr>
            <w:tcW w:w="730" w:type="pct"/>
            <w:hideMark/>
          </w:tcPr>
          <w:p w14:paraId="53020087" w14:textId="77777777" w:rsidR="00F771FB" w:rsidRPr="00225C91" w:rsidRDefault="00F771FB" w:rsidP="001E40B4">
            <w:pPr>
              <w:pStyle w:val="Tabelle-Text"/>
            </w:pPr>
            <w:r w:rsidRPr="00225C91">
              <w:t>Municipal initiatives</w:t>
            </w:r>
          </w:p>
        </w:tc>
        <w:tc>
          <w:tcPr>
            <w:tcW w:w="2943" w:type="pct"/>
            <w:hideMark/>
          </w:tcPr>
          <w:p w14:paraId="0EDB24EC" w14:textId="61E08B8E" w:rsidR="00F771FB" w:rsidRPr="00225C91" w:rsidRDefault="00F771FB" w:rsidP="001E40B4">
            <w:pPr>
              <w:pStyle w:val="Tabelle-Text"/>
            </w:pPr>
            <w:r w:rsidRPr="00225C91">
              <w:t>The government has established overarching structures to provide comprehensive and coordinated support for creating and maintaining healthy food environments at the municipal level.</w:t>
            </w:r>
            <w:r w:rsidRPr="00225C91">
              <w:br/>
            </w:r>
            <w:r w:rsidRPr="00ED7AEA">
              <w:rPr>
                <w:i/>
                <w:iCs/>
                <w:color w:val="EF3A84" w:themeColor="background2"/>
              </w:rPr>
              <w:t xml:space="preserve">Note: </w:t>
            </w:r>
            <w:r w:rsidR="00AF644D" w:rsidRPr="00ED7AEA">
              <w:rPr>
                <w:i/>
                <w:iCs/>
                <w:color w:val="EF3A84" w:themeColor="background2"/>
              </w:rPr>
              <w:t>New i</w:t>
            </w:r>
            <w:r w:rsidRPr="00ED7AEA">
              <w:rPr>
                <w:i/>
                <w:iCs/>
                <w:color w:val="EF3A84" w:themeColor="background2"/>
              </w:rPr>
              <w:t xml:space="preserve">ndicator adapted from the Canadian </w:t>
            </w:r>
            <w:r w:rsidRPr="00ED7AEA">
              <w:rPr>
                <w:i/>
                <w:iCs/>
                <w:color w:val="EF3A84" w:themeColor="background2"/>
              </w:rPr>
              <w:lastRenderedPageBreak/>
              <w:t>Local Food-EPI; not included in the INFORMAS Food-EPI</w:t>
            </w:r>
            <w:r w:rsidR="00E44FB5" w:rsidRPr="00ED7AEA">
              <w:rPr>
                <w:i/>
                <w:iCs/>
                <w:color w:val="EF3A84" w:themeColor="background2"/>
              </w:rPr>
              <w:t xml:space="preserve"> </w:t>
            </w:r>
            <w:r w:rsidR="00E44FB5" w:rsidRPr="00186FCB">
              <w:rPr>
                <w:i/>
                <w:iCs/>
              </w:rPr>
              <w:fldChar w:fldCharType="begin"/>
            </w:r>
            <w:r w:rsidR="00216423">
              <w:rPr>
                <w:i/>
                <w:iCs/>
              </w:rPr>
              <w:instrText xml:space="preserve"> ADDIN ZOTERO_ITEM CSL_CITATION {"citationID":"a2frj4ctekh","properties":{"formattedCitation":"[4]","plainCitation":"[4]","noteIndex":0},"citationItems":[{"id":722,"uris":["http://zotero.org/users/5617569/items/HBSNDI29"],"itemData":{"id":722,"type":"report","publisher":"University of Toronto","publisher-place":"Canada, Toronto","title":"Local Food-EPI: Pilot Study to Assess Regional / Municipal Food Environment Policies Across Ontario","URL":"https://sustainontario.com/greenhouse/custom/uploads/2019/07/Food-EPI_Evidence-Document-Toronto.pdf","author":[{"family":"Karbasy","given":"Kimiya"},{"family":"Vanderlee","given":"Lana"},{"family":"L'Abbé","given":"Mary"}],"accessed":{"date-parts":[["2023",8,30]]},"issued":{"date-parts":[["2018"]]}}}],"schema":"https://github.com/citation-style-language/schema/raw/master/csl-citation.json"} </w:instrText>
            </w:r>
            <w:r w:rsidR="00E44FB5" w:rsidRPr="00186FCB">
              <w:rPr>
                <w:i/>
                <w:iCs/>
              </w:rPr>
              <w:fldChar w:fldCharType="separate"/>
            </w:r>
            <w:r w:rsidR="00F833B1">
              <w:rPr>
                <w:i/>
                <w:iCs/>
              </w:rPr>
              <w:t>[4]</w:t>
            </w:r>
            <w:r w:rsidR="00E44FB5" w:rsidRPr="00186FCB">
              <w:rPr>
                <w:i/>
                <w:iCs/>
              </w:rPr>
              <w:fldChar w:fldCharType="end"/>
            </w:r>
          </w:p>
        </w:tc>
      </w:tr>
      <w:tr w:rsidR="00F771FB" w:rsidRPr="00225C91" w14:paraId="160DCFE6" w14:textId="77777777" w:rsidTr="00A64C48">
        <w:trPr>
          <w:trHeight w:val="20"/>
        </w:trPr>
        <w:tc>
          <w:tcPr>
            <w:tcW w:w="177" w:type="pct"/>
            <w:vMerge w:val="restart"/>
            <w:hideMark/>
          </w:tcPr>
          <w:p w14:paraId="6BBD50EB" w14:textId="24AF7AEE" w:rsidR="00F771FB" w:rsidRPr="00225C91" w:rsidRDefault="00F771FB" w:rsidP="001E40B4">
            <w:pPr>
              <w:pStyle w:val="Tabelle-Text"/>
            </w:pPr>
            <w:r w:rsidRPr="00225C91">
              <w:lastRenderedPageBreak/>
              <w:t>14</w:t>
            </w:r>
          </w:p>
        </w:tc>
        <w:tc>
          <w:tcPr>
            <w:tcW w:w="597" w:type="pct"/>
            <w:vMerge w:val="restart"/>
            <w:hideMark/>
          </w:tcPr>
          <w:p w14:paraId="58D63F68" w14:textId="17D1A528" w:rsidR="00F771FB" w:rsidRPr="00225C91" w:rsidRDefault="00F771FB" w:rsidP="001E40B4">
            <w:pPr>
              <w:pStyle w:val="Tabelle-Text"/>
            </w:pPr>
            <w:r w:rsidRPr="00225C91">
              <w:t>Health in all policies</w:t>
            </w:r>
          </w:p>
        </w:tc>
        <w:tc>
          <w:tcPr>
            <w:tcW w:w="4225" w:type="pct"/>
            <w:gridSpan w:val="3"/>
            <w:hideMark/>
          </w:tcPr>
          <w:p w14:paraId="517F2726" w14:textId="089CCF9E" w:rsidR="00F771FB" w:rsidRPr="00225C91" w:rsidRDefault="00F771FB" w:rsidP="001E40B4">
            <w:pPr>
              <w:pStyle w:val="Tabelle-Text"/>
            </w:pPr>
            <w:r w:rsidRPr="00225C91">
              <w:t>Processes are in place to ensure policy coherence and alignment, and that population health impacts are explicitly considered in the development of government policies</w:t>
            </w:r>
          </w:p>
        </w:tc>
      </w:tr>
      <w:tr w:rsidR="004E0EBA" w:rsidRPr="00225C91" w14:paraId="4BE04C4D" w14:textId="77777777" w:rsidTr="00A64C48">
        <w:trPr>
          <w:trHeight w:val="20"/>
        </w:trPr>
        <w:tc>
          <w:tcPr>
            <w:tcW w:w="177" w:type="pct"/>
            <w:vMerge/>
            <w:hideMark/>
          </w:tcPr>
          <w:p w14:paraId="2AED5E08" w14:textId="685D8216" w:rsidR="00F771FB" w:rsidRPr="00225C91" w:rsidRDefault="00F771FB" w:rsidP="001E40B4">
            <w:pPr>
              <w:pStyle w:val="Tabelle-Text"/>
            </w:pPr>
          </w:p>
        </w:tc>
        <w:tc>
          <w:tcPr>
            <w:tcW w:w="597" w:type="pct"/>
            <w:vMerge/>
            <w:hideMark/>
          </w:tcPr>
          <w:p w14:paraId="6F3D2A93" w14:textId="6F5E93C9" w:rsidR="00F771FB" w:rsidRPr="00225C91" w:rsidRDefault="00F771FB" w:rsidP="001E40B4">
            <w:pPr>
              <w:pStyle w:val="Tabelle-Text"/>
            </w:pPr>
          </w:p>
        </w:tc>
        <w:tc>
          <w:tcPr>
            <w:tcW w:w="552" w:type="pct"/>
            <w:hideMark/>
          </w:tcPr>
          <w:p w14:paraId="18974928" w14:textId="77777777" w:rsidR="00F771FB" w:rsidRPr="00225C91" w:rsidRDefault="00F771FB" w:rsidP="001E40B4">
            <w:pPr>
              <w:pStyle w:val="Tabelle-Text"/>
            </w:pPr>
            <w:r w:rsidRPr="00225C91">
              <w:t>HIAP1</w:t>
            </w:r>
          </w:p>
        </w:tc>
        <w:tc>
          <w:tcPr>
            <w:tcW w:w="730" w:type="pct"/>
            <w:hideMark/>
          </w:tcPr>
          <w:p w14:paraId="7EDE51D4" w14:textId="77777777" w:rsidR="00F771FB" w:rsidRPr="00225C91" w:rsidRDefault="00F771FB" w:rsidP="001E40B4">
            <w:pPr>
              <w:pStyle w:val="Tabelle-Text"/>
            </w:pPr>
            <w:r w:rsidRPr="00225C91">
              <w:t>Consideration in all government policies</w:t>
            </w:r>
          </w:p>
        </w:tc>
        <w:tc>
          <w:tcPr>
            <w:tcW w:w="2943" w:type="pct"/>
            <w:hideMark/>
          </w:tcPr>
          <w:p w14:paraId="297083B7" w14:textId="77777777" w:rsidR="00F771FB" w:rsidRPr="00225C91" w:rsidRDefault="00F771FB" w:rsidP="001E40B4">
            <w:pPr>
              <w:pStyle w:val="Tabelle-Text"/>
              <w:rPr>
                <w:i/>
                <w:iCs/>
              </w:rPr>
            </w:pPr>
            <w:r w:rsidRPr="00225C91">
              <w:t>There are processes in place to ensure that population nutrition, health outcomes and reducing health inequalities or health impacts in vulnerable populations are considered and prioritised in the development of all government policies relating to food</w:t>
            </w:r>
          </w:p>
          <w:p w14:paraId="31F62B1A" w14:textId="69CF0310" w:rsidR="00496BB5" w:rsidRPr="00E34085" w:rsidRDefault="00496BB5" w:rsidP="001E40B4">
            <w:pPr>
              <w:pStyle w:val="Tabelle-Text"/>
              <w:rPr>
                <w:i/>
                <w:iCs/>
              </w:rPr>
            </w:pPr>
            <w:r w:rsidRPr="00E34085">
              <w:rPr>
                <w:i/>
                <w:iCs/>
                <w:color w:val="EF3A84" w:themeColor="background2"/>
              </w:rPr>
              <w:t>Note: Includes PLAT4 –</w:t>
            </w:r>
            <w:r w:rsidR="00225C91" w:rsidRPr="00E34085">
              <w:rPr>
                <w:i/>
                <w:iCs/>
                <w:color w:val="EF3A84" w:themeColor="background2"/>
              </w:rPr>
              <w:t xml:space="preserve"> </w:t>
            </w:r>
            <w:r w:rsidRPr="00E34085">
              <w:rPr>
                <w:i/>
                <w:iCs/>
                <w:color w:val="EF3A84" w:themeColor="background2"/>
              </w:rPr>
              <w:t xml:space="preserve">as in the German Food-EPI </w:t>
            </w:r>
            <w:r w:rsidRPr="00E34085">
              <w:rPr>
                <w:i/>
                <w:iCs/>
              </w:rPr>
              <w:fldChar w:fldCharType="begin"/>
            </w:r>
            <w:r w:rsidR="00216423">
              <w:rPr>
                <w:i/>
                <w:iCs/>
              </w:rPr>
              <w:instrText xml:space="preserve"> ADDIN ZOTERO_ITEM CSL_CITATION {"citationID":"CGHHDHqq","properties":{"formattedCitation":"[2]","plainCitation":"[2]","noteIndex":0},"citationItems":[{"id":166,"uris":["http://zotero.org/users/5617569/items/NZM7E5P4"],"itemData":{"id":166,"type":"article-journal","abstract":"Objective:\nTo systematically assess Germany’s nutrition policies, to benchmark them against international best practices and to identify priority policy actions to improve population-level nutrition in Germany.\n\n\nDesign:\nWe applied the Food Environment Policy Index (Food-EPI), a methodological framework developed by the International Network for Food and Obesity/non-communicable Diseases Research, Monitoring and Action Support (INFORMAS) network. Qualitative content analysis of laws, directives and other documents formed the basis of a multistaged, structured consultation process.\n\n\nSetting:\nGermany.\n\n\nParticipants:\nThe expert consultation process included fifty-five experts from academia, public administration and civil society.\n\n\nResults:\nGermany lags behind international best practices in several key policy areas. For eighteen policy indicators, the degree of implementation compared with international best practices was rated as very low, for twenty-one as low, for eight as intermediate and for none as high. In particular, indicators on food taxation, regulation of food marketing as well as retail and food service sector policies were rated as very low to low. Identified priority actions included the binding implementation of nutrition standards for schools and kindergartens, a reform of the value added tax on foods and beverages, a sugar-sweetened beverage tax and stricter regulation of food marketing directed at children.\n\n\nConclusions:\nThe results show that Germany makes insufficient use of the potential of evidence-informed health-promoting nutrition policies. Adopting international best practices in key policy areas could help to reduce the burden of nutrition-related chronic disease and related inequalities in nutrition and health in Germany. Implementation of relevant policies requires political leadership, a broad societal dialogue and evidence-informed advocacy by civil society, including the scientific community.","container-title":"Public Health Nutrition","DOI":"10.1017/S1368980021004742","ISSN":"1368-9800, 1475-2727","issue":"6","language":"en","page":"1691-1700","publisher":"Cambridge University Press","source":"Cambridge University Press","title":"Nutrition policies in Germany: a systematic assessment with the Food Environment Policy Index","title-short":"Nutrition policies in Germany","volume":"25","author":[{"family":"Philipsborn","given":"Peter","dropping-particle":"von"},{"family":"Geffert","given":"Karin"},{"family":"Klinger","given":"Carmen"},{"family":"Hebestreit","given":"Antje"},{"family":"Stratil","given":"Jan"},{"family":"Rehfuess","given":"Eva Annette"}],"issued":{"date-parts":[["2022",6]]}}}],"schema":"https://github.com/citation-style-language/schema/raw/master/csl-citation.json"} </w:instrText>
            </w:r>
            <w:r w:rsidRPr="00E34085">
              <w:rPr>
                <w:i/>
                <w:iCs/>
              </w:rPr>
              <w:fldChar w:fldCharType="separate"/>
            </w:r>
            <w:r w:rsidR="00F833B1" w:rsidRPr="00E34085">
              <w:rPr>
                <w:i/>
                <w:iCs/>
              </w:rPr>
              <w:t>[2]</w:t>
            </w:r>
            <w:r w:rsidRPr="00E34085">
              <w:rPr>
                <w:i/>
                <w:iCs/>
              </w:rPr>
              <w:fldChar w:fldCharType="end"/>
            </w:r>
          </w:p>
        </w:tc>
      </w:tr>
      <w:tr w:rsidR="00B44BA8" w:rsidRPr="00225C91" w14:paraId="17632267" w14:textId="77777777" w:rsidTr="00A64C48">
        <w:trPr>
          <w:trHeight w:val="20"/>
        </w:trPr>
        <w:tc>
          <w:tcPr>
            <w:tcW w:w="177" w:type="pct"/>
            <w:vMerge/>
            <w:hideMark/>
          </w:tcPr>
          <w:p w14:paraId="76DC073A" w14:textId="4261F2A9" w:rsidR="00F771FB" w:rsidRPr="00225C91" w:rsidRDefault="00F771FB" w:rsidP="001E40B4">
            <w:pPr>
              <w:pStyle w:val="Tabelle-Text"/>
            </w:pPr>
          </w:p>
        </w:tc>
        <w:tc>
          <w:tcPr>
            <w:tcW w:w="597" w:type="pct"/>
            <w:vMerge/>
            <w:hideMark/>
          </w:tcPr>
          <w:p w14:paraId="720E336E" w14:textId="2E5C6038" w:rsidR="00F771FB" w:rsidRPr="00225C91" w:rsidRDefault="00F771FB" w:rsidP="001E40B4">
            <w:pPr>
              <w:pStyle w:val="Tabelle-Text"/>
            </w:pPr>
          </w:p>
        </w:tc>
        <w:tc>
          <w:tcPr>
            <w:tcW w:w="552" w:type="pct"/>
            <w:hideMark/>
          </w:tcPr>
          <w:p w14:paraId="25D7EA70" w14:textId="77777777" w:rsidR="00F771FB" w:rsidRPr="00225C91" w:rsidRDefault="00F771FB" w:rsidP="001E40B4">
            <w:pPr>
              <w:pStyle w:val="Tabelle-Text"/>
            </w:pPr>
            <w:r w:rsidRPr="00225C91">
              <w:t>HIAP2</w:t>
            </w:r>
          </w:p>
        </w:tc>
        <w:tc>
          <w:tcPr>
            <w:tcW w:w="730" w:type="pct"/>
            <w:hideMark/>
          </w:tcPr>
          <w:p w14:paraId="67499EAE" w14:textId="77777777" w:rsidR="00F771FB" w:rsidRPr="00225C91" w:rsidRDefault="00F771FB" w:rsidP="001E40B4">
            <w:pPr>
              <w:pStyle w:val="Tabelle-Text"/>
            </w:pPr>
            <w:r w:rsidRPr="00225C91">
              <w:t xml:space="preserve">Health impact assessment  </w:t>
            </w:r>
          </w:p>
        </w:tc>
        <w:tc>
          <w:tcPr>
            <w:tcW w:w="2943" w:type="pct"/>
            <w:hideMark/>
          </w:tcPr>
          <w:p w14:paraId="0E596ACE" w14:textId="77777777" w:rsidR="00F771FB" w:rsidRPr="00225C91" w:rsidRDefault="00F771FB" w:rsidP="001E40B4">
            <w:pPr>
              <w:pStyle w:val="Tabelle-Text"/>
            </w:pPr>
            <w:r w:rsidRPr="00225C91">
              <w:t>There are processes (e.g. health impact assessments) to assess and consider health impacts during the development of other non-food policies</w:t>
            </w:r>
          </w:p>
        </w:tc>
      </w:tr>
    </w:tbl>
    <w:p w14:paraId="52003193" w14:textId="77777777" w:rsidR="001A1BFC" w:rsidRDefault="001A1BFC" w:rsidP="001E40B4">
      <w:pPr>
        <w:rPr>
          <w:rFonts w:eastAsiaTheme="majorEastAsia"/>
        </w:rPr>
        <w:sectPr w:rsidR="001A1BFC" w:rsidSect="004B4DF2">
          <w:footerReference w:type="default" r:id="rId9"/>
          <w:pgSz w:w="12240" w:h="15840"/>
          <w:pgMar w:top="1077" w:right="1807" w:bottom="1077" w:left="1077" w:header="720" w:footer="720" w:gutter="0"/>
          <w:cols w:space="720"/>
          <w:docGrid w:linePitch="360"/>
        </w:sectPr>
      </w:pPr>
    </w:p>
    <w:p w14:paraId="074652A6" w14:textId="7B9A25D7" w:rsidR="00C161CF" w:rsidRDefault="00C161CF" w:rsidP="00EE5401">
      <w:pPr>
        <w:pStyle w:val="berschrift1"/>
        <w:ind w:left="709"/>
      </w:pPr>
      <w:bookmarkStart w:id="9" w:name="_Toc221783962"/>
      <w:r>
        <w:lastRenderedPageBreak/>
        <w:t>Methodology</w:t>
      </w:r>
      <w:bookmarkEnd w:id="9"/>
    </w:p>
    <w:p w14:paraId="3980B638" w14:textId="395DBBFD" w:rsidR="00EE61A7" w:rsidRDefault="001D56FF" w:rsidP="00EE61A7">
      <w:pPr>
        <w:pStyle w:val="berschrift2"/>
      </w:pPr>
      <w:bookmarkStart w:id="10" w:name="_Toc221783963"/>
      <w:r w:rsidRPr="001D56FF">
        <w:t>Analysis of legal and policy documents</w:t>
      </w:r>
      <w:bookmarkEnd w:id="10"/>
    </w:p>
    <w:p w14:paraId="477E2992" w14:textId="27CCE96E" w:rsidR="00EE61A7" w:rsidRDefault="008B1FCC" w:rsidP="00EE61A7">
      <w:r w:rsidRPr="008B1FCC">
        <w:t xml:space="preserve">We </w:t>
      </w:r>
      <w:r>
        <w:t>conducted</w:t>
      </w:r>
      <w:r w:rsidRPr="008B1FCC">
        <w:t xml:space="preserve"> a structured document search across the search engines and websites listed below</w:t>
      </w:r>
      <w:r>
        <w:t xml:space="preserve"> (</w:t>
      </w:r>
      <w:r>
        <w:fldChar w:fldCharType="begin"/>
      </w:r>
      <w:r>
        <w:instrText xml:space="preserve"> REF _Ref193365252 \h </w:instrText>
      </w:r>
      <w:r>
        <w:fldChar w:fldCharType="separate"/>
      </w:r>
      <w:r w:rsidRPr="00225C91">
        <w:t xml:space="preserve">Table </w:t>
      </w:r>
      <w:r>
        <w:rPr>
          <w:noProof/>
        </w:rPr>
        <w:t>3</w:t>
      </w:r>
      <w:r>
        <w:fldChar w:fldCharType="end"/>
      </w:r>
      <w:r>
        <w:t>)</w:t>
      </w:r>
      <w:r w:rsidRPr="008B1FCC">
        <w:t>. Search terms were applied in both broad searches and targeted Food-EPI domain- and indicator-specific searches.</w:t>
      </w:r>
      <w:r>
        <w:t xml:space="preserve"> </w:t>
      </w:r>
      <w:r w:rsidRPr="008B1FCC">
        <w:t>The source types eligible for inclusion are described in</w:t>
      </w:r>
      <w:r>
        <w:t xml:space="preserve"> </w:t>
      </w:r>
      <w:r w:rsidR="00EE61A7">
        <w:fldChar w:fldCharType="begin"/>
      </w:r>
      <w:r w:rsidR="00EE61A7">
        <w:instrText xml:space="preserve"> REF _Ref220834175 \h </w:instrText>
      </w:r>
      <w:r w:rsidR="00EE61A7">
        <w:fldChar w:fldCharType="separate"/>
      </w:r>
      <w:r w:rsidR="00EE61A7">
        <w:t xml:space="preserve">table </w:t>
      </w:r>
      <w:r w:rsidR="00EE61A7">
        <w:rPr>
          <w:noProof/>
        </w:rPr>
        <w:t>4</w:t>
      </w:r>
      <w:r w:rsidR="00EE61A7">
        <w:fldChar w:fldCharType="end"/>
      </w:r>
      <w:r w:rsidR="00EE61A7">
        <w:t xml:space="preserve">. </w:t>
      </w:r>
    </w:p>
    <w:p w14:paraId="179F9855" w14:textId="70102572" w:rsidR="008C439F" w:rsidRDefault="008C439F" w:rsidP="001E40B4">
      <w:pPr>
        <w:pStyle w:val="Beschriftung"/>
      </w:pPr>
      <w:bookmarkStart w:id="11" w:name="_Ref193365252"/>
      <w:bookmarkStart w:id="12" w:name="_Toc222325227"/>
      <w:r w:rsidRPr="00225C91">
        <w:t xml:space="preserve">Table </w:t>
      </w:r>
      <w:r w:rsidR="00672F33">
        <w:fldChar w:fldCharType="begin"/>
      </w:r>
      <w:r w:rsidR="00672F33">
        <w:instrText xml:space="preserve"> SEQ Table \* ARABIC </w:instrText>
      </w:r>
      <w:r w:rsidR="00672F33">
        <w:fldChar w:fldCharType="separate"/>
      </w:r>
      <w:r w:rsidR="00901762">
        <w:rPr>
          <w:noProof/>
        </w:rPr>
        <w:t>3</w:t>
      </w:r>
      <w:r w:rsidR="00672F33">
        <w:fldChar w:fldCharType="end"/>
      </w:r>
      <w:bookmarkEnd w:id="11"/>
      <w:r w:rsidRPr="00225C91">
        <w:t xml:space="preserve"> </w:t>
      </w:r>
      <w:r w:rsidR="001A1BFC">
        <w:t>Search platforms and search terms</w:t>
      </w:r>
      <w:bookmarkEnd w:id="12"/>
    </w:p>
    <w:tbl>
      <w:tblPr>
        <w:tblStyle w:val="TabellemithellemGitternetz"/>
        <w:tblW w:w="0" w:type="auto"/>
        <w:tblLook w:val="04A0" w:firstRow="1" w:lastRow="0" w:firstColumn="1" w:lastColumn="0" w:noHBand="0" w:noVBand="1"/>
      </w:tblPr>
      <w:tblGrid>
        <w:gridCol w:w="3116"/>
        <w:gridCol w:w="5100"/>
        <w:gridCol w:w="5460"/>
      </w:tblGrid>
      <w:tr w:rsidR="001D56FF" w14:paraId="125E2C8E" w14:textId="77777777" w:rsidTr="00ED3E00">
        <w:tc>
          <w:tcPr>
            <w:tcW w:w="3119" w:type="dxa"/>
          </w:tcPr>
          <w:p w14:paraId="3FAACD76" w14:textId="77777777" w:rsidR="001D56FF" w:rsidRPr="001D56FF" w:rsidRDefault="001D56FF" w:rsidP="001D56FF">
            <w:pPr>
              <w:pStyle w:val="Tabelle-Text"/>
            </w:pPr>
          </w:p>
        </w:tc>
        <w:tc>
          <w:tcPr>
            <w:tcW w:w="5103" w:type="dxa"/>
          </w:tcPr>
          <w:p w14:paraId="16990202" w14:textId="5FED08E3" w:rsidR="001D56FF" w:rsidRPr="00ED3E00" w:rsidRDefault="001D56FF" w:rsidP="001D56FF">
            <w:pPr>
              <w:pStyle w:val="Tabelle-Text"/>
              <w:rPr>
                <w:b/>
                <w:bCs w:val="0"/>
              </w:rPr>
            </w:pPr>
            <w:r w:rsidRPr="00ED3E00">
              <w:rPr>
                <w:b/>
                <w:bCs w:val="0"/>
              </w:rPr>
              <w:t>Search engines and key websites</w:t>
            </w:r>
          </w:p>
        </w:tc>
        <w:tc>
          <w:tcPr>
            <w:tcW w:w="5464" w:type="dxa"/>
          </w:tcPr>
          <w:p w14:paraId="06EECDEA" w14:textId="0AC730C0" w:rsidR="001D56FF" w:rsidRPr="00ED3E00" w:rsidRDefault="001D56FF" w:rsidP="001D56FF">
            <w:pPr>
              <w:pStyle w:val="Tabelle-Text"/>
              <w:rPr>
                <w:b/>
                <w:bCs w:val="0"/>
              </w:rPr>
            </w:pPr>
            <w:r w:rsidRPr="00ED3E00">
              <w:rPr>
                <w:b/>
                <w:bCs w:val="0"/>
              </w:rPr>
              <w:t>Search terms</w:t>
            </w:r>
          </w:p>
        </w:tc>
      </w:tr>
      <w:tr w:rsidR="001D56FF" w14:paraId="3D83438A" w14:textId="77777777" w:rsidTr="00ED3E00">
        <w:tc>
          <w:tcPr>
            <w:tcW w:w="3119" w:type="dxa"/>
          </w:tcPr>
          <w:p w14:paraId="41DFECF2" w14:textId="0219A9F3" w:rsidR="001D56FF" w:rsidRPr="00ED3E00" w:rsidRDefault="001D56FF" w:rsidP="001D56FF">
            <w:pPr>
              <w:pStyle w:val="Tabelle-Text"/>
              <w:rPr>
                <w:b/>
                <w:bCs w:val="0"/>
              </w:rPr>
            </w:pPr>
            <w:r w:rsidRPr="00ED3E00">
              <w:rPr>
                <w:b/>
                <w:bCs w:val="0"/>
              </w:rPr>
              <w:t>(1) General</w:t>
            </w:r>
          </w:p>
        </w:tc>
        <w:tc>
          <w:tcPr>
            <w:tcW w:w="5103" w:type="dxa"/>
            <w:vMerge w:val="restart"/>
          </w:tcPr>
          <w:p w14:paraId="4C811066" w14:textId="77777777" w:rsidR="001D56FF" w:rsidRPr="001D56FF" w:rsidRDefault="001D56FF" w:rsidP="001D56FF">
            <w:pPr>
              <w:pStyle w:val="Tabelle-Text"/>
              <w:rPr>
                <w:b/>
                <w:bCs w:val="0"/>
              </w:rPr>
            </w:pPr>
            <w:r w:rsidRPr="001D56FF">
              <w:rPr>
                <w:b/>
                <w:bCs w:val="0"/>
              </w:rPr>
              <w:t>General search engines</w:t>
            </w:r>
          </w:p>
          <w:p w14:paraId="0E5EFB70" w14:textId="77777777" w:rsidR="001D56FF" w:rsidRPr="00225C91" w:rsidRDefault="001D56FF" w:rsidP="001D56FF">
            <w:pPr>
              <w:pStyle w:val="Tabelle-Text"/>
              <w:numPr>
                <w:ilvl w:val="0"/>
                <w:numId w:val="89"/>
              </w:numPr>
            </w:pPr>
            <w:r w:rsidRPr="00225C91">
              <w:t>Google</w:t>
            </w:r>
          </w:p>
          <w:p w14:paraId="6CE0BE1E" w14:textId="77777777" w:rsidR="001D56FF" w:rsidRPr="00225C91" w:rsidRDefault="001D56FF" w:rsidP="001D56FF">
            <w:pPr>
              <w:pStyle w:val="Tabelle-Text"/>
              <w:numPr>
                <w:ilvl w:val="0"/>
                <w:numId w:val="89"/>
              </w:numPr>
            </w:pPr>
            <w:r w:rsidRPr="00225C91">
              <w:t>Google Scholar</w:t>
            </w:r>
          </w:p>
          <w:p w14:paraId="04EA7B37" w14:textId="77777777" w:rsidR="001D56FF" w:rsidRPr="00225C91" w:rsidRDefault="001D56FF" w:rsidP="001D56FF">
            <w:pPr>
              <w:pStyle w:val="Tabelle-Text"/>
              <w:numPr>
                <w:ilvl w:val="0"/>
                <w:numId w:val="89"/>
              </w:numPr>
            </w:pPr>
            <w:r w:rsidRPr="00225C91">
              <w:t>ScienceDirect</w:t>
            </w:r>
          </w:p>
          <w:p w14:paraId="32859944" w14:textId="77777777" w:rsidR="001D56FF" w:rsidRPr="001D56FF" w:rsidRDefault="001D56FF" w:rsidP="001D56FF">
            <w:pPr>
              <w:pStyle w:val="Tabelle-Text"/>
              <w:rPr>
                <w:b/>
                <w:bCs w:val="0"/>
              </w:rPr>
            </w:pPr>
            <w:r w:rsidRPr="001D56FF">
              <w:rPr>
                <w:b/>
                <w:bCs w:val="0"/>
              </w:rPr>
              <w:t>Legal search engines for Germany:</w:t>
            </w:r>
          </w:p>
          <w:p w14:paraId="4A558697" w14:textId="77777777" w:rsidR="001D56FF" w:rsidRPr="00225C91" w:rsidRDefault="001D56FF" w:rsidP="001D56FF">
            <w:pPr>
              <w:pStyle w:val="Tabelle-Text"/>
              <w:numPr>
                <w:ilvl w:val="0"/>
                <w:numId w:val="90"/>
              </w:numPr>
            </w:pPr>
            <w:hyperlink r:id="rId10" w:history="1">
              <w:r w:rsidRPr="00225C91">
                <w:t>https://www.gesetze-im-internet.de</w:t>
              </w:r>
            </w:hyperlink>
            <w:r w:rsidRPr="00225C91">
              <w:t xml:space="preserve">   </w:t>
            </w:r>
          </w:p>
          <w:p w14:paraId="4E19343C" w14:textId="77777777" w:rsidR="001D56FF" w:rsidRDefault="001D56FF" w:rsidP="001D56FF">
            <w:pPr>
              <w:pStyle w:val="Tabelle-Text"/>
              <w:numPr>
                <w:ilvl w:val="0"/>
                <w:numId w:val="90"/>
              </w:numPr>
            </w:pPr>
            <w:hyperlink r:id="rId11" w:history="1">
              <w:r w:rsidRPr="00225C91">
                <w:t>https://dejure.org/</w:t>
              </w:r>
            </w:hyperlink>
            <w:r w:rsidRPr="00225C91">
              <w:t xml:space="preserve"> </w:t>
            </w:r>
          </w:p>
          <w:p w14:paraId="37F5B26C" w14:textId="77777777" w:rsidR="001D56FF" w:rsidRPr="001D56FF" w:rsidRDefault="001D56FF" w:rsidP="001D56FF">
            <w:pPr>
              <w:pStyle w:val="Tabelle-Text"/>
              <w:rPr>
                <w:b/>
                <w:bCs w:val="0"/>
              </w:rPr>
            </w:pPr>
            <w:r w:rsidRPr="001D56FF">
              <w:rPr>
                <w:b/>
                <w:bCs w:val="0"/>
              </w:rPr>
              <w:t>Government websites</w:t>
            </w:r>
          </w:p>
          <w:p w14:paraId="67CA9DCB" w14:textId="77777777" w:rsidR="001D56FF" w:rsidRPr="00225C91" w:rsidRDefault="001D56FF" w:rsidP="001D56FF">
            <w:pPr>
              <w:pStyle w:val="Tabelle-Text"/>
              <w:numPr>
                <w:ilvl w:val="0"/>
                <w:numId w:val="91"/>
              </w:numPr>
            </w:pPr>
            <w:r w:rsidRPr="00225C91">
              <w:t>European commission</w:t>
            </w:r>
          </w:p>
          <w:p w14:paraId="6314564D" w14:textId="77777777" w:rsidR="001D56FF" w:rsidRPr="00225C91" w:rsidRDefault="001D56FF" w:rsidP="001D56FF">
            <w:pPr>
              <w:pStyle w:val="Tabelle-Text"/>
              <w:numPr>
                <w:ilvl w:val="0"/>
                <w:numId w:val="91"/>
              </w:numPr>
            </w:pPr>
            <w:r w:rsidRPr="00225C91">
              <w:t>Parliaments (EU, federal and state parliaments)</w:t>
            </w:r>
          </w:p>
          <w:p w14:paraId="1E3FB4D9" w14:textId="77777777" w:rsidR="001D56FF" w:rsidRPr="00225C91" w:rsidRDefault="001D56FF" w:rsidP="001D56FF">
            <w:pPr>
              <w:pStyle w:val="Tabelle-Text"/>
              <w:numPr>
                <w:ilvl w:val="0"/>
                <w:numId w:val="91"/>
              </w:numPr>
            </w:pPr>
            <w:r w:rsidRPr="00225C91">
              <w:t>Federal and state governments</w:t>
            </w:r>
          </w:p>
          <w:p w14:paraId="4691E3F1" w14:textId="0D099964" w:rsidR="001D56FF" w:rsidRDefault="001D56FF" w:rsidP="001D56FF">
            <w:pPr>
              <w:pStyle w:val="Tabelle-Text"/>
              <w:numPr>
                <w:ilvl w:val="0"/>
                <w:numId w:val="91"/>
              </w:numPr>
            </w:pPr>
            <w:r w:rsidRPr="00225C91">
              <w:t>Federal and state ministries</w:t>
            </w:r>
          </w:p>
        </w:tc>
        <w:tc>
          <w:tcPr>
            <w:tcW w:w="5464" w:type="dxa"/>
          </w:tcPr>
          <w:p w14:paraId="11242021" w14:textId="77777777" w:rsidR="001D56FF" w:rsidRPr="00225C91" w:rsidRDefault="001D56FF" w:rsidP="001D56FF">
            <w:pPr>
              <w:pStyle w:val="Tabelle-Text"/>
              <w:numPr>
                <w:ilvl w:val="0"/>
                <w:numId w:val="91"/>
              </w:numPr>
            </w:pPr>
            <w:r w:rsidRPr="00225C91">
              <w:t xml:space="preserve">Competence </w:t>
            </w:r>
          </w:p>
          <w:p w14:paraId="31F15CB1" w14:textId="77777777" w:rsidR="001D56FF" w:rsidRPr="00225C91" w:rsidRDefault="001D56FF" w:rsidP="001D56FF">
            <w:pPr>
              <w:pStyle w:val="Tabelle-Text"/>
              <w:numPr>
                <w:ilvl w:val="0"/>
                <w:numId w:val="91"/>
              </w:numPr>
            </w:pPr>
            <w:r w:rsidRPr="00225C91">
              <w:t xml:space="preserve">Legislative power </w:t>
            </w:r>
          </w:p>
          <w:p w14:paraId="137DCFD0" w14:textId="77777777" w:rsidR="001D56FF" w:rsidRPr="00225C91" w:rsidRDefault="001D56FF" w:rsidP="001D56FF">
            <w:pPr>
              <w:pStyle w:val="Tabelle-Text"/>
              <w:numPr>
                <w:ilvl w:val="0"/>
                <w:numId w:val="91"/>
              </w:numPr>
            </w:pPr>
            <w:r w:rsidRPr="00225C91">
              <w:t>EU competence / legislative power</w:t>
            </w:r>
          </w:p>
          <w:p w14:paraId="5C9A2C69" w14:textId="77777777" w:rsidR="001D56FF" w:rsidRPr="00225C91" w:rsidRDefault="001D56FF" w:rsidP="001D56FF">
            <w:pPr>
              <w:pStyle w:val="Tabelle-Text"/>
              <w:numPr>
                <w:ilvl w:val="0"/>
                <w:numId w:val="91"/>
              </w:numPr>
            </w:pPr>
            <w:r w:rsidRPr="00225C91">
              <w:t>Federal competence / legislative power</w:t>
            </w:r>
          </w:p>
          <w:p w14:paraId="65E28132" w14:textId="21A6ADC9" w:rsidR="001D56FF" w:rsidRDefault="001D56FF" w:rsidP="001D56FF">
            <w:pPr>
              <w:pStyle w:val="Tabelle-Text"/>
              <w:numPr>
                <w:ilvl w:val="0"/>
                <w:numId w:val="91"/>
              </w:numPr>
            </w:pPr>
            <w:r w:rsidRPr="00225C91">
              <w:t>State competence / legislative power</w:t>
            </w:r>
          </w:p>
        </w:tc>
      </w:tr>
      <w:tr w:rsidR="001D56FF" w14:paraId="614C10F8" w14:textId="77777777" w:rsidTr="00ED3E00">
        <w:tc>
          <w:tcPr>
            <w:tcW w:w="3119" w:type="dxa"/>
          </w:tcPr>
          <w:p w14:paraId="6FC2DFF1" w14:textId="543DE685" w:rsidR="001D56FF" w:rsidRPr="00ED3E00" w:rsidRDefault="001D56FF" w:rsidP="001D56FF">
            <w:pPr>
              <w:pStyle w:val="Tabelle-Text"/>
              <w:rPr>
                <w:b/>
                <w:bCs w:val="0"/>
              </w:rPr>
            </w:pPr>
            <w:r w:rsidRPr="00ED3E00">
              <w:rPr>
                <w:b/>
                <w:bCs w:val="0"/>
              </w:rPr>
              <w:t>(2) Food-EPI domain and indicator specific</w:t>
            </w:r>
          </w:p>
        </w:tc>
        <w:tc>
          <w:tcPr>
            <w:tcW w:w="5103" w:type="dxa"/>
            <w:vMerge/>
          </w:tcPr>
          <w:p w14:paraId="22162673" w14:textId="4C523F95" w:rsidR="001D56FF" w:rsidRDefault="001D56FF" w:rsidP="001D56FF">
            <w:pPr>
              <w:pStyle w:val="Tabelle-Text"/>
            </w:pPr>
          </w:p>
        </w:tc>
        <w:tc>
          <w:tcPr>
            <w:tcW w:w="5464" w:type="dxa"/>
          </w:tcPr>
          <w:p w14:paraId="7CE8CFDF" w14:textId="77777777" w:rsidR="001D56FF" w:rsidRPr="00225C91" w:rsidRDefault="001D56FF" w:rsidP="001D56FF">
            <w:pPr>
              <w:pStyle w:val="Tabelle-Text"/>
            </w:pPr>
            <w:r w:rsidRPr="00225C91">
              <w:t>Always combined: One food-EPI domain / indicator (e.g., food composition) + one or more of the following terms:</w:t>
            </w:r>
          </w:p>
          <w:p w14:paraId="0A7B9FCB" w14:textId="77777777" w:rsidR="001D56FF" w:rsidRPr="00225C91" w:rsidRDefault="001D56FF" w:rsidP="001D56FF">
            <w:pPr>
              <w:pStyle w:val="Tabelle-Text"/>
              <w:numPr>
                <w:ilvl w:val="0"/>
                <w:numId w:val="92"/>
              </w:numPr>
            </w:pPr>
            <w:r w:rsidRPr="00225C91">
              <w:t xml:space="preserve">EU law / EU regulation / EU directive </w:t>
            </w:r>
          </w:p>
          <w:p w14:paraId="43ADD2F0" w14:textId="77777777" w:rsidR="001D56FF" w:rsidRPr="00225C91" w:rsidRDefault="001D56FF" w:rsidP="001D56FF">
            <w:pPr>
              <w:pStyle w:val="Tabelle-Text"/>
              <w:numPr>
                <w:ilvl w:val="0"/>
                <w:numId w:val="92"/>
              </w:numPr>
            </w:pPr>
            <w:r w:rsidRPr="00225C91">
              <w:t>State law (Landesgesetz)</w:t>
            </w:r>
          </w:p>
          <w:p w14:paraId="7E8210C2" w14:textId="77777777" w:rsidR="001D56FF" w:rsidRPr="00225C91" w:rsidRDefault="001D56FF" w:rsidP="001D56FF">
            <w:pPr>
              <w:pStyle w:val="Tabelle-Text"/>
              <w:numPr>
                <w:ilvl w:val="0"/>
                <w:numId w:val="92"/>
              </w:numPr>
            </w:pPr>
            <w:r w:rsidRPr="00225C91">
              <w:t>Federal law (Bundesgesetz)</w:t>
            </w:r>
          </w:p>
          <w:p w14:paraId="5EC9DEEE" w14:textId="77777777" w:rsidR="001D56FF" w:rsidRPr="00225C91" w:rsidRDefault="001D56FF" w:rsidP="001D56FF">
            <w:pPr>
              <w:pStyle w:val="Tabelle-Text"/>
              <w:numPr>
                <w:ilvl w:val="0"/>
                <w:numId w:val="92"/>
              </w:numPr>
            </w:pPr>
            <w:r w:rsidRPr="00225C91">
              <w:t>Legislation / regulation / initiative / measure / action</w:t>
            </w:r>
          </w:p>
          <w:p w14:paraId="46CDD408" w14:textId="017A456E" w:rsidR="001D56FF" w:rsidRDefault="001D56FF" w:rsidP="001D56FF">
            <w:pPr>
              <w:pStyle w:val="Tabelle-Text"/>
              <w:numPr>
                <w:ilvl w:val="0"/>
                <w:numId w:val="92"/>
              </w:numPr>
            </w:pPr>
            <w:r w:rsidRPr="00225C91">
              <w:t xml:space="preserve">State name </w:t>
            </w:r>
            <w:r w:rsidRPr="00225C91">
              <w:rPr>
                <w:lang w:val="de-DE"/>
              </w:rPr>
              <w:t xml:space="preserve"> </w:t>
            </w:r>
          </w:p>
        </w:tc>
      </w:tr>
    </w:tbl>
    <w:p w14:paraId="634178F0" w14:textId="3F17AD1C" w:rsidR="001A1BFC" w:rsidRDefault="001A1BFC" w:rsidP="001E40B4">
      <w:pPr>
        <w:pStyle w:val="Beschriftung"/>
      </w:pPr>
      <w:bookmarkStart w:id="13" w:name="_Ref220834175"/>
      <w:bookmarkStart w:id="14" w:name="_Toc222325228"/>
      <w:r>
        <w:lastRenderedPageBreak/>
        <w:t xml:space="preserve">Table </w:t>
      </w:r>
      <w:r>
        <w:fldChar w:fldCharType="begin"/>
      </w:r>
      <w:r>
        <w:instrText xml:space="preserve"> SEQ Table \* ARABIC </w:instrText>
      </w:r>
      <w:r>
        <w:fldChar w:fldCharType="separate"/>
      </w:r>
      <w:r w:rsidR="00901762">
        <w:rPr>
          <w:noProof/>
        </w:rPr>
        <w:t>4</w:t>
      </w:r>
      <w:r>
        <w:fldChar w:fldCharType="end"/>
      </w:r>
      <w:bookmarkEnd w:id="13"/>
      <w:r>
        <w:t xml:space="preserve"> </w:t>
      </w:r>
      <w:r w:rsidR="00E34085">
        <w:t>Types of</w:t>
      </w:r>
      <w:r w:rsidR="00521FDF">
        <w:t xml:space="preserve"> sourc</w:t>
      </w:r>
      <w:r w:rsidR="00E34085">
        <w:t>es: D</w:t>
      </w:r>
      <w:r>
        <w:t>efinitions</w:t>
      </w:r>
      <w:r w:rsidR="00521FDF">
        <w:t>, examples and relevance / interpretation</w:t>
      </w:r>
      <w:bookmarkEnd w:id="14"/>
    </w:p>
    <w:tbl>
      <w:tblPr>
        <w:tblStyle w:val="TabellemithellemGitternetz"/>
        <w:tblW w:w="0" w:type="auto"/>
        <w:tblLook w:val="04A0" w:firstRow="1" w:lastRow="0" w:firstColumn="1" w:lastColumn="0" w:noHBand="0" w:noVBand="1"/>
      </w:tblPr>
      <w:tblGrid>
        <w:gridCol w:w="2426"/>
        <w:gridCol w:w="3376"/>
        <w:gridCol w:w="3691"/>
        <w:gridCol w:w="4183"/>
      </w:tblGrid>
      <w:tr w:rsidR="00521FDF" w:rsidRPr="00521FDF" w14:paraId="668D07C6" w14:textId="77777777" w:rsidTr="00EE61A7">
        <w:trPr>
          <w:trHeight w:val="20"/>
          <w:tblHeader/>
        </w:trPr>
        <w:tc>
          <w:tcPr>
            <w:tcW w:w="0" w:type="auto"/>
          </w:tcPr>
          <w:p w14:paraId="1CB0E200" w14:textId="7C846C8E" w:rsidR="001A1BFC" w:rsidRPr="00521FDF" w:rsidRDefault="001A1BFC" w:rsidP="00EE61A7">
            <w:pPr>
              <w:pStyle w:val="Tabelle-berschrift"/>
            </w:pPr>
            <w:r w:rsidRPr="00521FDF">
              <w:t>Category</w:t>
            </w:r>
          </w:p>
        </w:tc>
        <w:tc>
          <w:tcPr>
            <w:tcW w:w="0" w:type="auto"/>
            <w:hideMark/>
          </w:tcPr>
          <w:p w14:paraId="48DAE860" w14:textId="77777777" w:rsidR="001A1BFC" w:rsidRPr="00521FDF" w:rsidRDefault="001A1BFC" w:rsidP="00EE61A7">
            <w:pPr>
              <w:pStyle w:val="Tabelle-berschrift"/>
            </w:pPr>
            <w:r w:rsidRPr="00521FDF">
              <w:t>Definition</w:t>
            </w:r>
          </w:p>
        </w:tc>
        <w:tc>
          <w:tcPr>
            <w:tcW w:w="3691" w:type="dxa"/>
            <w:hideMark/>
          </w:tcPr>
          <w:p w14:paraId="11118491" w14:textId="75C74277" w:rsidR="001A1BFC" w:rsidRPr="00521FDF" w:rsidRDefault="001A1BFC" w:rsidP="00EE61A7">
            <w:pPr>
              <w:pStyle w:val="Tabelle-berschrift"/>
            </w:pPr>
            <w:r w:rsidRPr="00521FDF">
              <w:t>Examples</w:t>
            </w:r>
          </w:p>
        </w:tc>
        <w:tc>
          <w:tcPr>
            <w:tcW w:w="4183" w:type="dxa"/>
            <w:noWrap/>
            <w:hideMark/>
          </w:tcPr>
          <w:p w14:paraId="68177269" w14:textId="77777777" w:rsidR="001A1BFC" w:rsidRPr="00521FDF" w:rsidRDefault="001A1BFC" w:rsidP="00EE61A7">
            <w:pPr>
              <w:pStyle w:val="Tabelle-berschrift"/>
            </w:pPr>
            <w:r w:rsidRPr="00521FDF">
              <w:t>Relevance / Interpretation</w:t>
            </w:r>
          </w:p>
        </w:tc>
      </w:tr>
      <w:tr w:rsidR="001A1BFC" w:rsidRPr="00521FDF" w14:paraId="05EC2553" w14:textId="77777777" w:rsidTr="00EE61A7">
        <w:trPr>
          <w:trHeight w:val="20"/>
        </w:trPr>
        <w:tc>
          <w:tcPr>
            <w:tcW w:w="0" w:type="auto"/>
            <w:gridSpan w:val="4"/>
            <w:shd w:val="clear" w:color="auto" w:fill="D9D9D9" w:themeFill="background1" w:themeFillShade="D9"/>
          </w:tcPr>
          <w:p w14:paraId="3B7801DC" w14:textId="519F32A1" w:rsidR="001A1BFC" w:rsidRPr="00521FDF" w:rsidRDefault="001A1BFC" w:rsidP="00EE61A7">
            <w:pPr>
              <w:pStyle w:val="Tabelle-berschrift"/>
            </w:pPr>
            <w:r w:rsidRPr="00521FDF">
              <w:t>Legal sources</w:t>
            </w:r>
          </w:p>
        </w:tc>
      </w:tr>
      <w:tr w:rsidR="00521FDF" w:rsidRPr="00521FDF" w14:paraId="1EDE3115" w14:textId="77777777" w:rsidTr="00EE61A7">
        <w:trPr>
          <w:trHeight w:val="20"/>
        </w:trPr>
        <w:tc>
          <w:tcPr>
            <w:tcW w:w="0" w:type="auto"/>
            <w:hideMark/>
          </w:tcPr>
          <w:p w14:paraId="229FB09D" w14:textId="77777777" w:rsidR="001A1BFC" w:rsidRPr="00521FDF" w:rsidRDefault="001A1BFC" w:rsidP="00EE61A7">
            <w:pPr>
              <w:pStyle w:val="Tabelle-berschrift"/>
            </w:pPr>
            <w:r w:rsidRPr="00521FDF">
              <w:t>Binding legal instruments</w:t>
            </w:r>
          </w:p>
        </w:tc>
        <w:tc>
          <w:tcPr>
            <w:tcW w:w="0" w:type="auto"/>
            <w:hideMark/>
          </w:tcPr>
          <w:p w14:paraId="63472DCE" w14:textId="77777777" w:rsidR="001A1BFC" w:rsidRPr="00521FDF" w:rsidRDefault="001A1BFC" w:rsidP="001E40B4">
            <w:pPr>
              <w:pStyle w:val="Tabelle-Text"/>
            </w:pPr>
            <w:r w:rsidRPr="00521FDF">
              <w:t>Legally binding instruments establishing rights, obligations and powers</w:t>
            </w:r>
          </w:p>
        </w:tc>
        <w:tc>
          <w:tcPr>
            <w:tcW w:w="3691" w:type="dxa"/>
            <w:hideMark/>
          </w:tcPr>
          <w:p w14:paraId="3CB52F92" w14:textId="2A80FE7B" w:rsidR="001A1BFC" w:rsidRPr="00521FDF" w:rsidRDefault="001A1BFC" w:rsidP="001E40B4">
            <w:pPr>
              <w:pStyle w:val="Tabelle-Text"/>
            </w:pPr>
            <w:r w:rsidRPr="00521FDF">
              <w:t xml:space="preserve">Treaties, constitutions, Basic Law, statues, acts, regulations, directives, binding executive orders, ordinances, rules </w:t>
            </w:r>
          </w:p>
        </w:tc>
        <w:tc>
          <w:tcPr>
            <w:tcW w:w="4183" w:type="dxa"/>
            <w:hideMark/>
          </w:tcPr>
          <w:p w14:paraId="0DEED7EC" w14:textId="77777777" w:rsidR="001A1BFC" w:rsidRPr="00521FDF" w:rsidRDefault="001A1BFC" w:rsidP="001E40B4">
            <w:pPr>
              <w:pStyle w:val="Tabelle-Text"/>
            </w:pPr>
            <w:r w:rsidRPr="00521FDF">
              <w:t>Primary sources defining the legal basis, distribution of legislative powers and competences</w:t>
            </w:r>
          </w:p>
        </w:tc>
      </w:tr>
      <w:tr w:rsidR="00521FDF" w:rsidRPr="00521FDF" w14:paraId="41C95FD6" w14:textId="77777777" w:rsidTr="00EE61A7">
        <w:trPr>
          <w:trHeight w:val="20"/>
        </w:trPr>
        <w:tc>
          <w:tcPr>
            <w:tcW w:w="0" w:type="auto"/>
            <w:hideMark/>
          </w:tcPr>
          <w:p w14:paraId="51F0A5D5" w14:textId="77777777" w:rsidR="001A1BFC" w:rsidRPr="00521FDF" w:rsidRDefault="001A1BFC" w:rsidP="00EE61A7">
            <w:pPr>
              <w:pStyle w:val="Tabelle-berschrift"/>
            </w:pPr>
            <w:r w:rsidRPr="00521FDF">
              <w:t>Judicial decisions</w:t>
            </w:r>
          </w:p>
        </w:tc>
        <w:tc>
          <w:tcPr>
            <w:tcW w:w="0" w:type="auto"/>
            <w:hideMark/>
          </w:tcPr>
          <w:p w14:paraId="1816CFC5" w14:textId="77777777" w:rsidR="001A1BFC" w:rsidRPr="00521FDF" w:rsidRDefault="001A1BFC" w:rsidP="001E40B4">
            <w:pPr>
              <w:pStyle w:val="Tabelle-Text"/>
            </w:pPr>
            <w:r w:rsidRPr="00521FDF">
              <w:t>Decisions issued by courts that interpret or apply the law</w:t>
            </w:r>
          </w:p>
        </w:tc>
        <w:tc>
          <w:tcPr>
            <w:tcW w:w="3691" w:type="dxa"/>
            <w:hideMark/>
          </w:tcPr>
          <w:p w14:paraId="3E2D87EA" w14:textId="5013FFC7" w:rsidR="001A1BFC" w:rsidRPr="00521FDF" w:rsidRDefault="001A1BFC" w:rsidP="001E40B4">
            <w:pPr>
              <w:pStyle w:val="Tabelle-Text"/>
            </w:pPr>
            <w:r w:rsidRPr="00521FDF">
              <w:t>Constitutional court rulings (Bundesverfassungsgericht), admin</w:t>
            </w:r>
            <w:r w:rsidR="00EE61A7">
              <w:t>-</w:t>
            </w:r>
            <w:r w:rsidRPr="00521FDF">
              <w:t xml:space="preserve">istrative court decisions, decisions by the </w:t>
            </w:r>
            <w:r w:rsidR="00A86F7A" w:rsidRPr="00521FDF">
              <w:t>European Court of Justice (EJC)</w:t>
            </w:r>
          </w:p>
        </w:tc>
        <w:tc>
          <w:tcPr>
            <w:tcW w:w="4183" w:type="dxa"/>
            <w:hideMark/>
          </w:tcPr>
          <w:p w14:paraId="73C4038E" w14:textId="3110F598" w:rsidR="001A1BFC" w:rsidRPr="00521FDF" w:rsidRDefault="001A1BFC" w:rsidP="001E40B4">
            <w:pPr>
              <w:pStyle w:val="Tabelle-Text"/>
            </w:pPr>
            <w:r w:rsidRPr="00521FDF">
              <w:t>Primary sources interpreting and delineating legislative powers and competences</w:t>
            </w:r>
          </w:p>
        </w:tc>
      </w:tr>
      <w:tr w:rsidR="00521FDF" w:rsidRPr="00521FDF" w14:paraId="38A57F0E" w14:textId="77777777" w:rsidTr="00EE61A7">
        <w:trPr>
          <w:trHeight w:val="20"/>
        </w:trPr>
        <w:tc>
          <w:tcPr>
            <w:tcW w:w="0" w:type="auto"/>
            <w:hideMark/>
          </w:tcPr>
          <w:p w14:paraId="261AB247" w14:textId="77777777" w:rsidR="001A1BFC" w:rsidRPr="00521FDF" w:rsidRDefault="001A1BFC" w:rsidP="00EE61A7">
            <w:pPr>
              <w:pStyle w:val="Tabelle-berschrift"/>
            </w:pPr>
            <w:r w:rsidRPr="00521FDF">
              <w:t>Legal assessments</w:t>
            </w:r>
          </w:p>
        </w:tc>
        <w:tc>
          <w:tcPr>
            <w:tcW w:w="0" w:type="auto"/>
            <w:hideMark/>
          </w:tcPr>
          <w:p w14:paraId="69360EFA" w14:textId="4FE8B4F0" w:rsidR="001A1BFC" w:rsidRPr="00521FDF" w:rsidRDefault="001A1BFC" w:rsidP="001E40B4">
            <w:pPr>
              <w:pStyle w:val="Tabelle-Text"/>
            </w:pPr>
            <w:r w:rsidRPr="00521FDF">
              <w:t>Legal assessments produced or mandated by parliamentary research services, legislative offices or government</w:t>
            </w:r>
          </w:p>
        </w:tc>
        <w:tc>
          <w:tcPr>
            <w:tcW w:w="3691" w:type="dxa"/>
            <w:hideMark/>
          </w:tcPr>
          <w:p w14:paraId="59E98E12" w14:textId="40E0B292" w:rsidR="001A1BFC" w:rsidRPr="005C3655" w:rsidRDefault="001A1BFC" w:rsidP="001E40B4">
            <w:pPr>
              <w:pStyle w:val="Tabelle-Text"/>
              <w:rPr>
                <w:lang w:val="de-DE"/>
              </w:rPr>
            </w:pPr>
            <w:r w:rsidRPr="005C3655">
              <w:rPr>
                <w:lang w:val="de-DE"/>
              </w:rPr>
              <w:t xml:space="preserve">Reports </w:t>
            </w:r>
            <w:proofErr w:type="spellStart"/>
            <w:r w:rsidRPr="005C3655">
              <w:rPr>
                <w:lang w:val="de-DE"/>
              </w:rPr>
              <w:t>of</w:t>
            </w:r>
            <w:proofErr w:type="spellEnd"/>
            <w:r w:rsidRPr="005C3655">
              <w:rPr>
                <w:lang w:val="de-DE"/>
              </w:rPr>
              <w:t xml:space="preserve"> </w:t>
            </w:r>
            <w:proofErr w:type="spellStart"/>
            <w:r w:rsidRPr="005C3655">
              <w:rPr>
                <w:lang w:val="de-DE"/>
              </w:rPr>
              <w:t>the</w:t>
            </w:r>
            <w:proofErr w:type="spellEnd"/>
            <w:r w:rsidRPr="005C3655">
              <w:rPr>
                <w:lang w:val="de-DE"/>
              </w:rPr>
              <w:t xml:space="preserve"> Wissenschaftliche Dienste des Deutschen Bundestages, legal </w:t>
            </w:r>
            <w:proofErr w:type="spellStart"/>
            <w:r w:rsidRPr="005C3655">
              <w:rPr>
                <w:lang w:val="de-DE"/>
              </w:rPr>
              <w:t>opinions</w:t>
            </w:r>
            <w:proofErr w:type="spellEnd"/>
            <w:r w:rsidRPr="005C3655">
              <w:rPr>
                <w:lang w:val="de-DE"/>
              </w:rPr>
              <w:t xml:space="preserve"> (Rechtsgutachten)</w:t>
            </w:r>
          </w:p>
        </w:tc>
        <w:tc>
          <w:tcPr>
            <w:tcW w:w="4183" w:type="dxa"/>
            <w:hideMark/>
          </w:tcPr>
          <w:p w14:paraId="6FFC2F0A" w14:textId="77777777" w:rsidR="001A1BFC" w:rsidRPr="00521FDF" w:rsidRDefault="001A1BFC" w:rsidP="001E40B4">
            <w:pPr>
              <w:pStyle w:val="Tabelle-Text"/>
            </w:pPr>
            <w:r w:rsidRPr="00521FDF">
              <w:t xml:space="preserve">Supporting sources explaining how legislative powers and competences are understood and applied in practice </w:t>
            </w:r>
          </w:p>
        </w:tc>
      </w:tr>
      <w:tr w:rsidR="001A1BFC" w:rsidRPr="00521FDF" w14:paraId="78558590" w14:textId="77777777" w:rsidTr="00EE61A7">
        <w:trPr>
          <w:trHeight w:val="20"/>
        </w:trPr>
        <w:tc>
          <w:tcPr>
            <w:tcW w:w="0" w:type="auto"/>
            <w:gridSpan w:val="4"/>
            <w:shd w:val="clear" w:color="auto" w:fill="D9D9D9" w:themeFill="background1" w:themeFillShade="D9"/>
          </w:tcPr>
          <w:p w14:paraId="74F8655D" w14:textId="51B9F21F" w:rsidR="001A1BFC" w:rsidRPr="00521FDF" w:rsidRDefault="001A1BFC" w:rsidP="00EE61A7">
            <w:pPr>
              <w:pStyle w:val="Tabelle-berschrift"/>
            </w:pPr>
            <w:r w:rsidRPr="00521FDF">
              <w:t>Other public sector sources</w:t>
            </w:r>
          </w:p>
        </w:tc>
      </w:tr>
      <w:tr w:rsidR="00521FDF" w:rsidRPr="00521FDF" w14:paraId="5BBFBAE1" w14:textId="77777777" w:rsidTr="00EE61A7">
        <w:trPr>
          <w:trHeight w:val="20"/>
        </w:trPr>
        <w:tc>
          <w:tcPr>
            <w:tcW w:w="0" w:type="auto"/>
            <w:hideMark/>
          </w:tcPr>
          <w:p w14:paraId="6215FE23" w14:textId="77777777" w:rsidR="001A1BFC" w:rsidRPr="00521FDF" w:rsidRDefault="001A1BFC" w:rsidP="00EE61A7">
            <w:pPr>
              <w:pStyle w:val="Tabelle-berschrift"/>
            </w:pPr>
            <w:r w:rsidRPr="00521FDF">
              <w:t>Government documents and communications</w:t>
            </w:r>
          </w:p>
        </w:tc>
        <w:tc>
          <w:tcPr>
            <w:tcW w:w="0" w:type="auto"/>
            <w:hideMark/>
          </w:tcPr>
          <w:p w14:paraId="00C38033" w14:textId="77777777" w:rsidR="001A1BFC" w:rsidRPr="00521FDF" w:rsidRDefault="001A1BFC" w:rsidP="001E40B4">
            <w:pPr>
              <w:pStyle w:val="Tabelle-Text"/>
            </w:pPr>
            <w:r w:rsidRPr="00521FDF">
              <w:t>Government communications outlining policy goals, implementation plans or administrative positions</w:t>
            </w:r>
          </w:p>
        </w:tc>
        <w:tc>
          <w:tcPr>
            <w:tcW w:w="3691" w:type="dxa"/>
            <w:hideMark/>
          </w:tcPr>
          <w:p w14:paraId="6719E530" w14:textId="77777777" w:rsidR="001A1BFC" w:rsidRPr="00521FDF" w:rsidRDefault="001A1BFC" w:rsidP="001E40B4">
            <w:pPr>
              <w:pStyle w:val="Tabelle-Text"/>
            </w:pPr>
            <w:r w:rsidRPr="00521FDF">
              <w:t>Government strategies, policy frameworks, official press releases, ministerial websites, public statements</w:t>
            </w:r>
          </w:p>
        </w:tc>
        <w:tc>
          <w:tcPr>
            <w:tcW w:w="4183" w:type="dxa"/>
            <w:hideMark/>
          </w:tcPr>
          <w:p w14:paraId="677A5946" w14:textId="77777777" w:rsidR="001A1BFC" w:rsidRPr="00521FDF" w:rsidRDefault="001A1BFC" w:rsidP="001E40B4">
            <w:pPr>
              <w:pStyle w:val="Tabelle-Text"/>
            </w:pPr>
            <w:r w:rsidRPr="00521FDF">
              <w:t>Contextual sources outlining how governments interpret, operationalise and prioritise legislative powers and competences within current policy agendas</w:t>
            </w:r>
          </w:p>
        </w:tc>
      </w:tr>
      <w:tr w:rsidR="00521FDF" w:rsidRPr="00521FDF" w14:paraId="63435212" w14:textId="77777777" w:rsidTr="00EE61A7">
        <w:trPr>
          <w:trHeight w:val="20"/>
        </w:trPr>
        <w:tc>
          <w:tcPr>
            <w:tcW w:w="0" w:type="auto"/>
            <w:hideMark/>
          </w:tcPr>
          <w:p w14:paraId="1B81987D" w14:textId="77777777" w:rsidR="001A1BFC" w:rsidRPr="00521FDF" w:rsidRDefault="001A1BFC" w:rsidP="00EE61A7">
            <w:pPr>
              <w:pStyle w:val="Tabelle-berschrift"/>
            </w:pPr>
            <w:r w:rsidRPr="00521FDF">
              <w:t>Publications by national and international public sector organisations</w:t>
            </w:r>
          </w:p>
        </w:tc>
        <w:tc>
          <w:tcPr>
            <w:tcW w:w="0" w:type="auto"/>
            <w:hideMark/>
          </w:tcPr>
          <w:p w14:paraId="55C3C2FC" w14:textId="0A762BBA" w:rsidR="001A1BFC" w:rsidRPr="00521FDF" w:rsidRDefault="001A1BFC" w:rsidP="001E40B4">
            <w:pPr>
              <w:pStyle w:val="Tabelle-Text"/>
            </w:pPr>
            <w:r w:rsidRPr="00521FDF">
              <w:t>Publicly mandated, government-funded, non-profit entities at national or international level providing expert advice, developing guidelines or operating monitoring systems</w:t>
            </w:r>
          </w:p>
        </w:tc>
        <w:tc>
          <w:tcPr>
            <w:tcW w:w="3691" w:type="dxa"/>
            <w:hideMark/>
          </w:tcPr>
          <w:p w14:paraId="521C13A4" w14:textId="5E81D531" w:rsidR="001A1BFC" w:rsidRPr="00521FDF" w:rsidRDefault="001A1BFC" w:rsidP="001E40B4">
            <w:pPr>
              <w:pStyle w:val="Tabelle-Text"/>
            </w:pPr>
            <w:r w:rsidRPr="00521FDF">
              <w:t>WHO, Robert Koch Institute (RKI), Federal Office for Agriculture and Food (BLE)</w:t>
            </w:r>
          </w:p>
        </w:tc>
        <w:tc>
          <w:tcPr>
            <w:tcW w:w="4183" w:type="dxa"/>
            <w:hideMark/>
          </w:tcPr>
          <w:p w14:paraId="1A2A491B" w14:textId="6102D47D" w:rsidR="001A1BFC" w:rsidRPr="00521FDF" w:rsidRDefault="001A1BFC" w:rsidP="001E40B4">
            <w:pPr>
              <w:pStyle w:val="Tabelle-Text"/>
            </w:pPr>
            <w:r w:rsidRPr="00521FDF">
              <w:t>Contextual sources providing technical guidance, and institutional interpretations relevant to policy implementation and legislative powers and competences</w:t>
            </w:r>
          </w:p>
        </w:tc>
      </w:tr>
      <w:tr w:rsidR="001A1BFC" w:rsidRPr="00521FDF" w14:paraId="4ECE6881" w14:textId="77777777" w:rsidTr="00EE61A7">
        <w:trPr>
          <w:trHeight w:val="20"/>
        </w:trPr>
        <w:tc>
          <w:tcPr>
            <w:tcW w:w="0" w:type="auto"/>
            <w:gridSpan w:val="4"/>
            <w:shd w:val="clear" w:color="auto" w:fill="D9D9D9" w:themeFill="background1" w:themeFillShade="D9"/>
          </w:tcPr>
          <w:p w14:paraId="2E495854" w14:textId="4D3ACB51" w:rsidR="001A1BFC" w:rsidRPr="00EE61A7" w:rsidRDefault="001A1BFC" w:rsidP="00EE61A7">
            <w:pPr>
              <w:pStyle w:val="Tabelle-berschrift"/>
            </w:pPr>
            <w:r w:rsidRPr="00EE61A7">
              <w:t>Non-public sector sources</w:t>
            </w:r>
          </w:p>
        </w:tc>
      </w:tr>
      <w:tr w:rsidR="00521FDF" w:rsidRPr="00521FDF" w14:paraId="0517B897" w14:textId="77777777" w:rsidTr="00EE61A7">
        <w:trPr>
          <w:trHeight w:val="20"/>
        </w:trPr>
        <w:tc>
          <w:tcPr>
            <w:tcW w:w="0" w:type="auto"/>
            <w:hideMark/>
          </w:tcPr>
          <w:p w14:paraId="544B90E8" w14:textId="77777777" w:rsidR="001A1BFC" w:rsidRPr="00521FDF" w:rsidRDefault="001A1BFC" w:rsidP="00EE61A7">
            <w:pPr>
              <w:pStyle w:val="Tabelle-berschrift"/>
            </w:pPr>
            <w:r w:rsidRPr="00521FDF">
              <w:t>Scientific literature</w:t>
            </w:r>
          </w:p>
        </w:tc>
        <w:tc>
          <w:tcPr>
            <w:tcW w:w="0" w:type="auto"/>
            <w:hideMark/>
          </w:tcPr>
          <w:p w14:paraId="7202FF47" w14:textId="4AB32AD7" w:rsidR="001A1BFC" w:rsidRPr="00521FDF" w:rsidRDefault="001A1BFC" w:rsidP="001E40B4">
            <w:pPr>
              <w:pStyle w:val="Tabelle-Text"/>
            </w:pPr>
            <w:r w:rsidRPr="00521FDF">
              <w:t>Peer-reviewed academic publications</w:t>
            </w:r>
            <w:r w:rsidR="00A86F7A" w:rsidRPr="00521FDF">
              <w:t xml:space="preserve"> and scientific books</w:t>
            </w:r>
          </w:p>
        </w:tc>
        <w:tc>
          <w:tcPr>
            <w:tcW w:w="3691" w:type="dxa"/>
            <w:hideMark/>
          </w:tcPr>
          <w:p w14:paraId="78082F51" w14:textId="567F578A" w:rsidR="001A1BFC" w:rsidRPr="00521FDF" w:rsidRDefault="001A1BFC" w:rsidP="001E40B4">
            <w:pPr>
              <w:pStyle w:val="Tabelle-Text"/>
            </w:pPr>
            <w:r w:rsidRPr="00521FDF">
              <w:t>Journal articles, systematic reviews</w:t>
            </w:r>
          </w:p>
        </w:tc>
        <w:tc>
          <w:tcPr>
            <w:tcW w:w="4183" w:type="dxa"/>
            <w:hideMark/>
          </w:tcPr>
          <w:p w14:paraId="6D0C1F3F" w14:textId="77777777" w:rsidR="001A1BFC" w:rsidRPr="00521FDF" w:rsidRDefault="001A1BFC" w:rsidP="001E40B4">
            <w:pPr>
              <w:pStyle w:val="Tabelle-Text"/>
            </w:pPr>
            <w:r w:rsidRPr="00521FDF">
              <w:t>Analytical and empirical sources providing conceptual, contextual and comparative insights relevant to understand legislative powers and competences</w:t>
            </w:r>
          </w:p>
        </w:tc>
      </w:tr>
      <w:tr w:rsidR="00521FDF" w:rsidRPr="00521FDF" w14:paraId="6602A409" w14:textId="77777777" w:rsidTr="00EE61A7">
        <w:trPr>
          <w:trHeight w:val="20"/>
        </w:trPr>
        <w:tc>
          <w:tcPr>
            <w:tcW w:w="0" w:type="auto"/>
            <w:hideMark/>
          </w:tcPr>
          <w:p w14:paraId="2B5318D1" w14:textId="77777777" w:rsidR="00A86F7A" w:rsidRPr="00521FDF" w:rsidRDefault="00A86F7A" w:rsidP="00EE61A7">
            <w:pPr>
              <w:pStyle w:val="Tabelle-berschrift"/>
            </w:pPr>
            <w:r w:rsidRPr="00521FDF">
              <w:lastRenderedPageBreak/>
              <w:t>Media publications</w:t>
            </w:r>
          </w:p>
          <w:p w14:paraId="2B73EE1C" w14:textId="2703F923" w:rsidR="001A1BFC" w:rsidRPr="00521FDF" w:rsidRDefault="001A1BFC" w:rsidP="00EE61A7">
            <w:pPr>
              <w:pStyle w:val="Tabelle-berschrift"/>
            </w:pPr>
          </w:p>
        </w:tc>
        <w:tc>
          <w:tcPr>
            <w:tcW w:w="0" w:type="auto"/>
            <w:hideMark/>
          </w:tcPr>
          <w:p w14:paraId="6CB53BC1" w14:textId="77777777" w:rsidR="00A86F7A" w:rsidRPr="00521FDF" w:rsidRDefault="00A86F7A" w:rsidP="001E40B4">
            <w:pPr>
              <w:pStyle w:val="Tabelle-Text"/>
            </w:pPr>
            <w:r w:rsidRPr="00521FDF">
              <w:t>Journalistic content</w:t>
            </w:r>
          </w:p>
          <w:p w14:paraId="198260E5" w14:textId="4A09F05B" w:rsidR="001A1BFC" w:rsidRPr="00521FDF" w:rsidRDefault="001A1BFC" w:rsidP="001E40B4">
            <w:pPr>
              <w:pStyle w:val="Tabelle-Text"/>
            </w:pPr>
          </w:p>
        </w:tc>
        <w:tc>
          <w:tcPr>
            <w:tcW w:w="3691" w:type="dxa"/>
            <w:hideMark/>
          </w:tcPr>
          <w:p w14:paraId="7FAC73DE" w14:textId="77777777" w:rsidR="00A86F7A" w:rsidRPr="00521FDF" w:rsidRDefault="00A86F7A" w:rsidP="001E40B4">
            <w:pPr>
              <w:pStyle w:val="Tabelle-Text"/>
            </w:pPr>
            <w:r w:rsidRPr="00521FDF">
              <w:t>News articles, magazines</w:t>
            </w:r>
          </w:p>
          <w:p w14:paraId="39CBF7ED" w14:textId="5A9E2D8E" w:rsidR="001A1BFC" w:rsidRPr="00521FDF" w:rsidRDefault="001A1BFC" w:rsidP="001E40B4">
            <w:pPr>
              <w:pStyle w:val="Tabelle-Text"/>
            </w:pPr>
          </w:p>
        </w:tc>
        <w:tc>
          <w:tcPr>
            <w:tcW w:w="4183" w:type="dxa"/>
          </w:tcPr>
          <w:p w14:paraId="60F3048E" w14:textId="5CE7CFF4" w:rsidR="001A1BFC" w:rsidRPr="00521FDF" w:rsidRDefault="00A86F7A" w:rsidP="001E40B4">
            <w:pPr>
              <w:pStyle w:val="Tabelle-Text"/>
            </w:pPr>
            <w:r w:rsidRPr="00521FDF">
              <w:t>Contextual sources reflecting public discourse and reporting; not used to define legislative powers and competences</w:t>
            </w:r>
          </w:p>
        </w:tc>
      </w:tr>
      <w:tr w:rsidR="00521FDF" w:rsidRPr="00521FDF" w14:paraId="60001A8E" w14:textId="77777777" w:rsidTr="00EE61A7">
        <w:trPr>
          <w:trHeight w:val="20"/>
        </w:trPr>
        <w:tc>
          <w:tcPr>
            <w:tcW w:w="0" w:type="auto"/>
            <w:hideMark/>
          </w:tcPr>
          <w:p w14:paraId="20EF6645" w14:textId="1E61327F" w:rsidR="00A86F7A" w:rsidRPr="00521FDF" w:rsidRDefault="00A86F7A" w:rsidP="00EE61A7">
            <w:pPr>
              <w:pStyle w:val="Tabelle-berschrift"/>
            </w:pPr>
            <w:r w:rsidRPr="00521FDF">
              <w:t>Communications by civil society and professional organisations</w:t>
            </w:r>
          </w:p>
        </w:tc>
        <w:tc>
          <w:tcPr>
            <w:tcW w:w="0" w:type="auto"/>
            <w:hideMark/>
          </w:tcPr>
          <w:p w14:paraId="1B3334B8" w14:textId="7B1ED247" w:rsidR="00A86F7A" w:rsidRPr="00521FDF" w:rsidRDefault="00E34085" w:rsidP="001E40B4">
            <w:pPr>
              <w:pStyle w:val="Tabelle-Text"/>
            </w:pPr>
            <w:r>
              <w:t>NGOs</w:t>
            </w:r>
            <w:r w:rsidR="00A86F7A" w:rsidRPr="00521FDF">
              <w:t>, advocacy groups, foundations</w:t>
            </w:r>
            <w:r>
              <w:t xml:space="preserve">, </w:t>
            </w:r>
            <w:r w:rsidR="00A86F7A" w:rsidRPr="00521FDF">
              <w:t>for-profit associations that produce reports, guidelines or policy recommendations</w:t>
            </w:r>
          </w:p>
        </w:tc>
        <w:tc>
          <w:tcPr>
            <w:tcW w:w="3691" w:type="dxa"/>
            <w:hideMark/>
          </w:tcPr>
          <w:p w14:paraId="167A2D8B" w14:textId="42A10BE2" w:rsidR="00A86F7A" w:rsidRPr="00521FDF" w:rsidRDefault="00A86F7A" w:rsidP="001E40B4">
            <w:pPr>
              <w:pStyle w:val="Tabelle-Text"/>
            </w:pPr>
            <w:r w:rsidRPr="00521FDF">
              <w:t>Heinrich Böll Stiftung, Food</w:t>
            </w:r>
            <w:r w:rsidR="009E42BB">
              <w:t>w</w:t>
            </w:r>
            <w:r w:rsidRPr="00521FDF">
              <w:t>atch</w:t>
            </w:r>
          </w:p>
        </w:tc>
        <w:tc>
          <w:tcPr>
            <w:tcW w:w="4183" w:type="dxa"/>
            <w:hideMark/>
          </w:tcPr>
          <w:p w14:paraId="6831F7E6" w14:textId="2DDA2EB6" w:rsidR="00A86F7A" w:rsidRPr="00521FDF" w:rsidRDefault="00A86F7A" w:rsidP="001E40B4">
            <w:pPr>
              <w:pStyle w:val="Tabelle-Text"/>
            </w:pPr>
            <w:r w:rsidRPr="00521FDF">
              <w:t>Complementary sources reflecting external interpretations and societal expectations; not used to define legislative powers and competences</w:t>
            </w:r>
          </w:p>
        </w:tc>
      </w:tr>
    </w:tbl>
    <w:p w14:paraId="50B4B2E8" w14:textId="1F77D616" w:rsidR="001A1BFC" w:rsidRDefault="001A1BFC" w:rsidP="001E40B4">
      <w:pPr>
        <w:pStyle w:val="berschrift1"/>
        <w:sectPr w:rsidR="001A1BFC" w:rsidSect="009E42BB">
          <w:pgSz w:w="15840" w:h="12240" w:orient="landscape"/>
          <w:pgMar w:top="1077" w:right="1077" w:bottom="1077" w:left="1077" w:header="720" w:footer="720" w:gutter="0"/>
          <w:cols w:space="720"/>
          <w:docGrid w:linePitch="360"/>
        </w:sectPr>
      </w:pPr>
    </w:p>
    <w:p w14:paraId="71A4805B" w14:textId="5D42C2BB" w:rsidR="007D0C2D" w:rsidRDefault="00391C70" w:rsidP="007D0C2D">
      <w:pPr>
        <w:pStyle w:val="berschrift2"/>
      </w:pPr>
      <w:bookmarkStart w:id="15" w:name="_Toc221783964"/>
      <w:r w:rsidRPr="000B71AB">
        <w:lastRenderedPageBreak/>
        <w:t>Key informant interviews</w:t>
      </w:r>
      <w:bookmarkEnd w:id="15"/>
    </w:p>
    <w:p w14:paraId="1B0D6B46" w14:textId="5FC5379F" w:rsidR="00D43601" w:rsidRDefault="00173F54" w:rsidP="00D43601">
      <w:pPr>
        <w:pStyle w:val="berschrift3"/>
      </w:pPr>
      <w:r w:rsidRPr="00173F54">
        <w:t>COREQ</w:t>
      </w:r>
      <w:r>
        <w:t xml:space="preserve"> </w:t>
      </w:r>
      <w:r w:rsidR="007D0C2D">
        <w:t xml:space="preserve">Checklist </w:t>
      </w:r>
    </w:p>
    <w:p w14:paraId="14910BA8" w14:textId="59F366E9" w:rsidR="00D43601" w:rsidRDefault="00D43601" w:rsidP="00D43601">
      <w:pPr>
        <w:rPr>
          <w:lang w:eastAsia="en-US"/>
        </w:rPr>
      </w:pPr>
      <w:r>
        <w:rPr>
          <w:lang w:eastAsia="en-US"/>
        </w:rPr>
        <w:t xml:space="preserve">We used the Consolidated Criteria for Reporting Qualitative Research (COREQ) 32-item checklist to </w:t>
      </w:r>
      <w:r w:rsidR="0006796E">
        <w:rPr>
          <w:lang w:eastAsia="en-US"/>
        </w:rPr>
        <w:t>report our</w:t>
      </w:r>
      <w:r>
        <w:rPr>
          <w:lang w:eastAsia="en-US"/>
        </w:rPr>
        <w:t xml:space="preserve"> interviews</w:t>
      </w:r>
      <w:r w:rsidR="008102F8">
        <w:rPr>
          <w:lang w:eastAsia="en-US"/>
        </w:rPr>
        <w:t xml:space="preserve"> and expert consultation</w:t>
      </w:r>
      <w:r>
        <w:rPr>
          <w:lang w:eastAsia="en-US"/>
        </w:rPr>
        <w:t xml:space="preserve"> </w:t>
      </w:r>
      <w:r w:rsidR="00901762">
        <w:rPr>
          <w:lang w:eastAsia="en-US"/>
        </w:rPr>
        <w:fldChar w:fldCharType="begin"/>
      </w:r>
      <w:r w:rsidR="00216423">
        <w:rPr>
          <w:lang w:eastAsia="en-US"/>
        </w:rPr>
        <w:instrText xml:space="preserve"> ADDIN ZOTERO_ITEM CSL_CITATION {"citationID":"a18h6hispg4","properties":{"unsorted":false,"formattedCitation":"[5]","plainCitation":"[5]","noteIndex":0},"citationItems":[{"id":6153,"uris":["http://zotero.org/users/5617569/items/U3FMEEI4"],"itemData":{"id":6153,"type":"article-journal","abstract":"Background. Qualitative research explores complex phenomena encountered by clinicians, health care providers, policy makers and consumers. Although partial checklists are available, no consolidated reporting framework exists for any type of qualitative design.\nObjective. To develop a checklist for explicit and comprehensive reporting of qualitative studies (indepth interviews and focus groups).\nMethods. We performed a comprehensive search in Cochrane and Campbell Protocols, Medline, CINAHL, systematic reviews of qualitative studies, author or reviewer guidelines of major medical journals and reference lists of relevant publications for existing checklists used to assess qualitative studies. Seventy-six items from 22 checklists were compiled into a comprehensive list. All items were grouped into three domains: (i) research team and reﬂexivity, (ii) study design and (iii) data analysis and reporting. Duplicate items and those that were ambiguous, too broadly deﬁned and impractical to assess were removed.\nResults. Items most frequently included in the checklists related to sampling method, setting for data collection, method of data collection, respondent validation of ﬁndings, method of recording data, description of the derivation of themes and inclusion of supporting quotations. We grouped all items into three domains: (i) research team and reﬂexivity, (ii) study design and (iii) data analysis and reporting.\nConclusions. The criteria included in COREQ, a 32-item checklist, can help researchers to report important aspects of the research team, study methods, context of the study, ﬁndings, analysis and interpretations.","container-title":"International Journal for Quality in Health Care","DOI":"10.1093/intqhc/mzm042","ISSN":"1353-4505, 1464-3677","issue":"6","journalAbbreviation":"International Journal for Quality in Health Care","language":"en","page":"349-357","source":"DOI.org (Crossref)","title":"Consolidated criteria for reporting qualitative research (COREQ): a 32-item checklist for interviews and focus groups","title-short":"Consolidated criteria for reporting qualitative research (COREQ)","volume":"19","author":[{"family":"Tong","given":"A."},{"family":"Sainsbury","given":"P."},{"family":"Craig","given":"J."}],"issued":{"date-parts":[["2007",9,16]]}}}],"schema":"https://github.com/citation-style-language/schema/raw/master/csl-citation.json"} </w:instrText>
      </w:r>
      <w:r w:rsidR="00901762">
        <w:rPr>
          <w:lang w:eastAsia="en-US"/>
        </w:rPr>
        <w:fldChar w:fldCharType="separate"/>
      </w:r>
      <w:r w:rsidR="00216423" w:rsidRPr="005C3655">
        <w:rPr>
          <w:rFonts w:eastAsiaTheme="minorHAnsi"/>
          <w:lang w:val="en-US" w:eastAsia="en-US"/>
        </w:rPr>
        <w:t>[5]</w:t>
      </w:r>
      <w:r w:rsidR="00901762">
        <w:rPr>
          <w:lang w:eastAsia="en-US"/>
        </w:rPr>
        <w:fldChar w:fldCharType="end"/>
      </w:r>
      <w:r w:rsidR="00901762">
        <w:rPr>
          <w:lang w:eastAsia="en-US"/>
        </w:rPr>
        <w:t xml:space="preserve">. </w:t>
      </w:r>
    </w:p>
    <w:p w14:paraId="5939E2FE" w14:textId="35FBB80B" w:rsidR="00901762" w:rsidRDefault="00901762" w:rsidP="00901762">
      <w:pPr>
        <w:pStyle w:val="Beschriftung"/>
      </w:pPr>
      <w:bookmarkStart w:id="16" w:name="_Toc222325229"/>
      <w:r>
        <w:t xml:space="preserve">Table </w:t>
      </w:r>
      <w:r>
        <w:fldChar w:fldCharType="begin"/>
      </w:r>
      <w:r>
        <w:instrText xml:space="preserve"> SEQ Table \* ARABIC </w:instrText>
      </w:r>
      <w:r>
        <w:fldChar w:fldCharType="separate"/>
      </w:r>
      <w:r>
        <w:rPr>
          <w:noProof/>
        </w:rPr>
        <w:t>5</w:t>
      </w:r>
      <w:r>
        <w:fldChar w:fldCharType="end"/>
      </w:r>
      <w:r>
        <w:t xml:space="preserve"> </w:t>
      </w:r>
      <w:r w:rsidR="00C624C7" w:rsidRPr="00C624C7">
        <w:t>Consolidated Criteria for Reporting Qualitative Research (COREQ)</w:t>
      </w:r>
      <w:bookmarkEnd w:id="16"/>
    </w:p>
    <w:tbl>
      <w:tblPr>
        <w:tblStyle w:val="TabellemithellemGitternetz"/>
        <w:tblW w:w="0" w:type="auto"/>
        <w:tblLook w:val="04A0" w:firstRow="1" w:lastRow="0" w:firstColumn="1" w:lastColumn="0" w:noHBand="0" w:noVBand="1"/>
      </w:tblPr>
      <w:tblGrid>
        <w:gridCol w:w="539"/>
        <w:gridCol w:w="2050"/>
        <w:gridCol w:w="3643"/>
        <w:gridCol w:w="3844"/>
      </w:tblGrid>
      <w:tr w:rsidR="00901762" w14:paraId="0531AAA7" w14:textId="3F20BDE7" w:rsidTr="006800DB">
        <w:trPr>
          <w:tblHeader/>
        </w:trPr>
        <w:tc>
          <w:tcPr>
            <w:tcW w:w="0" w:type="auto"/>
            <w:shd w:val="clear" w:color="auto" w:fill="F2F2F2" w:themeFill="background1" w:themeFillShade="F2"/>
          </w:tcPr>
          <w:p w14:paraId="127AAE8F" w14:textId="70C8A5EB" w:rsidR="00901762" w:rsidRPr="00901762" w:rsidRDefault="00901762" w:rsidP="000D2BF3">
            <w:pPr>
              <w:pStyle w:val="Tabelle-Text"/>
              <w:rPr>
                <w:b/>
                <w:bCs w:val="0"/>
                <w:lang w:eastAsia="en-US"/>
              </w:rPr>
            </w:pPr>
            <w:r>
              <w:rPr>
                <w:b/>
                <w:bCs w:val="0"/>
              </w:rPr>
              <w:t>No.</w:t>
            </w:r>
          </w:p>
        </w:tc>
        <w:tc>
          <w:tcPr>
            <w:tcW w:w="2050" w:type="dxa"/>
            <w:shd w:val="clear" w:color="auto" w:fill="F2F2F2" w:themeFill="background1" w:themeFillShade="F2"/>
          </w:tcPr>
          <w:p w14:paraId="07875E06" w14:textId="42AE6984" w:rsidR="00901762" w:rsidRPr="00901762" w:rsidRDefault="00901762" w:rsidP="000D2BF3">
            <w:pPr>
              <w:pStyle w:val="Tabelle-Text"/>
              <w:rPr>
                <w:b/>
                <w:bCs w:val="0"/>
                <w:lang w:eastAsia="en-US"/>
              </w:rPr>
            </w:pPr>
            <w:r w:rsidRPr="00901762">
              <w:rPr>
                <w:b/>
                <w:bCs w:val="0"/>
              </w:rPr>
              <w:t>Item</w:t>
            </w:r>
          </w:p>
        </w:tc>
        <w:tc>
          <w:tcPr>
            <w:tcW w:w="3643" w:type="dxa"/>
            <w:shd w:val="clear" w:color="auto" w:fill="F2F2F2" w:themeFill="background1" w:themeFillShade="F2"/>
          </w:tcPr>
          <w:p w14:paraId="6F2EB6E3" w14:textId="59E5D3B4" w:rsidR="00901762" w:rsidRPr="00901762" w:rsidRDefault="00901762" w:rsidP="000D2BF3">
            <w:pPr>
              <w:pStyle w:val="Tabelle-Text"/>
              <w:rPr>
                <w:b/>
                <w:bCs w:val="0"/>
                <w:lang w:eastAsia="en-US"/>
              </w:rPr>
            </w:pPr>
            <w:r w:rsidRPr="00901762">
              <w:rPr>
                <w:b/>
                <w:bCs w:val="0"/>
              </w:rPr>
              <w:t>Description / Question</w:t>
            </w:r>
          </w:p>
        </w:tc>
        <w:tc>
          <w:tcPr>
            <w:tcW w:w="3844" w:type="dxa"/>
            <w:shd w:val="clear" w:color="auto" w:fill="F2F2F2" w:themeFill="background1" w:themeFillShade="F2"/>
          </w:tcPr>
          <w:p w14:paraId="66221B96" w14:textId="77C80270" w:rsidR="00901762" w:rsidRPr="00901762" w:rsidRDefault="00901762" w:rsidP="000D2BF3">
            <w:pPr>
              <w:pStyle w:val="Tabelle-Text"/>
              <w:rPr>
                <w:b/>
                <w:bCs w:val="0"/>
                <w:lang w:eastAsia="en-US"/>
              </w:rPr>
            </w:pPr>
            <w:r w:rsidRPr="00901762">
              <w:rPr>
                <w:b/>
                <w:bCs w:val="0"/>
                <w:lang w:eastAsia="en-US"/>
              </w:rPr>
              <w:t>Answer</w:t>
            </w:r>
          </w:p>
        </w:tc>
      </w:tr>
      <w:tr w:rsidR="00901762" w14:paraId="22C7D076" w14:textId="45892D12" w:rsidTr="000D2BF3">
        <w:tc>
          <w:tcPr>
            <w:tcW w:w="0" w:type="auto"/>
            <w:gridSpan w:val="4"/>
            <w:shd w:val="clear" w:color="auto" w:fill="D9D9D9" w:themeFill="background1" w:themeFillShade="D9"/>
          </w:tcPr>
          <w:p w14:paraId="3A92F4BD" w14:textId="31902C95" w:rsidR="00901762" w:rsidRDefault="00901762" w:rsidP="000D2BF3">
            <w:pPr>
              <w:pStyle w:val="Tabelle-Text"/>
              <w:rPr>
                <w:lang w:eastAsia="en-US"/>
              </w:rPr>
            </w:pPr>
            <w:r>
              <w:rPr>
                <w:b/>
              </w:rPr>
              <w:t>Domain 1: Research team and reflexivity</w:t>
            </w:r>
          </w:p>
        </w:tc>
      </w:tr>
      <w:tr w:rsidR="00901762" w14:paraId="1F16E30A" w14:textId="32C3D166" w:rsidTr="000D2BF3">
        <w:tc>
          <w:tcPr>
            <w:tcW w:w="0" w:type="auto"/>
            <w:gridSpan w:val="4"/>
          </w:tcPr>
          <w:p w14:paraId="1D450E9F" w14:textId="7660AFEB" w:rsidR="00901762" w:rsidRPr="000D2BF3" w:rsidRDefault="00901762" w:rsidP="000D2BF3">
            <w:pPr>
              <w:pStyle w:val="Tabelle-Text"/>
              <w:rPr>
                <w:b/>
                <w:bCs w:val="0"/>
                <w:lang w:eastAsia="en-US"/>
              </w:rPr>
            </w:pPr>
            <w:r w:rsidRPr="000D2BF3">
              <w:rPr>
                <w:b/>
                <w:bCs w:val="0"/>
              </w:rPr>
              <w:t>Personal Characteristics</w:t>
            </w:r>
          </w:p>
        </w:tc>
      </w:tr>
      <w:tr w:rsidR="00901762" w14:paraId="5041EA73" w14:textId="7D4EB80F" w:rsidTr="001153F4">
        <w:tc>
          <w:tcPr>
            <w:tcW w:w="0" w:type="auto"/>
          </w:tcPr>
          <w:p w14:paraId="4C10BE30" w14:textId="117E9B3D" w:rsidR="00901762" w:rsidRDefault="00901762" w:rsidP="000D2BF3">
            <w:pPr>
              <w:pStyle w:val="Tabelle-Text"/>
              <w:rPr>
                <w:lang w:eastAsia="en-US"/>
              </w:rPr>
            </w:pPr>
            <w:r>
              <w:t>1.</w:t>
            </w:r>
          </w:p>
        </w:tc>
        <w:tc>
          <w:tcPr>
            <w:tcW w:w="2050" w:type="dxa"/>
          </w:tcPr>
          <w:p w14:paraId="395D232F" w14:textId="41163DCA" w:rsidR="00901762" w:rsidRDefault="00901762" w:rsidP="000D2BF3">
            <w:pPr>
              <w:pStyle w:val="Tabelle-Text"/>
              <w:rPr>
                <w:lang w:eastAsia="en-US"/>
              </w:rPr>
            </w:pPr>
            <w:r>
              <w:t>Interviewer/facilitator</w:t>
            </w:r>
          </w:p>
        </w:tc>
        <w:tc>
          <w:tcPr>
            <w:tcW w:w="3643" w:type="dxa"/>
          </w:tcPr>
          <w:p w14:paraId="451BA38E" w14:textId="0D4D44EE" w:rsidR="00901762" w:rsidRDefault="00901762" w:rsidP="000D2BF3">
            <w:pPr>
              <w:pStyle w:val="Tabelle-Text"/>
              <w:rPr>
                <w:lang w:eastAsia="en-US"/>
              </w:rPr>
            </w:pPr>
            <w:r>
              <w:t>Which author/s conducted the interview or focus group?</w:t>
            </w:r>
          </w:p>
        </w:tc>
        <w:tc>
          <w:tcPr>
            <w:tcW w:w="3844" w:type="dxa"/>
          </w:tcPr>
          <w:p w14:paraId="331D341E" w14:textId="77777777" w:rsidR="00901762" w:rsidRDefault="0006796E" w:rsidP="000D2BF3">
            <w:pPr>
              <w:pStyle w:val="Tabelle-Text"/>
              <w:rPr>
                <w:lang w:eastAsia="en-US"/>
              </w:rPr>
            </w:pPr>
            <w:r>
              <w:rPr>
                <w:lang w:eastAsia="en-US"/>
              </w:rPr>
              <w:t xml:space="preserve">Interviews: </w:t>
            </w:r>
            <w:r w:rsidR="00901762">
              <w:rPr>
                <w:lang w:eastAsia="en-US"/>
              </w:rPr>
              <w:t>First author</w:t>
            </w:r>
            <w:r>
              <w:rPr>
                <w:lang w:eastAsia="en-US"/>
              </w:rPr>
              <w:t xml:space="preserve"> </w:t>
            </w:r>
          </w:p>
          <w:p w14:paraId="4FF81088" w14:textId="31612D19" w:rsidR="0006796E" w:rsidRDefault="0006796E" w:rsidP="000D2BF3">
            <w:pPr>
              <w:pStyle w:val="Tabelle-Text"/>
              <w:rPr>
                <w:lang w:eastAsia="en-US"/>
              </w:rPr>
            </w:pPr>
            <w:r>
              <w:rPr>
                <w:lang w:eastAsia="en-US"/>
              </w:rPr>
              <w:t>Workshop: First author as main facilitator, second and last author as support</w:t>
            </w:r>
          </w:p>
        </w:tc>
      </w:tr>
      <w:tr w:rsidR="00901762" w14:paraId="619013C2" w14:textId="7A9F1F9F" w:rsidTr="001153F4">
        <w:tc>
          <w:tcPr>
            <w:tcW w:w="0" w:type="auto"/>
          </w:tcPr>
          <w:p w14:paraId="0BCC0BDB" w14:textId="685A0A11" w:rsidR="00901762" w:rsidRDefault="00901762" w:rsidP="000D2BF3">
            <w:pPr>
              <w:pStyle w:val="Tabelle-Text"/>
              <w:rPr>
                <w:lang w:eastAsia="en-US"/>
              </w:rPr>
            </w:pPr>
            <w:r>
              <w:t>2.</w:t>
            </w:r>
          </w:p>
        </w:tc>
        <w:tc>
          <w:tcPr>
            <w:tcW w:w="2050" w:type="dxa"/>
          </w:tcPr>
          <w:p w14:paraId="2DEF8E60" w14:textId="61412370" w:rsidR="00901762" w:rsidRDefault="00901762" w:rsidP="000D2BF3">
            <w:pPr>
              <w:pStyle w:val="Tabelle-Text"/>
              <w:rPr>
                <w:lang w:eastAsia="en-US"/>
              </w:rPr>
            </w:pPr>
            <w:r>
              <w:t>Credentials</w:t>
            </w:r>
          </w:p>
        </w:tc>
        <w:tc>
          <w:tcPr>
            <w:tcW w:w="3643" w:type="dxa"/>
          </w:tcPr>
          <w:p w14:paraId="5A35CD18" w14:textId="22A66E2B" w:rsidR="00901762" w:rsidRDefault="00901762" w:rsidP="000D2BF3">
            <w:pPr>
              <w:pStyle w:val="Tabelle-Text"/>
              <w:rPr>
                <w:lang w:eastAsia="en-US"/>
              </w:rPr>
            </w:pPr>
            <w:r>
              <w:t>What were the researcher’s credentials? </w:t>
            </w:r>
          </w:p>
        </w:tc>
        <w:tc>
          <w:tcPr>
            <w:tcW w:w="3844" w:type="dxa"/>
          </w:tcPr>
          <w:p w14:paraId="458D1E62" w14:textId="1B9A879E" w:rsidR="00901762" w:rsidRDefault="0006796E" w:rsidP="000D2BF3">
            <w:pPr>
              <w:pStyle w:val="Tabelle-Text"/>
              <w:rPr>
                <w:lang w:eastAsia="en-US"/>
              </w:rPr>
            </w:pPr>
            <w:r>
              <w:rPr>
                <w:lang w:eastAsia="en-US"/>
              </w:rPr>
              <w:t xml:space="preserve">First author has a </w:t>
            </w:r>
            <w:r w:rsidR="00901762">
              <w:rPr>
                <w:lang w:eastAsia="en-US"/>
              </w:rPr>
              <w:t>M</w:t>
            </w:r>
            <w:r>
              <w:rPr>
                <w:lang w:eastAsia="en-US"/>
              </w:rPr>
              <w:t>aster of Public Policy)</w:t>
            </w:r>
            <w:r w:rsidR="00901762">
              <w:rPr>
                <w:lang w:eastAsia="en-US"/>
              </w:rPr>
              <w:t>; the four co-authors are professors</w:t>
            </w:r>
            <w:r w:rsidR="005C3655">
              <w:rPr>
                <w:lang w:eastAsia="en-US"/>
              </w:rPr>
              <w:t xml:space="preserve"> of public health nutrition</w:t>
            </w:r>
            <w:r w:rsidR="008B1A70">
              <w:rPr>
                <w:lang w:eastAsia="en-US"/>
              </w:rPr>
              <w:t xml:space="preserve"> (2)</w:t>
            </w:r>
            <w:r w:rsidR="005C3655">
              <w:rPr>
                <w:lang w:eastAsia="en-US"/>
              </w:rPr>
              <w:t xml:space="preserve">, </w:t>
            </w:r>
            <w:r w:rsidR="008B1A70" w:rsidRPr="008B1A70">
              <w:rPr>
                <w:lang w:eastAsia="en-US"/>
              </w:rPr>
              <w:t>agricultural law and public law</w:t>
            </w:r>
            <w:r w:rsidR="008B1A70">
              <w:rPr>
                <w:lang w:eastAsia="en-US"/>
              </w:rPr>
              <w:t>, food law</w:t>
            </w:r>
          </w:p>
        </w:tc>
      </w:tr>
      <w:tr w:rsidR="00901762" w14:paraId="09494630" w14:textId="51D36699" w:rsidTr="001153F4">
        <w:tc>
          <w:tcPr>
            <w:tcW w:w="0" w:type="auto"/>
          </w:tcPr>
          <w:p w14:paraId="6F52D1F7" w14:textId="6C762FFF" w:rsidR="00901762" w:rsidRDefault="00901762" w:rsidP="000D2BF3">
            <w:pPr>
              <w:pStyle w:val="Tabelle-Text"/>
              <w:rPr>
                <w:lang w:eastAsia="en-US"/>
              </w:rPr>
            </w:pPr>
            <w:r>
              <w:t>3.</w:t>
            </w:r>
          </w:p>
        </w:tc>
        <w:tc>
          <w:tcPr>
            <w:tcW w:w="2050" w:type="dxa"/>
          </w:tcPr>
          <w:p w14:paraId="574DDE6D" w14:textId="0D1C2DE5" w:rsidR="00901762" w:rsidRDefault="00901762" w:rsidP="000D2BF3">
            <w:pPr>
              <w:pStyle w:val="Tabelle-Text"/>
              <w:rPr>
                <w:lang w:eastAsia="en-US"/>
              </w:rPr>
            </w:pPr>
            <w:r>
              <w:t>Occupation</w:t>
            </w:r>
          </w:p>
        </w:tc>
        <w:tc>
          <w:tcPr>
            <w:tcW w:w="3643" w:type="dxa"/>
          </w:tcPr>
          <w:p w14:paraId="615AD270" w14:textId="0D195F05" w:rsidR="00901762" w:rsidRDefault="00901762" w:rsidP="000D2BF3">
            <w:pPr>
              <w:pStyle w:val="Tabelle-Text"/>
              <w:rPr>
                <w:lang w:eastAsia="en-US"/>
              </w:rPr>
            </w:pPr>
            <w:r>
              <w:t>What was their occupation at the time of the study?</w:t>
            </w:r>
          </w:p>
        </w:tc>
        <w:tc>
          <w:tcPr>
            <w:tcW w:w="3844" w:type="dxa"/>
          </w:tcPr>
          <w:p w14:paraId="3613E2FC" w14:textId="07F60E10" w:rsidR="00901762" w:rsidRDefault="00901762" w:rsidP="000D2BF3">
            <w:pPr>
              <w:pStyle w:val="Tabelle-Text"/>
              <w:rPr>
                <w:lang w:eastAsia="en-US"/>
              </w:rPr>
            </w:pPr>
            <w:r>
              <w:rPr>
                <w:lang w:eastAsia="en-US"/>
              </w:rPr>
              <w:t>PhD student; Professor</w:t>
            </w:r>
          </w:p>
        </w:tc>
      </w:tr>
      <w:tr w:rsidR="00901762" w14:paraId="526F120A" w14:textId="33F7AA80" w:rsidTr="001153F4">
        <w:tc>
          <w:tcPr>
            <w:tcW w:w="0" w:type="auto"/>
          </w:tcPr>
          <w:p w14:paraId="5B165EC0" w14:textId="215EF878" w:rsidR="00901762" w:rsidRDefault="00901762" w:rsidP="000D2BF3">
            <w:pPr>
              <w:pStyle w:val="Tabelle-Text"/>
              <w:rPr>
                <w:lang w:eastAsia="en-US"/>
              </w:rPr>
            </w:pPr>
            <w:r>
              <w:t>4.</w:t>
            </w:r>
          </w:p>
        </w:tc>
        <w:tc>
          <w:tcPr>
            <w:tcW w:w="2050" w:type="dxa"/>
          </w:tcPr>
          <w:p w14:paraId="043DD840" w14:textId="536EC92B" w:rsidR="00901762" w:rsidRDefault="00901762" w:rsidP="000D2BF3">
            <w:pPr>
              <w:pStyle w:val="Tabelle-Text"/>
              <w:rPr>
                <w:lang w:eastAsia="en-US"/>
              </w:rPr>
            </w:pPr>
            <w:r>
              <w:t>Gender</w:t>
            </w:r>
          </w:p>
        </w:tc>
        <w:tc>
          <w:tcPr>
            <w:tcW w:w="3643" w:type="dxa"/>
          </w:tcPr>
          <w:p w14:paraId="539DC353" w14:textId="5C284B97" w:rsidR="00901762" w:rsidRDefault="00901762" w:rsidP="000D2BF3">
            <w:pPr>
              <w:pStyle w:val="Tabelle-Text"/>
              <w:rPr>
                <w:lang w:eastAsia="en-US"/>
              </w:rPr>
            </w:pPr>
            <w:r>
              <w:t>Was the researcher male or female?</w:t>
            </w:r>
          </w:p>
        </w:tc>
        <w:tc>
          <w:tcPr>
            <w:tcW w:w="3844" w:type="dxa"/>
          </w:tcPr>
          <w:p w14:paraId="3F54B8E2" w14:textId="7C677E35" w:rsidR="00901762" w:rsidRDefault="00901762" w:rsidP="000D2BF3">
            <w:pPr>
              <w:pStyle w:val="Tabelle-Text"/>
              <w:rPr>
                <w:lang w:eastAsia="en-US"/>
              </w:rPr>
            </w:pPr>
            <w:r>
              <w:rPr>
                <w:lang w:eastAsia="en-US"/>
              </w:rPr>
              <w:t>Female</w:t>
            </w:r>
          </w:p>
        </w:tc>
      </w:tr>
      <w:tr w:rsidR="00901762" w14:paraId="6475F41F" w14:textId="30457B69" w:rsidTr="001153F4">
        <w:tc>
          <w:tcPr>
            <w:tcW w:w="0" w:type="auto"/>
          </w:tcPr>
          <w:p w14:paraId="0A13DADC" w14:textId="10E8B8F3" w:rsidR="00901762" w:rsidRDefault="00901762" w:rsidP="000D2BF3">
            <w:pPr>
              <w:pStyle w:val="Tabelle-Text"/>
              <w:rPr>
                <w:lang w:eastAsia="en-US"/>
              </w:rPr>
            </w:pPr>
            <w:r>
              <w:t>5.</w:t>
            </w:r>
          </w:p>
        </w:tc>
        <w:tc>
          <w:tcPr>
            <w:tcW w:w="2050" w:type="dxa"/>
          </w:tcPr>
          <w:p w14:paraId="36BFD981" w14:textId="4B0BF4A1" w:rsidR="00901762" w:rsidRDefault="00901762" w:rsidP="000D2BF3">
            <w:pPr>
              <w:pStyle w:val="Tabelle-Text"/>
              <w:rPr>
                <w:lang w:eastAsia="en-US"/>
              </w:rPr>
            </w:pPr>
            <w:r>
              <w:t>Experience and training</w:t>
            </w:r>
          </w:p>
        </w:tc>
        <w:tc>
          <w:tcPr>
            <w:tcW w:w="3643" w:type="dxa"/>
          </w:tcPr>
          <w:p w14:paraId="7907EA73" w14:textId="24B4A0BA" w:rsidR="00901762" w:rsidRDefault="00901762" w:rsidP="000D2BF3">
            <w:pPr>
              <w:pStyle w:val="Tabelle-Text"/>
              <w:rPr>
                <w:lang w:eastAsia="en-US"/>
              </w:rPr>
            </w:pPr>
            <w:r>
              <w:t>What experience or training did the researcher have?</w:t>
            </w:r>
          </w:p>
        </w:tc>
        <w:tc>
          <w:tcPr>
            <w:tcW w:w="3844" w:type="dxa"/>
          </w:tcPr>
          <w:p w14:paraId="749C45A8" w14:textId="022E2A75" w:rsidR="00901762" w:rsidRDefault="000D2BF3" w:rsidP="000D2BF3">
            <w:pPr>
              <w:pStyle w:val="Tabelle-Text"/>
              <w:rPr>
                <w:lang w:eastAsia="en-US"/>
              </w:rPr>
            </w:pPr>
            <w:r>
              <w:rPr>
                <w:lang w:eastAsia="en-US"/>
              </w:rPr>
              <w:t>MPP; 3 years in strategy consulting</w:t>
            </w:r>
          </w:p>
        </w:tc>
      </w:tr>
      <w:tr w:rsidR="00901762" w14:paraId="18C990A1" w14:textId="77777777" w:rsidTr="000D2BF3">
        <w:tc>
          <w:tcPr>
            <w:tcW w:w="0" w:type="auto"/>
            <w:gridSpan w:val="4"/>
          </w:tcPr>
          <w:p w14:paraId="74C3DB86" w14:textId="3B099BF6" w:rsidR="00901762" w:rsidRPr="000D2BF3" w:rsidRDefault="00901762" w:rsidP="000D2BF3">
            <w:pPr>
              <w:pStyle w:val="Tabelle-Text"/>
              <w:rPr>
                <w:b/>
                <w:bCs w:val="0"/>
                <w:lang w:eastAsia="en-US"/>
              </w:rPr>
            </w:pPr>
            <w:r w:rsidRPr="000D2BF3">
              <w:rPr>
                <w:b/>
                <w:bCs w:val="0"/>
              </w:rPr>
              <w:t>Relationship with participants</w:t>
            </w:r>
          </w:p>
        </w:tc>
      </w:tr>
      <w:tr w:rsidR="00901762" w14:paraId="1940C1B3" w14:textId="77777777" w:rsidTr="001153F4">
        <w:tc>
          <w:tcPr>
            <w:tcW w:w="0" w:type="auto"/>
          </w:tcPr>
          <w:p w14:paraId="07BE2804" w14:textId="0E021D55" w:rsidR="00901762" w:rsidRDefault="00901762" w:rsidP="000D2BF3">
            <w:pPr>
              <w:pStyle w:val="Tabelle-Text"/>
              <w:rPr>
                <w:lang w:eastAsia="en-US"/>
              </w:rPr>
            </w:pPr>
            <w:r>
              <w:t>6.</w:t>
            </w:r>
          </w:p>
        </w:tc>
        <w:tc>
          <w:tcPr>
            <w:tcW w:w="2050" w:type="dxa"/>
          </w:tcPr>
          <w:p w14:paraId="2511C56C" w14:textId="022BF9BC" w:rsidR="00901762" w:rsidRDefault="00901762" w:rsidP="000D2BF3">
            <w:pPr>
              <w:pStyle w:val="Tabelle-Text"/>
              <w:rPr>
                <w:lang w:eastAsia="en-US"/>
              </w:rPr>
            </w:pPr>
            <w:r>
              <w:t>Relationship established</w:t>
            </w:r>
          </w:p>
        </w:tc>
        <w:tc>
          <w:tcPr>
            <w:tcW w:w="3643" w:type="dxa"/>
          </w:tcPr>
          <w:p w14:paraId="35CF7AE7" w14:textId="6C184915" w:rsidR="00901762" w:rsidRDefault="00901762" w:rsidP="000D2BF3">
            <w:pPr>
              <w:pStyle w:val="Tabelle-Text"/>
              <w:rPr>
                <w:lang w:eastAsia="en-US"/>
              </w:rPr>
            </w:pPr>
            <w:r>
              <w:t>Was a relationship established prior to study commencement?</w:t>
            </w:r>
          </w:p>
        </w:tc>
        <w:tc>
          <w:tcPr>
            <w:tcW w:w="3844" w:type="dxa"/>
          </w:tcPr>
          <w:p w14:paraId="7B557A46" w14:textId="5748D57F" w:rsidR="00901762" w:rsidRDefault="0006796E" w:rsidP="000D2BF3">
            <w:pPr>
              <w:pStyle w:val="Tabelle-Text"/>
              <w:rPr>
                <w:lang w:eastAsia="en-US"/>
              </w:rPr>
            </w:pPr>
            <w:r>
              <w:rPr>
                <w:lang w:eastAsia="en-US"/>
              </w:rPr>
              <w:t>No</w:t>
            </w:r>
            <w:r w:rsidR="005C3655">
              <w:rPr>
                <w:lang w:eastAsia="en-US"/>
              </w:rPr>
              <w:t xml:space="preserve"> personal relationships between researchers and participants</w:t>
            </w:r>
            <w:r>
              <w:rPr>
                <w:lang w:eastAsia="en-US"/>
              </w:rPr>
              <w:t xml:space="preserve">, interview and workshop participants were from the professional network of the authors </w:t>
            </w:r>
          </w:p>
        </w:tc>
      </w:tr>
      <w:tr w:rsidR="00901762" w14:paraId="0C9DFF23" w14:textId="77777777" w:rsidTr="001153F4">
        <w:tc>
          <w:tcPr>
            <w:tcW w:w="0" w:type="auto"/>
          </w:tcPr>
          <w:p w14:paraId="6453A3A7" w14:textId="7AB895C7" w:rsidR="00901762" w:rsidRDefault="00901762" w:rsidP="000D2BF3">
            <w:pPr>
              <w:pStyle w:val="Tabelle-Text"/>
              <w:rPr>
                <w:lang w:eastAsia="en-US"/>
              </w:rPr>
            </w:pPr>
            <w:r>
              <w:t>7.</w:t>
            </w:r>
          </w:p>
        </w:tc>
        <w:tc>
          <w:tcPr>
            <w:tcW w:w="2050" w:type="dxa"/>
          </w:tcPr>
          <w:p w14:paraId="77BA1D46" w14:textId="1656DA52" w:rsidR="00901762" w:rsidRDefault="00901762" w:rsidP="000D2BF3">
            <w:pPr>
              <w:pStyle w:val="Tabelle-Text"/>
              <w:rPr>
                <w:lang w:eastAsia="en-US"/>
              </w:rPr>
            </w:pPr>
            <w:r>
              <w:t>Participant knowledge of the interviewer</w:t>
            </w:r>
          </w:p>
        </w:tc>
        <w:tc>
          <w:tcPr>
            <w:tcW w:w="3643" w:type="dxa"/>
          </w:tcPr>
          <w:p w14:paraId="3A01FDF1" w14:textId="1D024C57" w:rsidR="00901762" w:rsidRDefault="00901762" w:rsidP="000D2BF3">
            <w:pPr>
              <w:pStyle w:val="Tabelle-Text"/>
              <w:rPr>
                <w:lang w:eastAsia="en-US"/>
              </w:rPr>
            </w:pPr>
            <w:r>
              <w:t>What did the participants know about the researcher? </w:t>
            </w:r>
            <w:r>
              <w:rPr>
                <w:i/>
                <w:iCs/>
              </w:rPr>
              <w:t>e.g. personal goals, reasons for doing the research</w:t>
            </w:r>
          </w:p>
        </w:tc>
        <w:tc>
          <w:tcPr>
            <w:tcW w:w="3844" w:type="dxa"/>
          </w:tcPr>
          <w:p w14:paraId="054A40A0" w14:textId="21531FC5" w:rsidR="00901762" w:rsidRDefault="000D2BF3" w:rsidP="000D2BF3">
            <w:pPr>
              <w:pStyle w:val="Tabelle-Text"/>
              <w:rPr>
                <w:lang w:eastAsia="en-US"/>
              </w:rPr>
            </w:pPr>
            <w:r>
              <w:rPr>
                <w:lang w:eastAsia="en-US"/>
              </w:rPr>
              <w:t xml:space="preserve">Study objectives were introduced at the beginning of the interview (see </w:t>
            </w:r>
            <w:r>
              <w:rPr>
                <w:lang w:eastAsia="en-US"/>
              </w:rPr>
              <w:fldChar w:fldCharType="begin"/>
            </w:r>
            <w:r>
              <w:rPr>
                <w:lang w:eastAsia="en-US"/>
              </w:rPr>
              <w:instrText xml:space="preserve"> REF _Ref216366958 \h  \* MERGEFORMAT </w:instrText>
            </w:r>
            <w:r>
              <w:rPr>
                <w:lang w:eastAsia="en-US"/>
              </w:rPr>
            </w:r>
            <w:r>
              <w:rPr>
                <w:lang w:eastAsia="en-US"/>
              </w:rPr>
              <w:fldChar w:fldCharType="separate"/>
            </w:r>
            <w:r w:rsidRPr="00FC2735">
              <w:t xml:space="preserve">Table </w:t>
            </w:r>
            <w:r>
              <w:rPr>
                <w:noProof/>
              </w:rPr>
              <w:t>6</w:t>
            </w:r>
            <w:r>
              <w:rPr>
                <w:lang w:eastAsia="en-US"/>
              </w:rPr>
              <w:fldChar w:fldCharType="end"/>
            </w:r>
            <w:r>
              <w:rPr>
                <w:lang w:eastAsia="en-US"/>
              </w:rPr>
              <w:t>)</w:t>
            </w:r>
          </w:p>
        </w:tc>
      </w:tr>
      <w:tr w:rsidR="00901762" w14:paraId="6246006D" w14:textId="77777777" w:rsidTr="00C624C7">
        <w:tc>
          <w:tcPr>
            <w:tcW w:w="0" w:type="auto"/>
          </w:tcPr>
          <w:p w14:paraId="2451A05B" w14:textId="7C376331" w:rsidR="00901762" w:rsidRDefault="00901762" w:rsidP="000D2BF3">
            <w:pPr>
              <w:pStyle w:val="Tabelle-Text"/>
              <w:rPr>
                <w:lang w:eastAsia="en-US"/>
              </w:rPr>
            </w:pPr>
            <w:r>
              <w:t>8.</w:t>
            </w:r>
          </w:p>
        </w:tc>
        <w:tc>
          <w:tcPr>
            <w:tcW w:w="2050" w:type="dxa"/>
          </w:tcPr>
          <w:p w14:paraId="6A819733" w14:textId="73E55AD7" w:rsidR="00901762" w:rsidRDefault="00901762" w:rsidP="000D2BF3">
            <w:pPr>
              <w:pStyle w:val="Tabelle-Text"/>
              <w:rPr>
                <w:lang w:eastAsia="en-US"/>
              </w:rPr>
            </w:pPr>
            <w:r>
              <w:t>Interviewer characteristics</w:t>
            </w:r>
          </w:p>
        </w:tc>
        <w:tc>
          <w:tcPr>
            <w:tcW w:w="3643" w:type="dxa"/>
          </w:tcPr>
          <w:p w14:paraId="08927F0F" w14:textId="40DAD6AD" w:rsidR="00901762" w:rsidRDefault="00901762" w:rsidP="000D2BF3">
            <w:pPr>
              <w:pStyle w:val="Tabelle-Text"/>
              <w:rPr>
                <w:lang w:eastAsia="en-US"/>
              </w:rPr>
            </w:pPr>
            <w:r>
              <w:t>What characteristics were reported about the interviewer/facilitator? </w:t>
            </w:r>
            <w:r>
              <w:rPr>
                <w:i/>
                <w:iCs/>
              </w:rPr>
              <w:t>e.g. Bias, assumptions, reasons and interests in the research topic</w:t>
            </w:r>
          </w:p>
        </w:tc>
        <w:tc>
          <w:tcPr>
            <w:tcW w:w="3844" w:type="dxa"/>
          </w:tcPr>
          <w:p w14:paraId="4C332CAF" w14:textId="317B1622" w:rsidR="00901762" w:rsidRDefault="00C624C7" w:rsidP="000D2BF3">
            <w:pPr>
              <w:pStyle w:val="Tabelle-Text"/>
              <w:rPr>
                <w:lang w:eastAsia="en-US"/>
              </w:rPr>
            </w:pPr>
            <w:r>
              <w:rPr>
                <w:lang w:eastAsia="en-US"/>
              </w:rPr>
              <w:t xml:space="preserve">See </w:t>
            </w:r>
            <w:r w:rsidRPr="00C624C7">
              <w:rPr>
                <w:lang w:eastAsia="en-US"/>
              </w:rPr>
              <w:t>introduction section</w:t>
            </w:r>
            <w:r>
              <w:rPr>
                <w:lang w:eastAsia="en-US"/>
              </w:rPr>
              <w:t xml:space="preserve"> of the interview guide in Table 6 </w:t>
            </w:r>
          </w:p>
        </w:tc>
      </w:tr>
      <w:tr w:rsidR="00901762" w14:paraId="030C8AB6" w14:textId="77777777" w:rsidTr="000D2BF3">
        <w:tc>
          <w:tcPr>
            <w:tcW w:w="0" w:type="auto"/>
            <w:gridSpan w:val="4"/>
            <w:shd w:val="clear" w:color="auto" w:fill="D9D9D9" w:themeFill="background1" w:themeFillShade="D9"/>
          </w:tcPr>
          <w:p w14:paraId="1FB1CCDA" w14:textId="1F7C1DB0" w:rsidR="00901762" w:rsidRDefault="00901762" w:rsidP="000D2BF3">
            <w:pPr>
              <w:pStyle w:val="Tabelle-Text"/>
              <w:rPr>
                <w:lang w:eastAsia="en-US"/>
              </w:rPr>
            </w:pPr>
            <w:r>
              <w:rPr>
                <w:b/>
              </w:rPr>
              <w:t xml:space="preserve">Domain 2: </w:t>
            </w:r>
            <w:r w:rsidR="0006796E">
              <w:rPr>
                <w:b/>
              </w:rPr>
              <w:t>S</w:t>
            </w:r>
            <w:r>
              <w:rPr>
                <w:b/>
              </w:rPr>
              <w:t>tudy design</w:t>
            </w:r>
          </w:p>
        </w:tc>
      </w:tr>
      <w:tr w:rsidR="00901762" w14:paraId="42620AA5" w14:textId="77777777" w:rsidTr="000D2BF3">
        <w:tc>
          <w:tcPr>
            <w:tcW w:w="0" w:type="auto"/>
            <w:gridSpan w:val="4"/>
          </w:tcPr>
          <w:p w14:paraId="2AD4D7A8" w14:textId="2912C048" w:rsidR="00901762" w:rsidRPr="000D2BF3" w:rsidRDefault="00901762" w:rsidP="000D2BF3">
            <w:pPr>
              <w:pStyle w:val="Tabelle-Text"/>
              <w:rPr>
                <w:b/>
                <w:bCs w:val="0"/>
                <w:lang w:eastAsia="en-US"/>
              </w:rPr>
            </w:pPr>
            <w:r w:rsidRPr="000D2BF3">
              <w:rPr>
                <w:b/>
                <w:bCs w:val="0"/>
              </w:rPr>
              <w:t>Theoretical framework</w:t>
            </w:r>
          </w:p>
        </w:tc>
      </w:tr>
      <w:tr w:rsidR="00901762" w14:paraId="24A7D725" w14:textId="77777777" w:rsidTr="001153F4">
        <w:tc>
          <w:tcPr>
            <w:tcW w:w="0" w:type="auto"/>
          </w:tcPr>
          <w:p w14:paraId="463F21C6" w14:textId="02CADBEA" w:rsidR="00901762" w:rsidRDefault="00901762" w:rsidP="000D2BF3">
            <w:pPr>
              <w:pStyle w:val="Tabelle-Text"/>
              <w:rPr>
                <w:lang w:eastAsia="en-US"/>
              </w:rPr>
            </w:pPr>
            <w:r>
              <w:t>9.</w:t>
            </w:r>
          </w:p>
        </w:tc>
        <w:tc>
          <w:tcPr>
            <w:tcW w:w="2050" w:type="dxa"/>
          </w:tcPr>
          <w:p w14:paraId="7EFF8DDB" w14:textId="3B6347B8" w:rsidR="00901762" w:rsidRDefault="00901762" w:rsidP="000D2BF3">
            <w:pPr>
              <w:pStyle w:val="Tabelle-Text"/>
              <w:rPr>
                <w:lang w:eastAsia="en-US"/>
              </w:rPr>
            </w:pPr>
            <w:r>
              <w:t>Methodological orientation and Theory</w:t>
            </w:r>
          </w:p>
        </w:tc>
        <w:tc>
          <w:tcPr>
            <w:tcW w:w="3643" w:type="dxa"/>
          </w:tcPr>
          <w:p w14:paraId="2CF1FE19" w14:textId="6AC34206" w:rsidR="00901762" w:rsidRDefault="00901762" w:rsidP="000D2BF3">
            <w:pPr>
              <w:pStyle w:val="Tabelle-Text"/>
              <w:rPr>
                <w:lang w:eastAsia="en-US"/>
              </w:rPr>
            </w:pPr>
            <w:r>
              <w:t>What methodological orientation was stated to underpin the study? </w:t>
            </w:r>
            <w:r>
              <w:rPr>
                <w:i/>
                <w:iCs/>
              </w:rPr>
              <w:t xml:space="preserve">e.g. grounded theory, discourse analysis, </w:t>
            </w:r>
            <w:r>
              <w:rPr>
                <w:i/>
                <w:iCs/>
              </w:rPr>
              <w:lastRenderedPageBreak/>
              <w:t>ethnography, phenomenology, content analysis</w:t>
            </w:r>
          </w:p>
        </w:tc>
        <w:tc>
          <w:tcPr>
            <w:tcW w:w="3844" w:type="dxa"/>
          </w:tcPr>
          <w:p w14:paraId="5BD20F75" w14:textId="3797D889" w:rsidR="00901762" w:rsidRDefault="000D2BF3" w:rsidP="000D2BF3">
            <w:pPr>
              <w:pStyle w:val="Tabelle-Text"/>
              <w:rPr>
                <w:lang w:eastAsia="en-US"/>
              </w:rPr>
            </w:pPr>
            <w:r>
              <w:rPr>
                <w:lang w:eastAsia="en-US"/>
              </w:rPr>
              <w:lastRenderedPageBreak/>
              <w:t xml:space="preserve">Content </w:t>
            </w:r>
            <w:r w:rsidR="008102F8">
              <w:rPr>
                <w:lang w:eastAsia="en-US"/>
              </w:rPr>
              <w:t>analysis:</w:t>
            </w:r>
            <w:r>
              <w:rPr>
                <w:lang w:eastAsia="en-US"/>
              </w:rPr>
              <w:t xml:space="preserve"> Interviews</w:t>
            </w:r>
            <w:r w:rsidR="0006796E">
              <w:rPr>
                <w:lang w:eastAsia="en-US"/>
              </w:rPr>
              <w:t xml:space="preserve"> and expert consultation</w:t>
            </w:r>
            <w:r w:rsidR="00C624C7">
              <w:rPr>
                <w:lang w:eastAsia="en-US"/>
              </w:rPr>
              <w:t xml:space="preserve"> served as a mechanism to </w:t>
            </w:r>
            <w:r w:rsidR="00C624C7">
              <w:rPr>
                <w:lang w:eastAsia="en-US"/>
              </w:rPr>
              <w:lastRenderedPageBreak/>
              <w:t xml:space="preserve">identify </w:t>
            </w:r>
            <w:r>
              <w:rPr>
                <w:lang w:eastAsia="en-US"/>
              </w:rPr>
              <w:t>(legal) sources</w:t>
            </w:r>
            <w:r w:rsidR="00C624C7">
              <w:rPr>
                <w:lang w:eastAsia="en-US"/>
              </w:rPr>
              <w:t xml:space="preserve"> and to verify our results (see methods)</w:t>
            </w:r>
          </w:p>
        </w:tc>
      </w:tr>
      <w:tr w:rsidR="00901762" w14:paraId="1E3B416B" w14:textId="77777777" w:rsidTr="000D2BF3">
        <w:tc>
          <w:tcPr>
            <w:tcW w:w="0" w:type="auto"/>
            <w:gridSpan w:val="4"/>
          </w:tcPr>
          <w:p w14:paraId="30CF5D4E" w14:textId="25DD5E4C" w:rsidR="00901762" w:rsidRPr="000D2BF3" w:rsidRDefault="00901762" w:rsidP="000D2BF3">
            <w:pPr>
              <w:pStyle w:val="Tabelle-Text"/>
              <w:rPr>
                <w:b/>
                <w:bCs w:val="0"/>
                <w:lang w:eastAsia="en-US"/>
              </w:rPr>
            </w:pPr>
            <w:r w:rsidRPr="000D2BF3">
              <w:rPr>
                <w:b/>
                <w:bCs w:val="0"/>
              </w:rPr>
              <w:lastRenderedPageBreak/>
              <w:t>Participant selection</w:t>
            </w:r>
          </w:p>
        </w:tc>
      </w:tr>
      <w:tr w:rsidR="00901762" w14:paraId="4BC491C1" w14:textId="77777777" w:rsidTr="001153F4">
        <w:tc>
          <w:tcPr>
            <w:tcW w:w="0" w:type="auto"/>
          </w:tcPr>
          <w:p w14:paraId="735DD308" w14:textId="3530057C" w:rsidR="00901762" w:rsidRDefault="00901762" w:rsidP="000D2BF3">
            <w:pPr>
              <w:pStyle w:val="Tabelle-Text"/>
              <w:rPr>
                <w:lang w:eastAsia="en-US"/>
              </w:rPr>
            </w:pPr>
            <w:r>
              <w:t>10.</w:t>
            </w:r>
          </w:p>
        </w:tc>
        <w:tc>
          <w:tcPr>
            <w:tcW w:w="2050" w:type="dxa"/>
          </w:tcPr>
          <w:p w14:paraId="7175CC52" w14:textId="0E4F4270" w:rsidR="00901762" w:rsidRDefault="00901762" w:rsidP="000D2BF3">
            <w:pPr>
              <w:pStyle w:val="Tabelle-Text"/>
              <w:rPr>
                <w:lang w:eastAsia="en-US"/>
              </w:rPr>
            </w:pPr>
            <w:r>
              <w:t>Sampling</w:t>
            </w:r>
          </w:p>
        </w:tc>
        <w:tc>
          <w:tcPr>
            <w:tcW w:w="3643" w:type="dxa"/>
          </w:tcPr>
          <w:p w14:paraId="4F2C4DB7" w14:textId="11B474BE" w:rsidR="00901762" w:rsidRDefault="00901762" w:rsidP="000D2BF3">
            <w:pPr>
              <w:pStyle w:val="Tabelle-Text"/>
              <w:rPr>
                <w:lang w:eastAsia="en-US"/>
              </w:rPr>
            </w:pPr>
            <w:r>
              <w:t>How were participants selected? </w:t>
            </w:r>
            <w:r>
              <w:rPr>
                <w:i/>
                <w:iCs/>
              </w:rPr>
              <w:t>e.g. purposive, convenience, consecutive, snowball</w:t>
            </w:r>
          </w:p>
        </w:tc>
        <w:tc>
          <w:tcPr>
            <w:tcW w:w="3844" w:type="dxa"/>
          </w:tcPr>
          <w:p w14:paraId="44640299" w14:textId="44651A5D" w:rsidR="00901762" w:rsidRDefault="005C3655" w:rsidP="000D2BF3">
            <w:pPr>
              <w:pStyle w:val="Tabelle-Text"/>
              <w:rPr>
                <w:lang w:eastAsia="en-US"/>
              </w:rPr>
            </w:pPr>
            <w:r>
              <w:rPr>
                <w:lang w:eastAsia="en-US"/>
              </w:rPr>
              <w:t>Purposive</w:t>
            </w:r>
            <w:r w:rsidRPr="008102F8">
              <w:rPr>
                <w:lang w:eastAsia="en-US"/>
              </w:rPr>
              <w:t xml:space="preserve"> </w:t>
            </w:r>
            <w:r w:rsidR="008102F8" w:rsidRPr="008102F8">
              <w:rPr>
                <w:lang w:eastAsia="en-US"/>
              </w:rPr>
              <w:t>samplin</w:t>
            </w:r>
            <w:r w:rsidR="008102F8">
              <w:rPr>
                <w:lang w:eastAsia="en-US"/>
              </w:rPr>
              <w:t>g: We</w:t>
            </w:r>
            <w:r w:rsidR="008102F8" w:rsidRPr="008102F8">
              <w:rPr>
                <w:lang w:eastAsia="en-US"/>
              </w:rPr>
              <w:t xml:space="preserve"> </w:t>
            </w:r>
            <w:r w:rsidR="008102F8">
              <w:rPr>
                <w:lang w:eastAsia="en-US"/>
              </w:rPr>
              <w:t xml:space="preserve">invited </w:t>
            </w:r>
            <w:r w:rsidR="008102F8" w:rsidRPr="008102F8">
              <w:rPr>
                <w:lang w:eastAsia="en-US"/>
              </w:rPr>
              <w:t>individuals with highly specialised expertise in food law and public health nutrition, which is held by only a small number of experts in Germany which limited the pool of potential participants</w:t>
            </w:r>
          </w:p>
        </w:tc>
      </w:tr>
      <w:tr w:rsidR="00901762" w14:paraId="57F30D77" w14:textId="77777777" w:rsidTr="001153F4">
        <w:tc>
          <w:tcPr>
            <w:tcW w:w="0" w:type="auto"/>
          </w:tcPr>
          <w:p w14:paraId="4F1881B6" w14:textId="52EF5D63" w:rsidR="00901762" w:rsidRDefault="00901762" w:rsidP="000D2BF3">
            <w:pPr>
              <w:pStyle w:val="Tabelle-Text"/>
              <w:rPr>
                <w:lang w:eastAsia="en-US"/>
              </w:rPr>
            </w:pPr>
            <w:r>
              <w:t>11.</w:t>
            </w:r>
          </w:p>
        </w:tc>
        <w:tc>
          <w:tcPr>
            <w:tcW w:w="2050" w:type="dxa"/>
          </w:tcPr>
          <w:p w14:paraId="7A3512D5" w14:textId="43DE79EE" w:rsidR="00901762" w:rsidRDefault="00901762" w:rsidP="000D2BF3">
            <w:pPr>
              <w:pStyle w:val="Tabelle-Text"/>
              <w:rPr>
                <w:lang w:eastAsia="en-US"/>
              </w:rPr>
            </w:pPr>
            <w:r>
              <w:t>Method of approach</w:t>
            </w:r>
          </w:p>
        </w:tc>
        <w:tc>
          <w:tcPr>
            <w:tcW w:w="3643" w:type="dxa"/>
          </w:tcPr>
          <w:p w14:paraId="61206EE9" w14:textId="48F86691" w:rsidR="00901762" w:rsidRDefault="00901762" w:rsidP="000D2BF3">
            <w:pPr>
              <w:pStyle w:val="Tabelle-Text"/>
              <w:rPr>
                <w:lang w:eastAsia="en-US"/>
              </w:rPr>
            </w:pPr>
            <w:r>
              <w:t>How were participants approached? </w:t>
            </w:r>
            <w:r>
              <w:rPr>
                <w:i/>
                <w:iCs/>
              </w:rPr>
              <w:t>e.g. face-to-face, telephone, mail, email</w:t>
            </w:r>
          </w:p>
        </w:tc>
        <w:tc>
          <w:tcPr>
            <w:tcW w:w="3844" w:type="dxa"/>
          </w:tcPr>
          <w:p w14:paraId="5BD00F97" w14:textId="5E57526A" w:rsidR="00901762" w:rsidRDefault="008B1A70" w:rsidP="000D2BF3">
            <w:pPr>
              <w:pStyle w:val="Tabelle-Text"/>
              <w:rPr>
                <w:lang w:eastAsia="en-US"/>
              </w:rPr>
            </w:pPr>
            <w:r>
              <w:rPr>
                <w:lang w:eastAsia="en-US"/>
              </w:rPr>
              <w:t xml:space="preserve">Initial outreach via e-mail; interactions via zoom and e-mail </w:t>
            </w:r>
          </w:p>
        </w:tc>
      </w:tr>
      <w:tr w:rsidR="00901762" w14:paraId="5385201E" w14:textId="77777777" w:rsidTr="001153F4">
        <w:tc>
          <w:tcPr>
            <w:tcW w:w="0" w:type="auto"/>
          </w:tcPr>
          <w:p w14:paraId="22586081" w14:textId="7C83B0F9" w:rsidR="00901762" w:rsidRDefault="00901762" w:rsidP="000D2BF3">
            <w:pPr>
              <w:pStyle w:val="Tabelle-Text"/>
              <w:rPr>
                <w:lang w:eastAsia="en-US"/>
              </w:rPr>
            </w:pPr>
            <w:r>
              <w:t>12.</w:t>
            </w:r>
          </w:p>
        </w:tc>
        <w:tc>
          <w:tcPr>
            <w:tcW w:w="2050" w:type="dxa"/>
          </w:tcPr>
          <w:p w14:paraId="337AF946" w14:textId="63293AAA" w:rsidR="00901762" w:rsidRDefault="00901762" w:rsidP="000D2BF3">
            <w:pPr>
              <w:pStyle w:val="Tabelle-Text"/>
              <w:rPr>
                <w:lang w:eastAsia="en-US"/>
              </w:rPr>
            </w:pPr>
            <w:r>
              <w:t>Sample size</w:t>
            </w:r>
          </w:p>
        </w:tc>
        <w:tc>
          <w:tcPr>
            <w:tcW w:w="3643" w:type="dxa"/>
          </w:tcPr>
          <w:p w14:paraId="0FB9C60E" w14:textId="3FBC6F7D" w:rsidR="00901762" w:rsidRDefault="00901762" w:rsidP="000D2BF3">
            <w:pPr>
              <w:pStyle w:val="Tabelle-Text"/>
              <w:rPr>
                <w:lang w:eastAsia="en-US"/>
              </w:rPr>
            </w:pPr>
            <w:r>
              <w:t>How many participants were in the study?</w:t>
            </w:r>
          </w:p>
        </w:tc>
        <w:tc>
          <w:tcPr>
            <w:tcW w:w="3844" w:type="dxa"/>
          </w:tcPr>
          <w:p w14:paraId="5A2B8B20" w14:textId="4017C022" w:rsidR="00901762" w:rsidRDefault="008B1A70" w:rsidP="000D2BF3">
            <w:pPr>
              <w:pStyle w:val="Tabelle-Text"/>
              <w:rPr>
                <w:lang w:eastAsia="en-US"/>
              </w:rPr>
            </w:pPr>
            <w:r>
              <w:t>See manuscript</w:t>
            </w:r>
          </w:p>
        </w:tc>
      </w:tr>
      <w:tr w:rsidR="00901762" w14:paraId="6493BEE8" w14:textId="77777777" w:rsidTr="001153F4">
        <w:tc>
          <w:tcPr>
            <w:tcW w:w="0" w:type="auto"/>
          </w:tcPr>
          <w:p w14:paraId="352E0267" w14:textId="3B0DDF2F" w:rsidR="00901762" w:rsidRDefault="00901762" w:rsidP="000D2BF3">
            <w:pPr>
              <w:pStyle w:val="Tabelle-Text"/>
              <w:rPr>
                <w:lang w:eastAsia="en-US"/>
              </w:rPr>
            </w:pPr>
            <w:r>
              <w:t>13.</w:t>
            </w:r>
          </w:p>
        </w:tc>
        <w:tc>
          <w:tcPr>
            <w:tcW w:w="2050" w:type="dxa"/>
          </w:tcPr>
          <w:p w14:paraId="411F0BA6" w14:textId="1E37E093" w:rsidR="00901762" w:rsidRDefault="00901762" w:rsidP="000D2BF3">
            <w:pPr>
              <w:pStyle w:val="Tabelle-Text"/>
              <w:rPr>
                <w:lang w:eastAsia="en-US"/>
              </w:rPr>
            </w:pPr>
            <w:r>
              <w:t>Non-participation</w:t>
            </w:r>
          </w:p>
        </w:tc>
        <w:tc>
          <w:tcPr>
            <w:tcW w:w="3643" w:type="dxa"/>
          </w:tcPr>
          <w:p w14:paraId="5F0EBE2A" w14:textId="60AF1A5A" w:rsidR="00901762" w:rsidRDefault="00901762" w:rsidP="000D2BF3">
            <w:pPr>
              <w:pStyle w:val="Tabelle-Text"/>
              <w:rPr>
                <w:lang w:eastAsia="en-US"/>
              </w:rPr>
            </w:pPr>
            <w:r>
              <w:t>How many people refused to participate or dropped out? Reasons?</w:t>
            </w:r>
          </w:p>
        </w:tc>
        <w:tc>
          <w:tcPr>
            <w:tcW w:w="3844" w:type="dxa"/>
          </w:tcPr>
          <w:p w14:paraId="60A8B5C9" w14:textId="2456BC5A" w:rsidR="008102F8" w:rsidRDefault="008B1A70" w:rsidP="000D2BF3">
            <w:pPr>
              <w:pStyle w:val="Tabelle-Text"/>
              <w:rPr>
                <w:lang w:eastAsia="en-US"/>
              </w:rPr>
            </w:pPr>
            <w:r>
              <w:rPr>
                <w:lang w:eastAsia="en-US"/>
              </w:rPr>
              <w:t xml:space="preserve">Reasons for not participating were </w:t>
            </w:r>
            <w:r w:rsidR="008102F8" w:rsidRPr="008102F8">
              <w:rPr>
                <w:lang w:eastAsia="en-US"/>
              </w:rPr>
              <w:t>perceived lack of appropriate expertise</w:t>
            </w:r>
          </w:p>
          <w:p w14:paraId="0F1CF29A" w14:textId="54ACD590" w:rsidR="00901762" w:rsidRDefault="008B1A70" w:rsidP="008B1A70">
            <w:pPr>
              <w:pStyle w:val="Tabelle-Text"/>
              <w:rPr>
                <w:lang w:eastAsia="en-US"/>
              </w:rPr>
            </w:pPr>
            <w:r>
              <w:rPr>
                <w:lang w:eastAsia="en-US"/>
              </w:rPr>
              <w:t>Or lack of time; please see table 3 in the manuscript for further details</w:t>
            </w:r>
          </w:p>
        </w:tc>
      </w:tr>
      <w:tr w:rsidR="00901762" w14:paraId="461A3798" w14:textId="77777777" w:rsidTr="000D2BF3">
        <w:tc>
          <w:tcPr>
            <w:tcW w:w="0" w:type="auto"/>
            <w:gridSpan w:val="4"/>
          </w:tcPr>
          <w:p w14:paraId="5BB19126" w14:textId="6695B212" w:rsidR="00901762" w:rsidRPr="008B1A70" w:rsidRDefault="00901762" w:rsidP="000D2BF3">
            <w:pPr>
              <w:pStyle w:val="Tabelle-Text"/>
              <w:rPr>
                <w:b/>
                <w:bCs w:val="0"/>
                <w:lang w:eastAsia="en-US"/>
              </w:rPr>
            </w:pPr>
            <w:r w:rsidRPr="008B1A70">
              <w:rPr>
                <w:b/>
                <w:bCs w:val="0"/>
              </w:rPr>
              <w:t>Setting</w:t>
            </w:r>
          </w:p>
        </w:tc>
      </w:tr>
      <w:tr w:rsidR="00901762" w14:paraId="044B6E7A" w14:textId="77777777" w:rsidTr="001153F4">
        <w:tc>
          <w:tcPr>
            <w:tcW w:w="0" w:type="auto"/>
          </w:tcPr>
          <w:p w14:paraId="76D3A56C" w14:textId="751ADF4C" w:rsidR="00901762" w:rsidRDefault="00901762" w:rsidP="000D2BF3">
            <w:pPr>
              <w:pStyle w:val="Tabelle-Text"/>
              <w:rPr>
                <w:lang w:eastAsia="en-US"/>
              </w:rPr>
            </w:pPr>
            <w:r>
              <w:t>14.</w:t>
            </w:r>
          </w:p>
        </w:tc>
        <w:tc>
          <w:tcPr>
            <w:tcW w:w="2050" w:type="dxa"/>
          </w:tcPr>
          <w:p w14:paraId="307E0CF5" w14:textId="22F55894" w:rsidR="00901762" w:rsidRDefault="00901762" w:rsidP="000D2BF3">
            <w:pPr>
              <w:pStyle w:val="Tabelle-Text"/>
              <w:rPr>
                <w:lang w:eastAsia="en-US"/>
              </w:rPr>
            </w:pPr>
            <w:r>
              <w:t>Setting of data collection</w:t>
            </w:r>
          </w:p>
        </w:tc>
        <w:tc>
          <w:tcPr>
            <w:tcW w:w="3643" w:type="dxa"/>
          </w:tcPr>
          <w:p w14:paraId="6EC3DC0E" w14:textId="3953E3E2" w:rsidR="00901762" w:rsidRDefault="00901762" w:rsidP="000D2BF3">
            <w:pPr>
              <w:pStyle w:val="Tabelle-Text"/>
              <w:rPr>
                <w:lang w:eastAsia="en-US"/>
              </w:rPr>
            </w:pPr>
            <w:r>
              <w:t>Where was the data collected? </w:t>
            </w:r>
            <w:r>
              <w:rPr>
                <w:i/>
                <w:iCs/>
              </w:rPr>
              <w:t>e.g. home, clinic, workplace</w:t>
            </w:r>
          </w:p>
        </w:tc>
        <w:tc>
          <w:tcPr>
            <w:tcW w:w="3844" w:type="dxa"/>
          </w:tcPr>
          <w:p w14:paraId="48B244AE" w14:textId="3410E1C8" w:rsidR="00901762" w:rsidRDefault="00403BBE" w:rsidP="000D2BF3">
            <w:pPr>
              <w:pStyle w:val="Tabelle-Text"/>
              <w:rPr>
                <w:lang w:eastAsia="en-US"/>
              </w:rPr>
            </w:pPr>
            <w:r>
              <w:rPr>
                <w:lang w:eastAsia="en-US"/>
              </w:rPr>
              <w:t>I</w:t>
            </w:r>
            <w:r w:rsidR="008A2BE8">
              <w:rPr>
                <w:lang w:eastAsia="en-US"/>
              </w:rPr>
              <w:t>nterviews: Zoom interviews</w:t>
            </w:r>
          </w:p>
          <w:p w14:paraId="4690C216" w14:textId="77777777" w:rsidR="00403BBE" w:rsidRDefault="008A2BE8" w:rsidP="000D2BF3">
            <w:pPr>
              <w:pStyle w:val="Tabelle-Text"/>
              <w:rPr>
                <w:lang w:eastAsia="en-US"/>
              </w:rPr>
            </w:pPr>
            <w:r>
              <w:rPr>
                <w:lang w:eastAsia="en-US"/>
              </w:rPr>
              <w:t xml:space="preserve">Consultation: </w:t>
            </w:r>
            <w:r w:rsidR="00403BBE">
              <w:rPr>
                <w:lang w:eastAsia="en-US"/>
              </w:rPr>
              <w:t>Written feedback using e-mail or the c</w:t>
            </w:r>
            <w:r>
              <w:rPr>
                <w:lang w:eastAsia="en-US"/>
              </w:rPr>
              <w:t xml:space="preserve">omment function in word, </w:t>
            </w:r>
            <w:r w:rsidR="00403BBE">
              <w:rPr>
                <w:lang w:eastAsia="en-US"/>
              </w:rPr>
              <w:t>o</w:t>
            </w:r>
            <w:r>
              <w:rPr>
                <w:lang w:eastAsia="en-US"/>
              </w:rPr>
              <w:t>nline workshop conducted via zoom</w:t>
            </w:r>
          </w:p>
          <w:p w14:paraId="631052F5" w14:textId="43CC9207" w:rsidR="00403BBE" w:rsidRDefault="00403BBE" w:rsidP="000D2BF3">
            <w:pPr>
              <w:pStyle w:val="Tabelle-Text"/>
              <w:rPr>
                <w:lang w:eastAsia="en-US"/>
              </w:rPr>
            </w:pPr>
            <w:r>
              <w:rPr>
                <w:lang w:eastAsia="en-US"/>
              </w:rPr>
              <w:t xml:space="preserve">See manuscript </w:t>
            </w:r>
          </w:p>
        </w:tc>
      </w:tr>
      <w:tr w:rsidR="00901762" w14:paraId="1A730FCF" w14:textId="77777777" w:rsidTr="001153F4">
        <w:tc>
          <w:tcPr>
            <w:tcW w:w="0" w:type="auto"/>
          </w:tcPr>
          <w:p w14:paraId="5CDA0041" w14:textId="625A1ED4" w:rsidR="00901762" w:rsidRDefault="00901762" w:rsidP="000D2BF3">
            <w:pPr>
              <w:pStyle w:val="Tabelle-Text"/>
              <w:rPr>
                <w:lang w:eastAsia="en-US"/>
              </w:rPr>
            </w:pPr>
            <w:r>
              <w:t>15.</w:t>
            </w:r>
          </w:p>
        </w:tc>
        <w:tc>
          <w:tcPr>
            <w:tcW w:w="2050" w:type="dxa"/>
          </w:tcPr>
          <w:p w14:paraId="3248B7D3" w14:textId="365DA107" w:rsidR="00901762" w:rsidRDefault="00901762" w:rsidP="000D2BF3">
            <w:pPr>
              <w:pStyle w:val="Tabelle-Text"/>
              <w:rPr>
                <w:lang w:eastAsia="en-US"/>
              </w:rPr>
            </w:pPr>
            <w:r>
              <w:t>Presence of non-participants</w:t>
            </w:r>
          </w:p>
        </w:tc>
        <w:tc>
          <w:tcPr>
            <w:tcW w:w="3643" w:type="dxa"/>
          </w:tcPr>
          <w:p w14:paraId="2AC0D6F2" w14:textId="40F7669B" w:rsidR="00901762" w:rsidRDefault="00901762" w:rsidP="000D2BF3">
            <w:pPr>
              <w:pStyle w:val="Tabelle-Text"/>
              <w:rPr>
                <w:lang w:eastAsia="en-US"/>
              </w:rPr>
            </w:pPr>
            <w:r>
              <w:t>Was anyone else present besides the participants and researchers?</w:t>
            </w:r>
          </w:p>
        </w:tc>
        <w:tc>
          <w:tcPr>
            <w:tcW w:w="3844" w:type="dxa"/>
          </w:tcPr>
          <w:p w14:paraId="5D4E2876" w14:textId="5ADCDB58" w:rsidR="008A2BE8" w:rsidRDefault="008A2BE8" w:rsidP="000D2BF3">
            <w:pPr>
              <w:pStyle w:val="Tabelle-Text"/>
              <w:rPr>
                <w:lang w:eastAsia="en-US"/>
              </w:rPr>
            </w:pPr>
            <w:r>
              <w:rPr>
                <w:lang w:eastAsia="en-US"/>
              </w:rPr>
              <w:t xml:space="preserve">No. The interviews were conducted by the first author. For the workshop three out of five authors were present </w:t>
            </w:r>
          </w:p>
        </w:tc>
      </w:tr>
      <w:tr w:rsidR="00901762" w14:paraId="63B2B811" w14:textId="77777777" w:rsidTr="001153F4">
        <w:tc>
          <w:tcPr>
            <w:tcW w:w="0" w:type="auto"/>
          </w:tcPr>
          <w:p w14:paraId="4B3242FA" w14:textId="6E2812B6" w:rsidR="00901762" w:rsidRDefault="00901762" w:rsidP="000D2BF3">
            <w:pPr>
              <w:pStyle w:val="Tabelle-Text"/>
              <w:rPr>
                <w:lang w:eastAsia="en-US"/>
              </w:rPr>
            </w:pPr>
            <w:r>
              <w:t>16.</w:t>
            </w:r>
          </w:p>
        </w:tc>
        <w:tc>
          <w:tcPr>
            <w:tcW w:w="2050" w:type="dxa"/>
          </w:tcPr>
          <w:p w14:paraId="6240554C" w14:textId="1262B81F" w:rsidR="00901762" w:rsidRDefault="00901762" w:rsidP="000D2BF3">
            <w:pPr>
              <w:pStyle w:val="Tabelle-Text"/>
              <w:rPr>
                <w:lang w:eastAsia="en-US"/>
              </w:rPr>
            </w:pPr>
            <w:r>
              <w:t>Description of sample</w:t>
            </w:r>
          </w:p>
        </w:tc>
        <w:tc>
          <w:tcPr>
            <w:tcW w:w="3643" w:type="dxa"/>
          </w:tcPr>
          <w:p w14:paraId="591534B3" w14:textId="703E353B" w:rsidR="00901762" w:rsidRDefault="00901762" w:rsidP="000D2BF3">
            <w:pPr>
              <w:pStyle w:val="Tabelle-Text"/>
              <w:rPr>
                <w:lang w:eastAsia="en-US"/>
              </w:rPr>
            </w:pPr>
            <w:r>
              <w:t>What are the important characteristics of the sample? </w:t>
            </w:r>
            <w:r>
              <w:rPr>
                <w:i/>
                <w:iCs/>
              </w:rPr>
              <w:t>e.g. demographic data, date</w:t>
            </w:r>
          </w:p>
        </w:tc>
        <w:tc>
          <w:tcPr>
            <w:tcW w:w="3844" w:type="dxa"/>
          </w:tcPr>
          <w:p w14:paraId="456235B2" w14:textId="71488BAF" w:rsidR="00901762" w:rsidRDefault="008A2BE8" w:rsidP="000D2BF3">
            <w:pPr>
              <w:pStyle w:val="Tabelle-Text"/>
              <w:rPr>
                <w:lang w:eastAsia="en-US"/>
              </w:rPr>
            </w:pPr>
            <w:r>
              <w:rPr>
                <w:lang w:eastAsia="en-US"/>
              </w:rPr>
              <w:t xml:space="preserve">Occupation was the main characteristic for the sample. </w:t>
            </w:r>
          </w:p>
        </w:tc>
      </w:tr>
      <w:tr w:rsidR="00901762" w14:paraId="640F3CA3" w14:textId="77777777" w:rsidTr="000D2BF3">
        <w:tc>
          <w:tcPr>
            <w:tcW w:w="0" w:type="auto"/>
            <w:gridSpan w:val="4"/>
          </w:tcPr>
          <w:p w14:paraId="149CF27C" w14:textId="45D69C52" w:rsidR="00901762" w:rsidRPr="008B1A70" w:rsidRDefault="00901762" w:rsidP="000D2BF3">
            <w:pPr>
              <w:pStyle w:val="Tabelle-Text"/>
              <w:rPr>
                <w:b/>
                <w:bCs w:val="0"/>
                <w:lang w:eastAsia="en-US"/>
              </w:rPr>
            </w:pPr>
            <w:r w:rsidRPr="008B1A70">
              <w:rPr>
                <w:b/>
                <w:bCs w:val="0"/>
              </w:rPr>
              <w:t>Data collection</w:t>
            </w:r>
          </w:p>
        </w:tc>
      </w:tr>
      <w:tr w:rsidR="00901762" w14:paraId="39EB2C2F" w14:textId="77777777" w:rsidTr="001153F4">
        <w:tc>
          <w:tcPr>
            <w:tcW w:w="0" w:type="auto"/>
          </w:tcPr>
          <w:p w14:paraId="37961EE5" w14:textId="47282BB5" w:rsidR="00901762" w:rsidRDefault="00901762" w:rsidP="000D2BF3">
            <w:pPr>
              <w:pStyle w:val="Tabelle-Text"/>
              <w:rPr>
                <w:lang w:eastAsia="en-US"/>
              </w:rPr>
            </w:pPr>
            <w:r>
              <w:t>17.</w:t>
            </w:r>
          </w:p>
        </w:tc>
        <w:tc>
          <w:tcPr>
            <w:tcW w:w="2050" w:type="dxa"/>
          </w:tcPr>
          <w:p w14:paraId="152BFD54" w14:textId="6B21A375" w:rsidR="00901762" w:rsidRDefault="00901762" w:rsidP="000D2BF3">
            <w:pPr>
              <w:pStyle w:val="Tabelle-Text"/>
              <w:rPr>
                <w:lang w:eastAsia="en-US"/>
              </w:rPr>
            </w:pPr>
            <w:r>
              <w:t>Interview guide</w:t>
            </w:r>
          </w:p>
        </w:tc>
        <w:tc>
          <w:tcPr>
            <w:tcW w:w="3643" w:type="dxa"/>
          </w:tcPr>
          <w:p w14:paraId="53A23397" w14:textId="04889E24" w:rsidR="00901762" w:rsidRDefault="00901762" w:rsidP="000D2BF3">
            <w:pPr>
              <w:pStyle w:val="Tabelle-Text"/>
              <w:rPr>
                <w:lang w:eastAsia="en-US"/>
              </w:rPr>
            </w:pPr>
            <w:r>
              <w:t>Were questions, prompts, guides provided by the authors? Was it pilot tested?</w:t>
            </w:r>
          </w:p>
        </w:tc>
        <w:tc>
          <w:tcPr>
            <w:tcW w:w="3844" w:type="dxa"/>
          </w:tcPr>
          <w:p w14:paraId="33896B6E" w14:textId="1A3D7DA2" w:rsidR="00901762" w:rsidRDefault="001639B3" w:rsidP="000D2BF3">
            <w:pPr>
              <w:pStyle w:val="Tabelle-Text"/>
              <w:rPr>
                <w:lang w:eastAsia="en-US"/>
              </w:rPr>
            </w:pPr>
            <w:r>
              <w:rPr>
                <w:lang w:eastAsia="en-US"/>
              </w:rPr>
              <w:t>See interview guide below</w:t>
            </w:r>
          </w:p>
        </w:tc>
      </w:tr>
      <w:tr w:rsidR="00901762" w14:paraId="6EE06E80" w14:textId="77777777" w:rsidTr="001153F4">
        <w:tc>
          <w:tcPr>
            <w:tcW w:w="0" w:type="auto"/>
          </w:tcPr>
          <w:p w14:paraId="0E0ADD05" w14:textId="08278E71" w:rsidR="00901762" w:rsidRDefault="00901762" w:rsidP="000D2BF3">
            <w:pPr>
              <w:pStyle w:val="Tabelle-Text"/>
              <w:rPr>
                <w:lang w:eastAsia="en-US"/>
              </w:rPr>
            </w:pPr>
            <w:r>
              <w:t>18.</w:t>
            </w:r>
          </w:p>
        </w:tc>
        <w:tc>
          <w:tcPr>
            <w:tcW w:w="2050" w:type="dxa"/>
          </w:tcPr>
          <w:p w14:paraId="51CDC967" w14:textId="709043D7" w:rsidR="00901762" w:rsidRDefault="00901762" w:rsidP="000D2BF3">
            <w:pPr>
              <w:pStyle w:val="Tabelle-Text"/>
              <w:rPr>
                <w:lang w:eastAsia="en-US"/>
              </w:rPr>
            </w:pPr>
            <w:r>
              <w:t>Repeat interviews</w:t>
            </w:r>
          </w:p>
        </w:tc>
        <w:tc>
          <w:tcPr>
            <w:tcW w:w="3643" w:type="dxa"/>
          </w:tcPr>
          <w:p w14:paraId="5EB46449" w14:textId="6987712F" w:rsidR="00901762" w:rsidRDefault="00901762" w:rsidP="000D2BF3">
            <w:pPr>
              <w:pStyle w:val="Tabelle-Text"/>
              <w:rPr>
                <w:lang w:eastAsia="en-US"/>
              </w:rPr>
            </w:pPr>
            <w:r>
              <w:t>Were repeat interviews carried out? If yes, how many?</w:t>
            </w:r>
          </w:p>
        </w:tc>
        <w:tc>
          <w:tcPr>
            <w:tcW w:w="3844" w:type="dxa"/>
          </w:tcPr>
          <w:p w14:paraId="2148548D" w14:textId="631086CD" w:rsidR="00901762" w:rsidRDefault="001639B3" w:rsidP="000D2BF3">
            <w:pPr>
              <w:pStyle w:val="Tabelle-Text"/>
              <w:rPr>
                <w:lang w:eastAsia="en-US"/>
              </w:rPr>
            </w:pPr>
            <w:r>
              <w:rPr>
                <w:lang w:eastAsia="en-US"/>
              </w:rPr>
              <w:t xml:space="preserve">No </w:t>
            </w:r>
          </w:p>
        </w:tc>
      </w:tr>
      <w:tr w:rsidR="00901762" w14:paraId="7003660A" w14:textId="77777777" w:rsidTr="001153F4">
        <w:tc>
          <w:tcPr>
            <w:tcW w:w="0" w:type="auto"/>
          </w:tcPr>
          <w:p w14:paraId="32FC1711" w14:textId="0C0E0F70" w:rsidR="00901762" w:rsidRDefault="00901762" w:rsidP="000D2BF3">
            <w:pPr>
              <w:pStyle w:val="Tabelle-Text"/>
              <w:rPr>
                <w:lang w:eastAsia="en-US"/>
              </w:rPr>
            </w:pPr>
            <w:r>
              <w:t>19.</w:t>
            </w:r>
          </w:p>
        </w:tc>
        <w:tc>
          <w:tcPr>
            <w:tcW w:w="2050" w:type="dxa"/>
          </w:tcPr>
          <w:p w14:paraId="0C0DB6AE" w14:textId="1272FCBA" w:rsidR="00901762" w:rsidRDefault="00901762" w:rsidP="000D2BF3">
            <w:pPr>
              <w:pStyle w:val="Tabelle-Text"/>
              <w:rPr>
                <w:lang w:eastAsia="en-US"/>
              </w:rPr>
            </w:pPr>
            <w:r>
              <w:t>Audio/visual recording</w:t>
            </w:r>
          </w:p>
        </w:tc>
        <w:tc>
          <w:tcPr>
            <w:tcW w:w="3643" w:type="dxa"/>
          </w:tcPr>
          <w:p w14:paraId="0525D9FA" w14:textId="60563885" w:rsidR="00901762" w:rsidRDefault="00901762" w:rsidP="000D2BF3">
            <w:pPr>
              <w:pStyle w:val="Tabelle-Text"/>
              <w:rPr>
                <w:lang w:eastAsia="en-US"/>
              </w:rPr>
            </w:pPr>
            <w:r>
              <w:t>Did the research use audio or visual recording to collect the data?</w:t>
            </w:r>
          </w:p>
        </w:tc>
        <w:tc>
          <w:tcPr>
            <w:tcW w:w="3844" w:type="dxa"/>
          </w:tcPr>
          <w:p w14:paraId="685ECB4D" w14:textId="77777777" w:rsidR="00901762" w:rsidRDefault="0006796E" w:rsidP="000D2BF3">
            <w:pPr>
              <w:pStyle w:val="Tabelle-Text"/>
              <w:rPr>
                <w:lang w:eastAsia="en-US"/>
              </w:rPr>
            </w:pPr>
            <w:r>
              <w:rPr>
                <w:lang w:eastAsia="en-US"/>
              </w:rPr>
              <w:t xml:space="preserve">Interviews: Were recorded </w:t>
            </w:r>
          </w:p>
          <w:p w14:paraId="5065E4B2" w14:textId="1728C7A5" w:rsidR="0006796E" w:rsidRDefault="0006796E" w:rsidP="000D2BF3">
            <w:pPr>
              <w:pStyle w:val="Tabelle-Text"/>
              <w:rPr>
                <w:lang w:eastAsia="en-US"/>
              </w:rPr>
            </w:pPr>
            <w:r>
              <w:rPr>
                <w:lang w:eastAsia="en-US"/>
              </w:rPr>
              <w:t>Workshop: No recording</w:t>
            </w:r>
          </w:p>
        </w:tc>
      </w:tr>
      <w:tr w:rsidR="00901762" w14:paraId="313046A1" w14:textId="77777777" w:rsidTr="001153F4">
        <w:tc>
          <w:tcPr>
            <w:tcW w:w="0" w:type="auto"/>
          </w:tcPr>
          <w:p w14:paraId="4D6E849E" w14:textId="66C3350F" w:rsidR="00901762" w:rsidRDefault="00901762" w:rsidP="000D2BF3">
            <w:pPr>
              <w:pStyle w:val="Tabelle-Text"/>
              <w:rPr>
                <w:lang w:eastAsia="en-US"/>
              </w:rPr>
            </w:pPr>
            <w:r>
              <w:t>20.</w:t>
            </w:r>
          </w:p>
        </w:tc>
        <w:tc>
          <w:tcPr>
            <w:tcW w:w="2050" w:type="dxa"/>
          </w:tcPr>
          <w:p w14:paraId="23E28C53" w14:textId="69D76C1E" w:rsidR="00901762" w:rsidRDefault="00901762" w:rsidP="000D2BF3">
            <w:pPr>
              <w:pStyle w:val="Tabelle-Text"/>
              <w:rPr>
                <w:lang w:eastAsia="en-US"/>
              </w:rPr>
            </w:pPr>
            <w:r>
              <w:t>Field notes</w:t>
            </w:r>
          </w:p>
        </w:tc>
        <w:tc>
          <w:tcPr>
            <w:tcW w:w="3643" w:type="dxa"/>
          </w:tcPr>
          <w:p w14:paraId="452E0759" w14:textId="085BBBC7" w:rsidR="00901762" w:rsidRDefault="00901762" w:rsidP="000D2BF3">
            <w:pPr>
              <w:pStyle w:val="Tabelle-Text"/>
              <w:rPr>
                <w:lang w:eastAsia="en-US"/>
              </w:rPr>
            </w:pPr>
            <w:r>
              <w:t>Were field notes made during and/or after the interview or focus group?</w:t>
            </w:r>
          </w:p>
        </w:tc>
        <w:tc>
          <w:tcPr>
            <w:tcW w:w="3844" w:type="dxa"/>
          </w:tcPr>
          <w:p w14:paraId="35566F9F" w14:textId="77777777" w:rsidR="00901762" w:rsidRDefault="0006796E" w:rsidP="000D2BF3">
            <w:pPr>
              <w:pStyle w:val="Tabelle-Text"/>
              <w:rPr>
                <w:lang w:eastAsia="en-US"/>
              </w:rPr>
            </w:pPr>
            <w:r>
              <w:rPr>
                <w:lang w:eastAsia="en-US"/>
              </w:rPr>
              <w:t>Interviews: Interviewer took handwritten notes of mentioned legal texts and policy examples</w:t>
            </w:r>
          </w:p>
          <w:p w14:paraId="591FBA05" w14:textId="76AE1057" w:rsidR="0006796E" w:rsidRDefault="0006796E" w:rsidP="000D2BF3">
            <w:pPr>
              <w:pStyle w:val="Tabelle-Text"/>
              <w:rPr>
                <w:lang w:eastAsia="en-US"/>
              </w:rPr>
            </w:pPr>
            <w:r>
              <w:rPr>
                <w:lang w:eastAsia="en-US"/>
              </w:rPr>
              <w:lastRenderedPageBreak/>
              <w:t>Workshop: Facilitator and co-authors took written notes of mentioned legal documents and policy examples</w:t>
            </w:r>
          </w:p>
        </w:tc>
      </w:tr>
      <w:tr w:rsidR="00901762" w14:paraId="4078E321" w14:textId="77777777" w:rsidTr="001153F4">
        <w:tc>
          <w:tcPr>
            <w:tcW w:w="0" w:type="auto"/>
          </w:tcPr>
          <w:p w14:paraId="24126F26" w14:textId="423F84F4" w:rsidR="00901762" w:rsidRDefault="00901762" w:rsidP="000D2BF3">
            <w:pPr>
              <w:pStyle w:val="Tabelle-Text"/>
              <w:rPr>
                <w:lang w:eastAsia="en-US"/>
              </w:rPr>
            </w:pPr>
            <w:r>
              <w:lastRenderedPageBreak/>
              <w:t>21.</w:t>
            </w:r>
          </w:p>
        </w:tc>
        <w:tc>
          <w:tcPr>
            <w:tcW w:w="2050" w:type="dxa"/>
          </w:tcPr>
          <w:p w14:paraId="723EC46B" w14:textId="19DC5F4E" w:rsidR="00901762" w:rsidRDefault="00901762" w:rsidP="000D2BF3">
            <w:pPr>
              <w:pStyle w:val="Tabelle-Text"/>
              <w:rPr>
                <w:lang w:eastAsia="en-US"/>
              </w:rPr>
            </w:pPr>
            <w:r>
              <w:t>Duration</w:t>
            </w:r>
          </w:p>
        </w:tc>
        <w:tc>
          <w:tcPr>
            <w:tcW w:w="3643" w:type="dxa"/>
          </w:tcPr>
          <w:p w14:paraId="6D021EE0" w14:textId="364104EF" w:rsidR="00901762" w:rsidRDefault="00901762" w:rsidP="000D2BF3">
            <w:pPr>
              <w:pStyle w:val="Tabelle-Text"/>
              <w:rPr>
                <w:lang w:eastAsia="en-US"/>
              </w:rPr>
            </w:pPr>
            <w:r>
              <w:t>What was the duration of the interviews or focus group?</w:t>
            </w:r>
          </w:p>
        </w:tc>
        <w:tc>
          <w:tcPr>
            <w:tcW w:w="3844" w:type="dxa"/>
          </w:tcPr>
          <w:p w14:paraId="12F15485" w14:textId="56B884C6" w:rsidR="00901762" w:rsidRDefault="0006796E" w:rsidP="000D2BF3">
            <w:pPr>
              <w:pStyle w:val="Tabelle-Text"/>
              <w:rPr>
                <w:lang w:eastAsia="en-US"/>
              </w:rPr>
            </w:pPr>
            <w:r>
              <w:rPr>
                <w:lang w:eastAsia="en-US"/>
              </w:rPr>
              <w:t xml:space="preserve">Interviews: </w:t>
            </w:r>
            <w:r w:rsidR="00A478EF">
              <w:rPr>
                <w:lang w:eastAsia="en-US"/>
              </w:rPr>
              <w:t xml:space="preserve">approx. </w:t>
            </w:r>
            <w:r>
              <w:rPr>
                <w:lang w:eastAsia="en-US"/>
              </w:rPr>
              <w:t>60 minutes</w:t>
            </w:r>
            <w:r w:rsidR="00A478EF">
              <w:rPr>
                <w:lang w:eastAsia="en-US"/>
              </w:rPr>
              <w:t xml:space="preserve"> each</w:t>
            </w:r>
          </w:p>
          <w:p w14:paraId="6B01D5ED" w14:textId="23A303D5" w:rsidR="0006796E" w:rsidRDefault="0006796E" w:rsidP="000D2BF3">
            <w:pPr>
              <w:pStyle w:val="Tabelle-Text"/>
              <w:rPr>
                <w:lang w:eastAsia="en-US"/>
              </w:rPr>
            </w:pPr>
            <w:r>
              <w:rPr>
                <w:lang w:eastAsia="en-US"/>
              </w:rPr>
              <w:t>Workshop: 90 minutes</w:t>
            </w:r>
          </w:p>
        </w:tc>
      </w:tr>
      <w:tr w:rsidR="00901762" w14:paraId="3D973849" w14:textId="77777777" w:rsidTr="001153F4">
        <w:tc>
          <w:tcPr>
            <w:tcW w:w="0" w:type="auto"/>
          </w:tcPr>
          <w:p w14:paraId="78AE3064" w14:textId="7767173E" w:rsidR="00901762" w:rsidRDefault="00901762" w:rsidP="000D2BF3">
            <w:pPr>
              <w:pStyle w:val="Tabelle-Text"/>
              <w:rPr>
                <w:lang w:eastAsia="en-US"/>
              </w:rPr>
            </w:pPr>
            <w:r>
              <w:t>22.</w:t>
            </w:r>
          </w:p>
        </w:tc>
        <w:tc>
          <w:tcPr>
            <w:tcW w:w="2050" w:type="dxa"/>
          </w:tcPr>
          <w:p w14:paraId="4D837080" w14:textId="48F39E3C" w:rsidR="00901762" w:rsidRDefault="00901762" w:rsidP="000D2BF3">
            <w:pPr>
              <w:pStyle w:val="Tabelle-Text"/>
              <w:rPr>
                <w:lang w:eastAsia="en-US"/>
              </w:rPr>
            </w:pPr>
            <w:r>
              <w:t>Data saturation</w:t>
            </w:r>
          </w:p>
        </w:tc>
        <w:tc>
          <w:tcPr>
            <w:tcW w:w="3643" w:type="dxa"/>
          </w:tcPr>
          <w:p w14:paraId="467FC839" w14:textId="450A2F40" w:rsidR="00901762" w:rsidRDefault="00901762" w:rsidP="000D2BF3">
            <w:pPr>
              <w:pStyle w:val="Tabelle-Text"/>
              <w:rPr>
                <w:lang w:eastAsia="en-US"/>
              </w:rPr>
            </w:pPr>
            <w:r>
              <w:t>Was data saturation discussed?</w:t>
            </w:r>
          </w:p>
        </w:tc>
        <w:tc>
          <w:tcPr>
            <w:tcW w:w="3844" w:type="dxa"/>
          </w:tcPr>
          <w:p w14:paraId="096D3502" w14:textId="0408CEAE" w:rsidR="00901762" w:rsidRDefault="0006796E" w:rsidP="000D2BF3">
            <w:pPr>
              <w:pStyle w:val="Tabelle-Text"/>
              <w:rPr>
                <w:lang w:eastAsia="en-US"/>
              </w:rPr>
            </w:pPr>
            <w:r>
              <w:rPr>
                <w:lang w:eastAsia="en-US"/>
              </w:rPr>
              <w:t>No, due to the large number of potentially relevant policies data saturation was not in focus</w:t>
            </w:r>
          </w:p>
        </w:tc>
      </w:tr>
      <w:tr w:rsidR="00901762" w14:paraId="2DF153F2" w14:textId="77777777" w:rsidTr="001153F4">
        <w:tc>
          <w:tcPr>
            <w:tcW w:w="0" w:type="auto"/>
          </w:tcPr>
          <w:p w14:paraId="6D5728F3" w14:textId="32C380B8" w:rsidR="00901762" w:rsidRDefault="00901762" w:rsidP="000D2BF3">
            <w:pPr>
              <w:pStyle w:val="Tabelle-Text"/>
              <w:rPr>
                <w:lang w:eastAsia="en-US"/>
              </w:rPr>
            </w:pPr>
            <w:r>
              <w:t>23.</w:t>
            </w:r>
          </w:p>
        </w:tc>
        <w:tc>
          <w:tcPr>
            <w:tcW w:w="2050" w:type="dxa"/>
          </w:tcPr>
          <w:p w14:paraId="43CAE9B7" w14:textId="112DDDDA" w:rsidR="00901762" w:rsidRDefault="00901762" w:rsidP="000D2BF3">
            <w:pPr>
              <w:pStyle w:val="Tabelle-Text"/>
              <w:rPr>
                <w:lang w:eastAsia="en-US"/>
              </w:rPr>
            </w:pPr>
            <w:r>
              <w:t>Transcripts returned</w:t>
            </w:r>
          </w:p>
        </w:tc>
        <w:tc>
          <w:tcPr>
            <w:tcW w:w="3643" w:type="dxa"/>
          </w:tcPr>
          <w:p w14:paraId="5A74D97C" w14:textId="27A4A0DB" w:rsidR="00901762" w:rsidRDefault="00901762" w:rsidP="000D2BF3">
            <w:pPr>
              <w:pStyle w:val="Tabelle-Text"/>
              <w:rPr>
                <w:lang w:eastAsia="en-US"/>
              </w:rPr>
            </w:pPr>
            <w:r>
              <w:t>Were transcripts returned to participants for comment and/or correction?</w:t>
            </w:r>
          </w:p>
        </w:tc>
        <w:tc>
          <w:tcPr>
            <w:tcW w:w="3844" w:type="dxa"/>
          </w:tcPr>
          <w:p w14:paraId="54146847" w14:textId="13922674" w:rsidR="00901762" w:rsidRDefault="0006796E" w:rsidP="000D2BF3">
            <w:pPr>
              <w:pStyle w:val="Tabelle-Text"/>
              <w:rPr>
                <w:lang w:eastAsia="en-US"/>
              </w:rPr>
            </w:pPr>
            <w:r>
              <w:rPr>
                <w:lang w:eastAsia="en-US"/>
              </w:rPr>
              <w:t>No. Participants were invited to share additional resources (e.g., policies or legal arguments mentioned during the interview afterwards via e-mail)</w:t>
            </w:r>
          </w:p>
        </w:tc>
      </w:tr>
      <w:tr w:rsidR="00901762" w14:paraId="022DE24A" w14:textId="77777777" w:rsidTr="000D2BF3">
        <w:tc>
          <w:tcPr>
            <w:tcW w:w="0" w:type="auto"/>
            <w:gridSpan w:val="4"/>
            <w:shd w:val="clear" w:color="auto" w:fill="D9D9D9" w:themeFill="background1" w:themeFillShade="D9"/>
          </w:tcPr>
          <w:p w14:paraId="1A45C89D" w14:textId="09FDF613" w:rsidR="00901762" w:rsidRDefault="00901762" w:rsidP="000D2BF3">
            <w:pPr>
              <w:pStyle w:val="Tabelle-Text"/>
              <w:rPr>
                <w:lang w:eastAsia="en-US"/>
              </w:rPr>
            </w:pPr>
            <w:r>
              <w:rPr>
                <w:b/>
              </w:rPr>
              <w:t xml:space="preserve">Domain 3: </w:t>
            </w:r>
            <w:r w:rsidR="0006796E">
              <w:rPr>
                <w:b/>
              </w:rPr>
              <w:t>A</w:t>
            </w:r>
            <w:r>
              <w:rPr>
                <w:b/>
              </w:rPr>
              <w:t>nalysis and findings</w:t>
            </w:r>
          </w:p>
        </w:tc>
      </w:tr>
      <w:tr w:rsidR="00901762" w14:paraId="3FAD84D3" w14:textId="77777777" w:rsidTr="000D2BF3">
        <w:tc>
          <w:tcPr>
            <w:tcW w:w="0" w:type="auto"/>
            <w:gridSpan w:val="4"/>
          </w:tcPr>
          <w:p w14:paraId="31770FFF" w14:textId="49536E8E" w:rsidR="00901762" w:rsidRDefault="00901762" w:rsidP="000D2BF3">
            <w:pPr>
              <w:pStyle w:val="Tabelle-Text"/>
              <w:rPr>
                <w:lang w:eastAsia="en-US"/>
              </w:rPr>
            </w:pPr>
            <w:r>
              <w:t>Data analysis</w:t>
            </w:r>
          </w:p>
        </w:tc>
      </w:tr>
      <w:tr w:rsidR="00901762" w14:paraId="0FBBD226" w14:textId="77777777" w:rsidTr="001153F4">
        <w:tc>
          <w:tcPr>
            <w:tcW w:w="0" w:type="auto"/>
          </w:tcPr>
          <w:p w14:paraId="7ECD6EA9" w14:textId="56065F82" w:rsidR="00901762" w:rsidRDefault="00901762" w:rsidP="000D2BF3">
            <w:pPr>
              <w:pStyle w:val="Tabelle-Text"/>
              <w:rPr>
                <w:lang w:eastAsia="en-US"/>
              </w:rPr>
            </w:pPr>
            <w:r>
              <w:t>24.</w:t>
            </w:r>
          </w:p>
        </w:tc>
        <w:tc>
          <w:tcPr>
            <w:tcW w:w="2050" w:type="dxa"/>
          </w:tcPr>
          <w:p w14:paraId="2A1B4BB2" w14:textId="4D8AD78A" w:rsidR="00901762" w:rsidRDefault="00901762" w:rsidP="000D2BF3">
            <w:pPr>
              <w:pStyle w:val="Tabelle-Text"/>
              <w:rPr>
                <w:lang w:eastAsia="en-US"/>
              </w:rPr>
            </w:pPr>
            <w:r>
              <w:t>Number of data coders</w:t>
            </w:r>
          </w:p>
        </w:tc>
        <w:tc>
          <w:tcPr>
            <w:tcW w:w="3643" w:type="dxa"/>
          </w:tcPr>
          <w:p w14:paraId="7433C0B4" w14:textId="627BB6C0" w:rsidR="00901762" w:rsidRDefault="00901762" w:rsidP="000D2BF3">
            <w:pPr>
              <w:pStyle w:val="Tabelle-Text"/>
              <w:rPr>
                <w:lang w:eastAsia="en-US"/>
              </w:rPr>
            </w:pPr>
            <w:r>
              <w:t>How many data coders coded the data?</w:t>
            </w:r>
          </w:p>
        </w:tc>
        <w:tc>
          <w:tcPr>
            <w:tcW w:w="3844" w:type="dxa"/>
          </w:tcPr>
          <w:p w14:paraId="19EF6329" w14:textId="078FD569" w:rsidR="00901762" w:rsidRDefault="00A478EF" w:rsidP="000D2BF3">
            <w:pPr>
              <w:pStyle w:val="Tabelle-Text"/>
              <w:rPr>
                <w:lang w:eastAsia="en-US"/>
              </w:rPr>
            </w:pPr>
            <w:r>
              <w:rPr>
                <w:lang w:eastAsia="en-US"/>
              </w:rPr>
              <w:t>T</w:t>
            </w:r>
            <w:r w:rsidR="001153F4">
              <w:rPr>
                <w:lang w:eastAsia="en-US"/>
              </w:rPr>
              <w:t xml:space="preserve">he first author </w:t>
            </w:r>
            <w:r w:rsidR="0006796E">
              <w:rPr>
                <w:lang w:eastAsia="en-US"/>
              </w:rPr>
              <w:t>coded the date</w:t>
            </w:r>
            <w:r w:rsidR="001153F4">
              <w:rPr>
                <w:lang w:eastAsia="en-US"/>
              </w:rPr>
              <w:t xml:space="preserve">. As we focused on the identification of relevant legal and policy documents rather than on </w:t>
            </w:r>
            <w:r>
              <w:rPr>
                <w:lang w:eastAsia="en-US"/>
              </w:rPr>
              <w:t xml:space="preserve">content extraction from </w:t>
            </w:r>
            <w:r w:rsidR="001153F4">
              <w:rPr>
                <w:lang w:eastAsia="en-US"/>
              </w:rPr>
              <w:t>subjective statements only one author coded the data</w:t>
            </w:r>
          </w:p>
        </w:tc>
      </w:tr>
      <w:tr w:rsidR="00901762" w14:paraId="28769153" w14:textId="77777777" w:rsidTr="001153F4">
        <w:tc>
          <w:tcPr>
            <w:tcW w:w="0" w:type="auto"/>
          </w:tcPr>
          <w:p w14:paraId="3379A7E7" w14:textId="3F1ED9FD" w:rsidR="00901762" w:rsidRDefault="00901762" w:rsidP="000D2BF3">
            <w:pPr>
              <w:pStyle w:val="Tabelle-Text"/>
              <w:rPr>
                <w:lang w:eastAsia="en-US"/>
              </w:rPr>
            </w:pPr>
            <w:r>
              <w:t>25.</w:t>
            </w:r>
          </w:p>
        </w:tc>
        <w:tc>
          <w:tcPr>
            <w:tcW w:w="2050" w:type="dxa"/>
          </w:tcPr>
          <w:p w14:paraId="5D2B0B91" w14:textId="1D9D8A84" w:rsidR="00901762" w:rsidRDefault="00901762" w:rsidP="000D2BF3">
            <w:pPr>
              <w:pStyle w:val="Tabelle-Text"/>
              <w:rPr>
                <w:lang w:eastAsia="en-US"/>
              </w:rPr>
            </w:pPr>
            <w:r>
              <w:t>Description of the coding tree</w:t>
            </w:r>
          </w:p>
        </w:tc>
        <w:tc>
          <w:tcPr>
            <w:tcW w:w="3643" w:type="dxa"/>
          </w:tcPr>
          <w:p w14:paraId="5767962C" w14:textId="3FD7A7FE" w:rsidR="00901762" w:rsidRDefault="00901762" w:rsidP="000D2BF3">
            <w:pPr>
              <w:pStyle w:val="Tabelle-Text"/>
              <w:rPr>
                <w:lang w:eastAsia="en-US"/>
              </w:rPr>
            </w:pPr>
            <w:r>
              <w:t>Did authors provide a description of the coding tree?</w:t>
            </w:r>
          </w:p>
        </w:tc>
        <w:tc>
          <w:tcPr>
            <w:tcW w:w="3844" w:type="dxa"/>
          </w:tcPr>
          <w:p w14:paraId="5C50F291" w14:textId="6563E52A" w:rsidR="00901762" w:rsidRDefault="0006796E" w:rsidP="000D2BF3">
            <w:pPr>
              <w:pStyle w:val="Tabelle-Text"/>
              <w:rPr>
                <w:lang w:eastAsia="en-US"/>
              </w:rPr>
            </w:pPr>
            <w:r>
              <w:rPr>
                <w:lang w:eastAsia="en-US"/>
              </w:rPr>
              <w:t xml:space="preserve">Yes </w:t>
            </w:r>
            <w:r w:rsidR="001153F4">
              <w:rPr>
                <w:lang w:eastAsia="en-US"/>
              </w:rPr>
              <w:t xml:space="preserve">– see </w:t>
            </w:r>
            <w:r w:rsidR="001153F4">
              <w:rPr>
                <w:lang w:eastAsia="en-US"/>
              </w:rPr>
              <w:fldChar w:fldCharType="begin"/>
            </w:r>
            <w:r w:rsidR="001153F4">
              <w:rPr>
                <w:lang w:eastAsia="en-US"/>
              </w:rPr>
              <w:instrText xml:space="preserve"> REF _Ref221028435 \h </w:instrText>
            </w:r>
            <w:r w:rsidR="001153F4">
              <w:rPr>
                <w:lang w:eastAsia="en-US"/>
              </w:rPr>
            </w:r>
            <w:r w:rsidR="001153F4">
              <w:rPr>
                <w:lang w:eastAsia="en-US"/>
              </w:rPr>
              <w:fldChar w:fldCharType="separate"/>
            </w:r>
            <w:r w:rsidR="001153F4" w:rsidRPr="00FC2735">
              <w:t xml:space="preserve">Table </w:t>
            </w:r>
            <w:r w:rsidR="001153F4">
              <w:rPr>
                <w:noProof/>
              </w:rPr>
              <w:t>7</w:t>
            </w:r>
            <w:r w:rsidR="001153F4">
              <w:rPr>
                <w:lang w:eastAsia="en-US"/>
              </w:rPr>
              <w:fldChar w:fldCharType="end"/>
            </w:r>
          </w:p>
        </w:tc>
      </w:tr>
      <w:tr w:rsidR="00901762" w14:paraId="7E1D09E7" w14:textId="77777777" w:rsidTr="001153F4">
        <w:tc>
          <w:tcPr>
            <w:tcW w:w="0" w:type="auto"/>
          </w:tcPr>
          <w:p w14:paraId="67B1DF29" w14:textId="4F54A466" w:rsidR="00901762" w:rsidRDefault="00901762" w:rsidP="000D2BF3">
            <w:pPr>
              <w:pStyle w:val="Tabelle-Text"/>
              <w:rPr>
                <w:lang w:eastAsia="en-US"/>
              </w:rPr>
            </w:pPr>
            <w:r>
              <w:t>26.</w:t>
            </w:r>
          </w:p>
        </w:tc>
        <w:tc>
          <w:tcPr>
            <w:tcW w:w="2050" w:type="dxa"/>
          </w:tcPr>
          <w:p w14:paraId="2DCB2913" w14:textId="7D33B0D2" w:rsidR="00901762" w:rsidRDefault="00901762" w:rsidP="000D2BF3">
            <w:pPr>
              <w:pStyle w:val="Tabelle-Text"/>
              <w:rPr>
                <w:lang w:eastAsia="en-US"/>
              </w:rPr>
            </w:pPr>
            <w:r>
              <w:t>Derivation of themes</w:t>
            </w:r>
          </w:p>
        </w:tc>
        <w:tc>
          <w:tcPr>
            <w:tcW w:w="3643" w:type="dxa"/>
          </w:tcPr>
          <w:p w14:paraId="65F37712" w14:textId="43136B57" w:rsidR="00901762" w:rsidRDefault="00901762" w:rsidP="000D2BF3">
            <w:pPr>
              <w:pStyle w:val="Tabelle-Text"/>
              <w:rPr>
                <w:lang w:eastAsia="en-US"/>
              </w:rPr>
            </w:pPr>
            <w:r>
              <w:t>Were themes identified in advance or derived from the data?</w:t>
            </w:r>
          </w:p>
        </w:tc>
        <w:tc>
          <w:tcPr>
            <w:tcW w:w="3844" w:type="dxa"/>
          </w:tcPr>
          <w:p w14:paraId="55F39EB9" w14:textId="52692401" w:rsidR="00901762" w:rsidRDefault="001153F4" w:rsidP="000D2BF3">
            <w:pPr>
              <w:pStyle w:val="Tabelle-Text"/>
              <w:rPr>
                <w:lang w:eastAsia="en-US"/>
              </w:rPr>
            </w:pPr>
            <w:r>
              <w:rPr>
                <w:lang w:eastAsia="en-US"/>
              </w:rPr>
              <w:t xml:space="preserve">“Themes” / Topics were identified in advance; the relevant topics were the policy domains and indicators of the INFORMAS food-EPI these also served as the basis for the code book (see </w:t>
            </w:r>
            <w:r>
              <w:rPr>
                <w:lang w:eastAsia="en-US"/>
              </w:rPr>
              <w:fldChar w:fldCharType="begin"/>
            </w:r>
            <w:r>
              <w:rPr>
                <w:lang w:eastAsia="en-US"/>
              </w:rPr>
              <w:instrText xml:space="preserve"> REF _Ref221028435 \h </w:instrText>
            </w:r>
            <w:r>
              <w:rPr>
                <w:lang w:eastAsia="en-US"/>
              </w:rPr>
            </w:r>
            <w:r>
              <w:rPr>
                <w:lang w:eastAsia="en-US"/>
              </w:rPr>
              <w:fldChar w:fldCharType="separate"/>
            </w:r>
            <w:r w:rsidRPr="00FC2735">
              <w:t xml:space="preserve">Table </w:t>
            </w:r>
            <w:r>
              <w:rPr>
                <w:noProof/>
              </w:rPr>
              <w:t>7</w:t>
            </w:r>
            <w:r>
              <w:rPr>
                <w:lang w:eastAsia="en-US"/>
              </w:rPr>
              <w:fldChar w:fldCharType="end"/>
            </w:r>
            <w:r>
              <w:rPr>
                <w:lang w:eastAsia="en-US"/>
              </w:rPr>
              <w:t>)</w:t>
            </w:r>
          </w:p>
        </w:tc>
      </w:tr>
      <w:tr w:rsidR="00901762" w14:paraId="2E1AD48A" w14:textId="77777777" w:rsidTr="001153F4">
        <w:tc>
          <w:tcPr>
            <w:tcW w:w="0" w:type="auto"/>
          </w:tcPr>
          <w:p w14:paraId="3B11D5EF" w14:textId="5B09B69B" w:rsidR="00901762" w:rsidRDefault="00901762" w:rsidP="000D2BF3">
            <w:pPr>
              <w:pStyle w:val="Tabelle-Text"/>
              <w:rPr>
                <w:lang w:eastAsia="en-US"/>
              </w:rPr>
            </w:pPr>
            <w:r>
              <w:t>27.</w:t>
            </w:r>
          </w:p>
        </w:tc>
        <w:tc>
          <w:tcPr>
            <w:tcW w:w="2050" w:type="dxa"/>
          </w:tcPr>
          <w:p w14:paraId="364904C5" w14:textId="1EAF3586" w:rsidR="00901762" w:rsidRDefault="00901762" w:rsidP="000D2BF3">
            <w:pPr>
              <w:pStyle w:val="Tabelle-Text"/>
              <w:rPr>
                <w:lang w:eastAsia="en-US"/>
              </w:rPr>
            </w:pPr>
            <w:r>
              <w:t>Software</w:t>
            </w:r>
          </w:p>
        </w:tc>
        <w:tc>
          <w:tcPr>
            <w:tcW w:w="3643" w:type="dxa"/>
          </w:tcPr>
          <w:p w14:paraId="2A48D654" w14:textId="42A507A8" w:rsidR="00901762" w:rsidRDefault="00901762" w:rsidP="000D2BF3">
            <w:pPr>
              <w:pStyle w:val="Tabelle-Text"/>
              <w:rPr>
                <w:lang w:eastAsia="en-US"/>
              </w:rPr>
            </w:pPr>
            <w:r>
              <w:t>What software, if applicable, was used to manage the data?</w:t>
            </w:r>
          </w:p>
        </w:tc>
        <w:tc>
          <w:tcPr>
            <w:tcW w:w="3844" w:type="dxa"/>
          </w:tcPr>
          <w:p w14:paraId="6F13BCD1" w14:textId="77777777" w:rsidR="001153F4" w:rsidRDefault="001153F4" w:rsidP="000D2BF3">
            <w:pPr>
              <w:pStyle w:val="Tabelle-Text"/>
              <w:rPr>
                <w:lang w:eastAsia="en-US"/>
              </w:rPr>
            </w:pPr>
            <w:r w:rsidRPr="001153F4">
              <w:rPr>
                <w:i/>
                <w:iCs/>
                <w:lang w:eastAsia="en-US"/>
              </w:rPr>
              <w:t>f4x Automatic Speech Recognition</w:t>
            </w:r>
            <w:r>
              <w:rPr>
                <w:lang w:eastAsia="en-US"/>
              </w:rPr>
              <w:t xml:space="preserve"> to generate V</w:t>
            </w:r>
            <w:r w:rsidRPr="001153F4">
              <w:rPr>
                <w:lang w:eastAsia="en-US"/>
              </w:rPr>
              <w:t xml:space="preserve">erbatim interview transcripts </w:t>
            </w:r>
          </w:p>
          <w:p w14:paraId="32671B13" w14:textId="77777777" w:rsidR="00901762" w:rsidRDefault="001153F4" w:rsidP="000D2BF3">
            <w:pPr>
              <w:pStyle w:val="Tabelle-Text"/>
              <w:rPr>
                <w:lang w:eastAsia="en-US"/>
              </w:rPr>
            </w:pPr>
            <w:r w:rsidRPr="001153F4">
              <w:rPr>
                <w:i/>
                <w:iCs/>
                <w:lang w:eastAsia="en-US"/>
              </w:rPr>
              <w:t>MAXQDA</w:t>
            </w:r>
            <w:r>
              <w:rPr>
                <w:lang w:eastAsia="en-US"/>
              </w:rPr>
              <w:t xml:space="preserve"> to code the data</w:t>
            </w:r>
          </w:p>
          <w:p w14:paraId="5C687344" w14:textId="1DF91692" w:rsidR="001153F4" w:rsidRDefault="001153F4" w:rsidP="000D2BF3">
            <w:pPr>
              <w:pStyle w:val="Tabelle-Text"/>
              <w:rPr>
                <w:lang w:eastAsia="en-US"/>
              </w:rPr>
            </w:pPr>
            <w:r w:rsidRPr="001153F4">
              <w:rPr>
                <w:i/>
                <w:iCs/>
                <w:lang w:eastAsia="en-US"/>
              </w:rPr>
              <w:t>DeepL</w:t>
            </w:r>
            <w:r>
              <w:rPr>
                <w:lang w:eastAsia="en-US"/>
              </w:rPr>
              <w:t xml:space="preserve"> to translate the interview guide and workshop presentation for results reporting</w:t>
            </w:r>
          </w:p>
        </w:tc>
      </w:tr>
      <w:tr w:rsidR="00901762" w14:paraId="532A54DE" w14:textId="77777777" w:rsidTr="001153F4">
        <w:tc>
          <w:tcPr>
            <w:tcW w:w="0" w:type="auto"/>
          </w:tcPr>
          <w:p w14:paraId="56588DFE" w14:textId="502397CA" w:rsidR="00901762" w:rsidRDefault="00901762" w:rsidP="000D2BF3">
            <w:pPr>
              <w:pStyle w:val="Tabelle-Text"/>
              <w:rPr>
                <w:lang w:eastAsia="en-US"/>
              </w:rPr>
            </w:pPr>
            <w:r>
              <w:t>28.</w:t>
            </w:r>
          </w:p>
        </w:tc>
        <w:tc>
          <w:tcPr>
            <w:tcW w:w="2050" w:type="dxa"/>
          </w:tcPr>
          <w:p w14:paraId="1E4C3DA4" w14:textId="0082FF79" w:rsidR="00901762" w:rsidRDefault="00901762" w:rsidP="000D2BF3">
            <w:pPr>
              <w:pStyle w:val="Tabelle-Text"/>
              <w:rPr>
                <w:lang w:eastAsia="en-US"/>
              </w:rPr>
            </w:pPr>
            <w:r>
              <w:t>Participant checking</w:t>
            </w:r>
          </w:p>
        </w:tc>
        <w:tc>
          <w:tcPr>
            <w:tcW w:w="3643" w:type="dxa"/>
          </w:tcPr>
          <w:p w14:paraId="6DE5736C" w14:textId="3C8F6554" w:rsidR="00901762" w:rsidRDefault="00901762" w:rsidP="000D2BF3">
            <w:pPr>
              <w:pStyle w:val="Tabelle-Text"/>
              <w:rPr>
                <w:lang w:eastAsia="en-US"/>
              </w:rPr>
            </w:pPr>
            <w:r>
              <w:t>Did participants provide feedback on the findings?</w:t>
            </w:r>
          </w:p>
        </w:tc>
        <w:tc>
          <w:tcPr>
            <w:tcW w:w="3844" w:type="dxa"/>
          </w:tcPr>
          <w:p w14:paraId="45867B05" w14:textId="34BF6744" w:rsidR="00901762" w:rsidRDefault="001153F4" w:rsidP="000D2BF3">
            <w:pPr>
              <w:pStyle w:val="Tabelle-Text"/>
              <w:rPr>
                <w:lang w:eastAsia="en-US"/>
              </w:rPr>
            </w:pPr>
            <w:r>
              <w:rPr>
                <w:lang w:eastAsia="en-US"/>
              </w:rPr>
              <w:t xml:space="preserve">The updated results report was shared with interview participants for additional comments  </w:t>
            </w:r>
          </w:p>
        </w:tc>
      </w:tr>
      <w:tr w:rsidR="00901762" w14:paraId="237AF9D5" w14:textId="77777777" w:rsidTr="000D2BF3">
        <w:tc>
          <w:tcPr>
            <w:tcW w:w="0" w:type="auto"/>
            <w:gridSpan w:val="4"/>
          </w:tcPr>
          <w:p w14:paraId="0C29324A" w14:textId="526363CB" w:rsidR="00901762" w:rsidRDefault="00901762" w:rsidP="000D2BF3">
            <w:pPr>
              <w:pStyle w:val="Tabelle-Text"/>
              <w:rPr>
                <w:lang w:eastAsia="en-US"/>
              </w:rPr>
            </w:pPr>
            <w:r>
              <w:t>Reporting</w:t>
            </w:r>
          </w:p>
        </w:tc>
      </w:tr>
      <w:tr w:rsidR="00901762" w14:paraId="4FA35C97" w14:textId="77777777" w:rsidTr="001153F4">
        <w:tc>
          <w:tcPr>
            <w:tcW w:w="0" w:type="auto"/>
          </w:tcPr>
          <w:p w14:paraId="4AD7E956" w14:textId="7C11A05E" w:rsidR="00901762" w:rsidRDefault="00901762" w:rsidP="000D2BF3">
            <w:pPr>
              <w:pStyle w:val="Tabelle-Text"/>
              <w:rPr>
                <w:lang w:eastAsia="en-US"/>
              </w:rPr>
            </w:pPr>
            <w:r>
              <w:t>29.</w:t>
            </w:r>
          </w:p>
        </w:tc>
        <w:tc>
          <w:tcPr>
            <w:tcW w:w="2050" w:type="dxa"/>
          </w:tcPr>
          <w:p w14:paraId="581F618E" w14:textId="4B423647" w:rsidR="00901762" w:rsidRDefault="00901762" w:rsidP="000D2BF3">
            <w:pPr>
              <w:pStyle w:val="Tabelle-Text"/>
              <w:rPr>
                <w:lang w:eastAsia="en-US"/>
              </w:rPr>
            </w:pPr>
            <w:r>
              <w:t>Quotations presented</w:t>
            </w:r>
          </w:p>
        </w:tc>
        <w:tc>
          <w:tcPr>
            <w:tcW w:w="3643" w:type="dxa"/>
          </w:tcPr>
          <w:p w14:paraId="46EE7235" w14:textId="46290C7F" w:rsidR="00901762" w:rsidRDefault="00901762" w:rsidP="000D2BF3">
            <w:pPr>
              <w:pStyle w:val="Tabelle-Text"/>
              <w:rPr>
                <w:lang w:eastAsia="en-US"/>
              </w:rPr>
            </w:pPr>
            <w:r>
              <w:t>Were participant quotations presented to illustrate the themes / findings? Was each quotation identified? </w:t>
            </w:r>
            <w:r>
              <w:rPr>
                <w:i/>
                <w:iCs/>
              </w:rPr>
              <w:t>e.g. participant number</w:t>
            </w:r>
          </w:p>
        </w:tc>
        <w:tc>
          <w:tcPr>
            <w:tcW w:w="3844" w:type="dxa"/>
          </w:tcPr>
          <w:p w14:paraId="44A02B21" w14:textId="496BC03A" w:rsidR="00901762" w:rsidRDefault="00A478EF" w:rsidP="000D2BF3">
            <w:pPr>
              <w:pStyle w:val="Tabelle-Text"/>
              <w:rPr>
                <w:lang w:eastAsia="en-US"/>
              </w:rPr>
            </w:pPr>
            <w:r>
              <w:rPr>
                <w:lang w:eastAsia="en-US"/>
              </w:rPr>
              <w:t>Since no subjective content extraction was performed n</w:t>
            </w:r>
            <w:r w:rsidR="001153F4">
              <w:rPr>
                <w:lang w:eastAsia="en-US"/>
              </w:rPr>
              <w:t xml:space="preserve">o direct quotations are used; If interviewers mentioned specific laws or legislations the authors identified the relevant original source (e.g., German Basic Law). The original law / </w:t>
            </w:r>
            <w:r w:rsidR="001153F4">
              <w:rPr>
                <w:lang w:eastAsia="en-US"/>
              </w:rPr>
              <w:lastRenderedPageBreak/>
              <w:t>legislation / policy served as the legal basis</w:t>
            </w:r>
            <w:r w:rsidR="008B1A70">
              <w:rPr>
                <w:lang w:eastAsia="en-US"/>
              </w:rPr>
              <w:t xml:space="preserve"> and source </w:t>
            </w:r>
          </w:p>
        </w:tc>
      </w:tr>
      <w:tr w:rsidR="00901762" w14:paraId="4E4BFA0D" w14:textId="77777777" w:rsidTr="001153F4">
        <w:tc>
          <w:tcPr>
            <w:tcW w:w="0" w:type="auto"/>
          </w:tcPr>
          <w:p w14:paraId="4923F142" w14:textId="2FD141A6" w:rsidR="00901762" w:rsidRDefault="00901762" w:rsidP="000D2BF3">
            <w:pPr>
              <w:pStyle w:val="Tabelle-Text"/>
              <w:rPr>
                <w:lang w:eastAsia="en-US"/>
              </w:rPr>
            </w:pPr>
            <w:r>
              <w:lastRenderedPageBreak/>
              <w:t>30.</w:t>
            </w:r>
          </w:p>
        </w:tc>
        <w:tc>
          <w:tcPr>
            <w:tcW w:w="2050" w:type="dxa"/>
          </w:tcPr>
          <w:p w14:paraId="02EB5A1B" w14:textId="09D04B29" w:rsidR="00901762" w:rsidRDefault="00901762" w:rsidP="000D2BF3">
            <w:pPr>
              <w:pStyle w:val="Tabelle-Text"/>
              <w:rPr>
                <w:lang w:eastAsia="en-US"/>
              </w:rPr>
            </w:pPr>
            <w:r>
              <w:t>Data and findings consistent</w:t>
            </w:r>
          </w:p>
        </w:tc>
        <w:tc>
          <w:tcPr>
            <w:tcW w:w="3643" w:type="dxa"/>
          </w:tcPr>
          <w:p w14:paraId="19EC6B38" w14:textId="16E00CCF" w:rsidR="00901762" w:rsidRDefault="00901762" w:rsidP="000D2BF3">
            <w:pPr>
              <w:pStyle w:val="Tabelle-Text"/>
              <w:rPr>
                <w:lang w:eastAsia="en-US"/>
              </w:rPr>
            </w:pPr>
            <w:r>
              <w:t>Was there consistency between the data presented and the findings?</w:t>
            </w:r>
          </w:p>
        </w:tc>
        <w:tc>
          <w:tcPr>
            <w:tcW w:w="3844" w:type="dxa"/>
          </w:tcPr>
          <w:p w14:paraId="1DD9F9AC" w14:textId="2763B6F3" w:rsidR="00901762" w:rsidRDefault="001153F4" w:rsidP="000D2BF3">
            <w:pPr>
              <w:pStyle w:val="Tabelle-Text"/>
              <w:rPr>
                <w:lang w:eastAsia="en-US"/>
              </w:rPr>
            </w:pPr>
            <w:r>
              <w:rPr>
                <w:lang w:eastAsia="en-US"/>
              </w:rPr>
              <w:t>Yes, interview and workshop findings were confirmed in laws / legislations</w:t>
            </w:r>
          </w:p>
        </w:tc>
      </w:tr>
      <w:tr w:rsidR="00901762" w14:paraId="597784E6" w14:textId="77777777" w:rsidTr="001153F4">
        <w:tc>
          <w:tcPr>
            <w:tcW w:w="0" w:type="auto"/>
          </w:tcPr>
          <w:p w14:paraId="53C491E6" w14:textId="2C581B6C" w:rsidR="00901762" w:rsidRDefault="00901762" w:rsidP="000D2BF3">
            <w:pPr>
              <w:pStyle w:val="Tabelle-Text"/>
              <w:rPr>
                <w:lang w:eastAsia="en-US"/>
              </w:rPr>
            </w:pPr>
            <w:r>
              <w:t>31.</w:t>
            </w:r>
          </w:p>
        </w:tc>
        <w:tc>
          <w:tcPr>
            <w:tcW w:w="2050" w:type="dxa"/>
          </w:tcPr>
          <w:p w14:paraId="371E01D7" w14:textId="4B20B6E1" w:rsidR="00901762" w:rsidRDefault="00901762" w:rsidP="000D2BF3">
            <w:pPr>
              <w:pStyle w:val="Tabelle-Text"/>
              <w:rPr>
                <w:lang w:eastAsia="en-US"/>
              </w:rPr>
            </w:pPr>
            <w:r>
              <w:t>Clarity of major themes</w:t>
            </w:r>
          </w:p>
        </w:tc>
        <w:tc>
          <w:tcPr>
            <w:tcW w:w="3643" w:type="dxa"/>
          </w:tcPr>
          <w:p w14:paraId="1539746B" w14:textId="4114BBDE" w:rsidR="00901762" w:rsidRDefault="00901762" w:rsidP="000D2BF3">
            <w:pPr>
              <w:pStyle w:val="Tabelle-Text"/>
              <w:rPr>
                <w:lang w:eastAsia="en-US"/>
              </w:rPr>
            </w:pPr>
            <w:r>
              <w:t>Were major themes clearly presented in the findings?</w:t>
            </w:r>
          </w:p>
        </w:tc>
        <w:tc>
          <w:tcPr>
            <w:tcW w:w="3844" w:type="dxa"/>
          </w:tcPr>
          <w:p w14:paraId="5833E225" w14:textId="3211B63F" w:rsidR="00901762" w:rsidRDefault="001153F4" w:rsidP="000D2BF3">
            <w:pPr>
              <w:pStyle w:val="Tabelle-Text"/>
              <w:rPr>
                <w:lang w:eastAsia="en-US"/>
              </w:rPr>
            </w:pPr>
            <w:r>
              <w:rPr>
                <w:lang w:eastAsia="en-US"/>
              </w:rPr>
              <w:t xml:space="preserve">Not applicable </w:t>
            </w:r>
            <w:r w:rsidR="00A478EF">
              <w:rPr>
                <w:lang w:eastAsia="en-US"/>
              </w:rPr>
              <w:t>–</w:t>
            </w:r>
            <w:r>
              <w:rPr>
                <w:lang w:eastAsia="en-US"/>
              </w:rPr>
              <w:t xml:space="preserve"> </w:t>
            </w:r>
            <w:r w:rsidR="00A478EF">
              <w:rPr>
                <w:lang w:eastAsia="en-US"/>
              </w:rPr>
              <w:t>no theme extraction was performed (s.a.)</w:t>
            </w:r>
          </w:p>
        </w:tc>
      </w:tr>
      <w:tr w:rsidR="00901762" w14:paraId="735E2483" w14:textId="77777777" w:rsidTr="001153F4">
        <w:tc>
          <w:tcPr>
            <w:tcW w:w="0" w:type="auto"/>
          </w:tcPr>
          <w:p w14:paraId="59325521" w14:textId="5377FD3A" w:rsidR="00901762" w:rsidRDefault="00901762" w:rsidP="000D2BF3">
            <w:pPr>
              <w:pStyle w:val="Tabelle-Text"/>
              <w:rPr>
                <w:lang w:eastAsia="en-US"/>
              </w:rPr>
            </w:pPr>
            <w:r>
              <w:t>32.</w:t>
            </w:r>
          </w:p>
        </w:tc>
        <w:tc>
          <w:tcPr>
            <w:tcW w:w="2050" w:type="dxa"/>
          </w:tcPr>
          <w:p w14:paraId="7AF8AA34" w14:textId="3D3A8225" w:rsidR="00901762" w:rsidRDefault="00901762" w:rsidP="000D2BF3">
            <w:pPr>
              <w:pStyle w:val="Tabelle-Text"/>
              <w:rPr>
                <w:lang w:eastAsia="en-US"/>
              </w:rPr>
            </w:pPr>
            <w:r>
              <w:t>Clarity of minor themes</w:t>
            </w:r>
          </w:p>
        </w:tc>
        <w:tc>
          <w:tcPr>
            <w:tcW w:w="3643" w:type="dxa"/>
          </w:tcPr>
          <w:p w14:paraId="30A67737" w14:textId="089FAAC0" w:rsidR="00901762" w:rsidRDefault="00901762" w:rsidP="000D2BF3">
            <w:pPr>
              <w:pStyle w:val="Tabelle-Text"/>
              <w:rPr>
                <w:lang w:eastAsia="en-US"/>
              </w:rPr>
            </w:pPr>
            <w:r>
              <w:t>Is there a description of diverse cases or discussion of minor themes?</w:t>
            </w:r>
          </w:p>
        </w:tc>
        <w:tc>
          <w:tcPr>
            <w:tcW w:w="3844" w:type="dxa"/>
          </w:tcPr>
          <w:p w14:paraId="7D38493A" w14:textId="27D36AEF" w:rsidR="00901762" w:rsidRDefault="001153F4" w:rsidP="000D2BF3">
            <w:pPr>
              <w:pStyle w:val="Tabelle-Text"/>
              <w:rPr>
                <w:lang w:eastAsia="en-US"/>
              </w:rPr>
            </w:pPr>
            <w:r>
              <w:rPr>
                <w:lang w:eastAsia="en-US"/>
              </w:rPr>
              <w:t xml:space="preserve">Not applicable </w:t>
            </w:r>
            <w:r w:rsidR="00A478EF">
              <w:rPr>
                <w:lang w:eastAsia="en-US"/>
              </w:rPr>
              <w:t>–</w:t>
            </w:r>
            <w:r>
              <w:rPr>
                <w:lang w:eastAsia="en-US"/>
              </w:rPr>
              <w:t xml:space="preserve"> </w:t>
            </w:r>
            <w:r w:rsidR="00A478EF">
              <w:rPr>
                <w:lang w:eastAsia="en-US"/>
              </w:rPr>
              <w:t>no theme extraction was performed (s.a.)</w:t>
            </w:r>
          </w:p>
        </w:tc>
      </w:tr>
    </w:tbl>
    <w:p w14:paraId="2A8FC69D" w14:textId="31A8330D" w:rsidR="00901762" w:rsidRDefault="00901762" w:rsidP="0006796E">
      <w:pPr>
        <w:rPr>
          <w:lang w:eastAsia="en-US"/>
        </w:rPr>
      </w:pPr>
    </w:p>
    <w:p w14:paraId="028880E5" w14:textId="24D1E8F8" w:rsidR="00391C70" w:rsidRPr="000B71AB" w:rsidRDefault="00391C70" w:rsidP="00330FF8">
      <w:pPr>
        <w:pStyle w:val="berschrift3"/>
      </w:pPr>
      <w:r w:rsidRPr="000B71AB">
        <w:t xml:space="preserve">Interview guide and code book </w:t>
      </w:r>
    </w:p>
    <w:p w14:paraId="7F2DF3D2" w14:textId="5D46A476" w:rsidR="00DB5A1D" w:rsidRPr="00FC2735" w:rsidRDefault="00F1735A" w:rsidP="00C161CF">
      <w:r w:rsidRPr="00090F3D">
        <w:t xml:space="preserve">The interviews were held in German. We used the online platform DeepL to translate the interview guide from German to English. The </w:t>
      </w:r>
      <w:r w:rsidR="001D55E3" w:rsidRPr="00090F3D">
        <w:t>translated guide</w:t>
      </w:r>
      <w:r w:rsidRPr="00090F3D">
        <w:t xml:space="preserve"> was </w:t>
      </w:r>
      <w:r w:rsidR="00FA0762">
        <w:t>verified</w:t>
      </w:r>
      <w:r w:rsidRPr="00090F3D">
        <w:t xml:space="preserve"> by the authors.</w:t>
      </w:r>
      <w:r w:rsidR="00090F3D" w:rsidRPr="00090F3D">
        <w:t xml:space="preserve"> </w:t>
      </w:r>
      <w:r w:rsidR="00090F3D" w:rsidRPr="009B70E6">
        <w:t>Ethical approval for the study was obtained from the Ethics Committee of Paderborn University (</w:t>
      </w:r>
      <w:r w:rsidR="00090F3D">
        <w:t>#4/2024</w:t>
      </w:r>
      <w:r w:rsidR="00090F3D" w:rsidRPr="009B70E6">
        <w:t>)</w:t>
      </w:r>
      <w:r w:rsidR="00090F3D">
        <w:t>. I</w:t>
      </w:r>
      <w:r w:rsidR="00090F3D" w:rsidRPr="009B70E6">
        <w:t xml:space="preserve">nformed consent was obtained from all </w:t>
      </w:r>
      <w:r w:rsidR="00090F3D">
        <w:t>experts</w:t>
      </w:r>
      <w:r w:rsidR="00090F3D" w:rsidRPr="009B70E6">
        <w:t xml:space="preserve"> prior to the interviews and consultations</w:t>
      </w:r>
      <w:r w:rsidR="00090F3D">
        <w:t>. Participation was voluntary, and confidentiality was ensured throughout the study.</w:t>
      </w:r>
      <w:r w:rsidR="00C161CF">
        <w:t xml:space="preserve"> </w:t>
      </w:r>
      <w:r w:rsidR="00C161CF">
        <w:fldChar w:fldCharType="begin"/>
      </w:r>
      <w:r w:rsidR="00C161CF">
        <w:instrText xml:space="preserve"> REF _Ref216366958 \h </w:instrText>
      </w:r>
      <w:r w:rsidR="00C161CF">
        <w:fldChar w:fldCharType="separate"/>
      </w:r>
      <w:r w:rsidR="00C161CF" w:rsidRPr="00FC2735">
        <w:t xml:space="preserve">Table </w:t>
      </w:r>
      <w:r w:rsidR="00C161CF">
        <w:rPr>
          <w:noProof/>
        </w:rPr>
        <w:t>5</w:t>
      </w:r>
      <w:r w:rsidR="00C161CF">
        <w:fldChar w:fldCharType="end"/>
      </w:r>
      <w:r w:rsidR="00C161CF">
        <w:t xml:space="preserve"> shows the semi-structured interview guide and </w:t>
      </w:r>
      <w:r w:rsidR="00C161CF" w:rsidRPr="00FC2735">
        <w:fldChar w:fldCharType="begin"/>
      </w:r>
      <w:r w:rsidR="00C161CF" w:rsidRPr="00FC2735">
        <w:instrText xml:space="preserve"> REF _Ref193380273 \h </w:instrText>
      </w:r>
      <w:r w:rsidR="00C161CF">
        <w:instrText xml:space="preserve"> \* MERGEFORMAT </w:instrText>
      </w:r>
      <w:r w:rsidR="00C161CF" w:rsidRPr="00FC2735">
        <w:fldChar w:fldCharType="separate"/>
      </w:r>
      <w:r w:rsidR="00C161CF">
        <w:t>table</w:t>
      </w:r>
      <w:r w:rsidR="00C161CF" w:rsidRPr="00FC2735">
        <w:t xml:space="preserve"> </w:t>
      </w:r>
      <w:r w:rsidR="00C161CF">
        <w:rPr>
          <w:noProof/>
        </w:rPr>
        <w:t>6</w:t>
      </w:r>
      <w:r w:rsidR="00C161CF" w:rsidRPr="00FC2735">
        <w:fldChar w:fldCharType="end"/>
      </w:r>
      <w:r w:rsidR="00C161CF" w:rsidRPr="00FC2735">
        <w:t xml:space="preserve"> presents the code book that was used to code the interviews in MAXQDA.</w:t>
      </w:r>
    </w:p>
    <w:p w14:paraId="2E16EEC9" w14:textId="3B961CE3" w:rsidR="005B014A" w:rsidRPr="00FC2735" w:rsidRDefault="005B014A" w:rsidP="001E40B4">
      <w:pPr>
        <w:pStyle w:val="Beschriftung"/>
      </w:pPr>
      <w:bookmarkStart w:id="17" w:name="_Ref216366958"/>
      <w:bookmarkStart w:id="18" w:name="_Toc222325230"/>
      <w:r w:rsidRPr="00FC2735">
        <w:t xml:space="preserve">Table </w:t>
      </w:r>
      <w:r w:rsidR="00672F33">
        <w:fldChar w:fldCharType="begin"/>
      </w:r>
      <w:r w:rsidR="00672F33">
        <w:instrText xml:space="preserve"> SEQ Table \* ARABIC </w:instrText>
      </w:r>
      <w:r w:rsidR="00672F33">
        <w:fldChar w:fldCharType="separate"/>
      </w:r>
      <w:r w:rsidR="00901762">
        <w:rPr>
          <w:noProof/>
        </w:rPr>
        <w:t>6</w:t>
      </w:r>
      <w:r w:rsidR="00672F33">
        <w:rPr>
          <w:noProof/>
        </w:rPr>
        <w:fldChar w:fldCharType="end"/>
      </w:r>
      <w:bookmarkEnd w:id="17"/>
      <w:r w:rsidRPr="00FC2735">
        <w:t xml:space="preserve"> Interview guide</w:t>
      </w:r>
      <w:r w:rsidR="00330FF8">
        <w:t>:</w:t>
      </w:r>
      <w:r w:rsidRPr="00FC2735">
        <w:t xml:space="preserve"> </w:t>
      </w:r>
      <w:r w:rsidR="00330FF8">
        <w:t>K</w:t>
      </w:r>
      <w:r w:rsidRPr="00FC2735">
        <w:t>ey informant interviews</w:t>
      </w:r>
      <w:bookmarkEnd w:id="18"/>
    </w:p>
    <w:tbl>
      <w:tblPr>
        <w:tblStyle w:val="TabellemithellemGitternetz"/>
        <w:tblW w:w="5000" w:type="pct"/>
        <w:tblLook w:val="04A0" w:firstRow="1" w:lastRow="0" w:firstColumn="1" w:lastColumn="0" w:noHBand="0" w:noVBand="1"/>
      </w:tblPr>
      <w:tblGrid>
        <w:gridCol w:w="10076"/>
      </w:tblGrid>
      <w:tr w:rsidR="00373779" w:rsidRPr="00B44BA8" w14:paraId="2B4A293A" w14:textId="77777777" w:rsidTr="00E60415">
        <w:tc>
          <w:tcPr>
            <w:tcW w:w="5000" w:type="pct"/>
          </w:tcPr>
          <w:p w14:paraId="1EE75239" w14:textId="371E5BBD" w:rsidR="00373779" w:rsidRPr="00E30A0D" w:rsidRDefault="00373779" w:rsidP="00E60415">
            <w:pPr>
              <w:pStyle w:val="Tabelle-berschrift"/>
            </w:pPr>
            <w:r w:rsidRPr="00E30A0D">
              <w:t>Interview Guide: Key Informant Interviews</w:t>
            </w:r>
          </w:p>
        </w:tc>
      </w:tr>
      <w:tr w:rsidR="00373779" w:rsidRPr="00B44BA8" w14:paraId="1877A0EC" w14:textId="77777777" w:rsidTr="00E60415">
        <w:tc>
          <w:tcPr>
            <w:tcW w:w="5000" w:type="pct"/>
          </w:tcPr>
          <w:p w14:paraId="224DA9CB" w14:textId="4FD0E0F6" w:rsidR="00373779" w:rsidRPr="00E30A0D" w:rsidRDefault="00373779" w:rsidP="001E40B4">
            <w:pPr>
              <w:pStyle w:val="Tabelle-Text"/>
            </w:pPr>
            <w:r w:rsidRPr="00E30A0D">
              <w:t>Last updated: 22</w:t>
            </w:r>
            <w:r w:rsidRPr="00E30A0D">
              <w:rPr>
                <w:vertAlign w:val="superscript"/>
              </w:rPr>
              <w:t xml:space="preserve">nd </w:t>
            </w:r>
            <w:r w:rsidRPr="00E30A0D">
              <w:t>February 2024</w:t>
            </w:r>
          </w:p>
        </w:tc>
      </w:tr>
      <w:tr w:rsidR="000041A1" w:rsidRPr="00B44BA8" w14:paraId="4130EF49" w14:textId="77777777" w:rsidTr="00E60415">
        <w:tc>
          <w:tcPr>
            <w:tcW w:w="5000" w:type="pct"/>
          </w:tcPr>
          <w:p w14:paraId="2F73277F" w14:textId="7EEE695D" w:rsidR="000041A1" w:rsidRPr="00E30A0D" w:rsidRDefault="000041A1" w:rsidP="001E40B4">
            <w:pPr>
              <w:pStyle w:val="Tabelle-Text"/>
            </w:pPr>
            <w:r w:rsidRPr="00E30A0D">
              <w:rPr>
                <w:b/>
              </w:rPr>
              <w:t xml:space="preserve">Preparation </w:t>
            </w:r>
            <w:r w:rsidRPr="00E30A0D">
              <w:t>(</w:t>
            </w:r>
            <w:r w:rsidR="00225C91" w:rsidRPr="00E30A0D">
              <w:t>Completed</w:t>
            </w:r>
            <w:r w:rsidRPr="00E30A0D">
              <w:t xml:space="preserve"> before the interview)</w:t>
            </w:r>
          </w:p>
          <w:p w14:paraId="6FBEFA3E" w14:textId="77777777" w:rsidR="000041A1" w:rsidRPr="00E30A0D" w:rsidRDefault="000041A1" w:rsidP="001E40B4">
            <w:pPr>
              <w:pStyle w:val="Tabelle-Text"/>
            </w:pPr>
            <w:r w:rsidRPr="00E30A0D">
              <w:t>Answer the following questions about the experts before the interviews to set the right focus during the discussion:</w:t>
            </w:r>
          </w:p>
          <w:p w14:paraId="0C9304D4" w14:textId="176080B7" w:rsidR="000041A1" w:rsidRPr="00E30A0D" w:rsidRDefault="000041A1" w:rsidP="001E40B4">
            <w:pPr>
              <w:pStyle w:val="Tabelle-Text"/>
              <w:numPr>
                <w:ilvl w:val="0"/>
                <w:numId w:val="60"/>
              </w:numPr>
            </w:pPr>
            <w:r w:rsidRPr="00E30A0D">
              <w:t>In which policy areas is the interviewee particularly experienced? Are there certain core areas of expertise?</w:t>
            </w:r>
          </w:p>
          <w:p w14:paraId="7F2CE67E" w14:textId="79275BCD" w:rsidR="000041A1" w:rsidRPr="00E30A0D" w:rsidRDefault="000041A1" w:rsidP="001E40B4">
            <w:pPr>
              <w:pStyle w:val="Tabelle-Text"/>
              <w:numPr>
                <w:ilvl w:val="0"/>
                <w:numId w:val="60"/>
              </w:numPr>
            </w:pPr>
            <w:r w:rsidRPr="00E30A0D">
              <w:t xml:space="preserve">What experience does the expert have regarding the legislative competences of the EU, the federal and state governments in food environment policy / regulation? </w:t>
            </w:r>
          </w:p>
          <w:p w14:paraId="4D4A9487" w14:textId="00080117" w:rsidR="000041A1" w:rsidRPr="00E30A0D" w:rsidRDefault="000041A1" w:rsidP="001E40B4">
            <w:pPr>
              <w:pStyle w:val="Tabelle-Text"/>
              <w:numPr>
                <w:ilvl w:val="0"/>
                <w:numId w:val="60"/>
              </w:numPr>
            </w:pPr>
            <w:r w:rsidRPr="00E30A0D">
              <w:t>Was a focus on individual policy areas / indicators agreed</w:t>
            </w:r>
            <w:r w:rsidR="00884D08" w:rsidRPr="00E30A0D">
              <w:t xml:space="preserve"> on</w:t>
            </w:r>
            <w:r w:rsidRPr="00E30A0D">
              <w:t xml:space="preserve"> in advance?</w:t>
            </w:r>
          </w:p>
        </w:tc>
      </w:tr>
      <w:tr w:rsidR="000041A1" w:rsidRPr="00B44BA8" w14:paraId="79F9B4A3" w14:textId="77777777" w:rsidTr="00E60415">
        <w:tc>
          <w:tcPr>
            <w:tcW w:w="5000" w:type="pct"/>
          </w:tcPr>
          <w:p w14:paraId="0C9E641E" w14:textId="73CEEA9D" w:rsidR="000041A1" w:rsidRPr="00E30A0D" w:rsidRDefault="000041A1" w:rsidP="001E40B4">
            <w:pPr>
              <w:pStyle w:val="Tabelle-Text"/>
            </w:pPr>
            <w:r w:rsidRPr="00E30A0D">
              <w:rPr>
                <w:b/>
              </w:rPr>
              <w:t xml:space="preserve">Introduction </w:t>
            </w:r>
            <w:r w:rsidRPr="00E30A0D">
              <w:t>(not recorded)</w:t>
            </w:r>
          </w:p>
          <w:p w14:paraId="75E3308A" w14:textId="77777777" w:rsidR="000041A1" w:rsidRPr="00E30A0D" w:rsidRDefault="000041A1" w:rsidP="001E40B4">
            <w:pPr>
              <w:pStyle w:val="Tabelle-Text"/>
              <w:numPr>
                <w:ilvl w:val="0"/>
                <w:numId w:val="60"/>
              </w:numPr>
            </w:pPr>
            <w:r w:rsidRPr="00E30A0D">
              <w:t>Thank you for taking the time for this interview as part of the study on the development of a country food environment policy index for Germany</w:t>
            </w:r>
          </w:p>
          <w:p w14:paraId="616B50EE" w14:textId="44C90DD0" w:rsidR="000041A1" w:rsidRPr="00E30A0D" w:rsidRDefault="000041A1" w:rsidP="001E40B4">
            <w:pPr>
              <w:pStyle w:val="Tabelle-Text"/>
              <w:numPr>
                <w:ilvl w:val="0"/>
                <w:numId w:val="60"/>
              </w:numPr>
            </w:pPr>
            <w:r w:rsidRPr="00E30A0D">
              <w:rPr>
                <w:b/>
              </w:rPr>
              <w:t xml:space="preserve">Introduction </w:t>
            </w:r>
            <w:r w:rsidR="00C624C7">
              <w:rPr>
                <w:b/>
              </w:rPr>
              <w:t>to</w:t>
            </w:r>
            <w:r w:rsidRPr="00E30A0D">
              <w:rPr>
                <w:b/>
              </w:rPr>
              <w:t xml:space="preserve"> all participants</w:t>
            </w:r>
            <w:r w:rsidR="00090F3D" w:rsidRPr="00E30A0D">
              <w:rPr>
                <w:b/>
              </w:rPr>
              <w:t xml:space="preserve">: </w:t>
            </w:r>
            <w:r w:rsidR="00C624C7">
              <w:t>Name</w:t>
            </w:r>
            <w:r w:rsidRPr="00E30A0D">
              <w:t>, PhD student, University XX at the Institute for XX; Educational background in XXX</w:t>
            </w:r>
          </w:p>
          <w:p w14:paraId="32E6D478" w14:textId="3E1A569A" w:rsidR="000041A1" w:rsidRPr="00E30A0D" w:rsidRDefault="000041A1" w:rsidP="001E40B4">
            <w:pPr>
              <w:pStyle w:val="Tabelle-Text"/>
              <w:numPr>
                <w:ilvl w:val="0"/>
                <w:numId w:val="60"/>
              </w:numPr>
              <w:rPr>
                <w:rStyle w:val="Fett"/>
                <w:color w:val="151E1F"/>
              </w:rPr>
            </w:pPr>
            <w:r w:rsidRPr="00E30A0D">
              <w:rPr>
                <w:b/>
              </w:rPr>
              <w:t xml:space="preserve">Study objectives: </w:t>
            </w:r>
            <w:r w:rsidRPr="00E30A0D">
              <w:t xml:space="preserve">The study examines the areas of action and responsibilities of the federal states, the federal government and the EU in the context of food environment policy. Based on the Food Environment Policy Indexes (Food-EPI), we want to identify the policy areas and indicators in which the </w:t>
            </w:r>
            <w:r w:rsidRPr="00E30A0D">
              <w:lastRenderedPageBreak/>
              <w:t xml:space="preserve">federal states can take food policy measures. The aim is to develop a Food-EPI that can be used to systematically evaluate the political frameworks and measures of the federal states that influence the nutritional behaviour of the population. Your expertise in XXX is of great value to obtain a comprehensive picture of the legislative </w:t>
            </w:r>
            <w:r w:rsidR="00AF6376" w:rsidRPr="00E30A0D">
              <w:t>powers</w:t>
            </w:r>
            <w:r w:rsidRPr="00E30A0D">
              <w:t xml:space="preserve"> and scope for action.</w:t>
            </w:r>
            <w:r w:rsidR="00090F3D" w:rsidRPr="00E30A0D">
              <w:rPr>
                <w:rStyle w:val="Funotenzeichen"/>
              </w:rPr>
              <w:footnoteReference w:id="3"/>
            </w:r>
          </w:p>
          <w:p w14:paraId="1AD03E55" w14:textId="1930C4FC" w:rsidR="000041A1" w:rsidRPr="00E30A0D" w:rsidRDefault="00111835" w:rsidP="001E40B4">
            <w:pPr>
              <w:pStyle w:val="Tabelle-Text"/>
            </w:pPr>
            <w:r w:rsidRPr="00E30A0D">
              <w:t>Overview on i</w:t>
            </w:r>
            <w:r w:rsidR="000041A1" w:rsidRPr="00E30A0D">
              <w:t>nterview structure</w:t>
            </w:r>
          </w:p>
          <w:p w14:paraId="441D65EE" w14:textId="41C4CA8A" w:rsidR="000041A1" w:rsidRPr="00E30A0D" w:rsidRDefault="000041A1" w:rsidP="001E40B4">
            <w:pPr>
              <w:pStyle w:val="Tabelle-Text"/>
              <w:numPr>
                <w:ilvl w:val="0"/>
                <w:numId w:val="48"/>
              </w:numPr>
            </w:pPr>
            <w:r w:rsidRPr="00E30A0D">
              <w:t>General (food environment) policy competences of the EU, federal government and federal states</w:t>
            </w:r>
          </w:p>
          <w:p w14:paraId="36DC3500" w14:textId="3424B11A" w:rsidR="000041A1" w:rsidRPr="00E30A0D" w:rsidRDefault="000041A1" w:rsidP="001E40B4">
            <w:pPr>
              <w:pStyle w:val="Tabelle-Text"/>
              <w:numPr>
                <w:ilvl w:val="0"/>
                <w:numId w:val="48"/>
              </w:numPr>
            </w:pPr>
            <w:r w:rsidRPr="00E30A0D">
              <w:t>Policy competences</w:t>
            </w:r>
            <w:r w:rsidR="00AF6376" w:rsidRPr="00E30A0D">
              <w:t xml:space="preserve"> and legislative powers</w:t>
            </w:r>
            <w:r w:rsidRPr="00E30A0D">
              <w:t xml:space="preserve"> - focus of the discussion with detailed questions on the individual Food-EPI policy areas and indicators</w:t>
            </w:r>
          </w:p>
          <w:p w14:paraId="38EA1D2A" w14:textId="77777777" w:rsidR="000041A1" w:rsidRPr="00E30A0D" w:rsidRDefault="000041A1" w:rsidP="001E40B4">
            <w:pPr>
              <w:pStyle w:val="Tabelle-Text"/>
              <w:numPr>
                <w:ilvl w:val="0"/>
                <w:numId w:val="48"/>
              </w:numPr>
            </w:pPr>
            <w:r w:rsidRPr="00E30A0D">
              <w:t>Infrastructure support measures - overarching questions, slightly less detailed than the first area</w:t>
            </w:r>
          </w:p>
          <w:p w14:paraId="1398BC78" w14:textId="77777777" w:rsidR="000041A1" w:rsidRPr="00E30A0D" w:rsidRDefault="000041A1" w:rsidP="001E40B4">
            <w:pPr>
              <w:pStyle w:val="Tabelle-Text"/>
              <w:numPr>
                <w:ilvl w:val="0"/>
                <w:numId w:val="48"/>
              </w:numPr>
            </w:pPr>
            <w:r w:rsidRPr="00E30A0D">
              <w:t xml:space="preserve">Final questions / Remarks </w:t>
            </w:r>
          </w:p>
          <w:p w14:paraId="7CDF8649" w14:textId="42BDF030" w:rsidR="000041A1" w:rsidRPr="00E30A0D" w:rsidRDefault="000041A1" w:rsidP="001E40B4">
            <w:pPr>
              <w:pStyle w:val="Tabelle-Text"/>
              <w:numPr>
                <w:ilvl w:val="0"/>
                <w:numId w:val="28"/>
              </w:numPr>
              <w:rPr>
                <w:color w:val="151E1F"/>
              </w:rPr>
            </w:pPr>
            <w:r w:rsidRPr="00E30A0D">
              <w:rPr>
                <w:rStyle w:val="Fett"/>
              </w:rPr>
              <w:t xml:space="preserve">Notice on </w:t>
            </w:r>
            <w:r w:rsidR="00884D08" w:rsidRPr="00E30A0D">
              <w:rPr>
                <w:rStyle w:val="Fett"/>
              </w:rPr>
              <w:t xml:space="preserve">participation and </w:t>
            </w:r>
            <w:r w:rsidR="0002077B" w:rsidRPr="00E30A0D">
              <w:rPr>
                <w:rStyle w:val="Fett"/>
              </w:rPr>
              <w:t>confidentiality</w:t>
            </w:r>
            <w:r w:rsidRPr="00E30A0D">
              <w:rPr>
                <w:rStyle w:val="Fett"/>
              </w:rPr>
              <w:t xml:space="preserve">: </w:t>
            </w:r>
            <w:r w:rsidR="0002077B" w:rsidRPr="00E30A0D">
              <w:t>Yo</w:t>
            </w:r>
            <w:r w:rsidRPr="00E30A0D">
              <w:t xml:space="preserve">ur participation in this interview is voluntary. All information you share will be treated confidentially. </w:t>
            </w:r>
            <w:r w:rsidR="00884D08" w:rsidRPr="00E30A0D">
              <w:t xml:space="preserve">We will record the interview in its entirety. </w:t>
            </w:r>
            <w:r w:rsidRPr="00E30A0D">
              <w:t xml:space="preserve">Any statements you make will </w:t>
            </w:r>
            <w:r w:rsidR="00884D08" w:rsidRPr="00E30A0D">
              <w:t xml:space="preserve">subsequently </w:t>
            </w:r>
            <w:r w:rsidRPr="00E30A0D">
              <w:t xml:space="preserve">be anonymised and used for research purposes only. You can cancel </w:t>
            </w:r>
            <w:r w:rsidR="00884D08" w:rsidRPr="00E30A0D">
              <w:t xml:space="preserve">your participation in </w:t>
            </w:r>
            <w:r w:rsidRPr="00E30A0D">
              <w:t>the interview at any time.</w:t>
            </w:r>
          </w:p>
          <w:p w14:paraId="1C295DA1" w14:textId="34430BFE" w:rsidR="00111835" w:rsidRPr="00E30A0D" w:rsidRDefault="00111835" w:rsidP="001E40B4">
            <w:pPr>
              <w:pStyle w:val="Tabelle-Text"/>
              <w:numPr>
                <w:ilvl w:val="0"/>
                <w:numId w:val="28"/>
              </w:numPr>
            </w:pPr>
            <w:r w:rsidRPr="00E30A0D">
              <w:rPr>
                <w:rStyle w:val="Fett"/>
              </w:rPr>
              <w:t xml:space="preserve">Do you have any questions before we start the interview and recording? </w:t>
            </w:r>
          </w:p>
        </w:tc>
      </w:tr>
      <w:tr w:rsidR="00111835" w:rsidRPr="00B44BA8" w14:paraId="2EEDCA8B" w14:textId="77777777" w:rsidTr="00E60415">
        <w:tc>
          <w:tcPr>
            <w:tcW w:w="5000" w:type="pct"/>
          </w:tcPr>
          <w:p w14:paraId="25E074CE" w14:textId="09A0F4D7" w:rsidR="00111835" w:rsidRPr="00E30A0D" w:rsidRDefault="00111835" w:rsidP="001E40B4">
            <w:pPr>
              <w:pStyle w:val="Tabelle-Text"/>
            </w:pPr>
            <w:r w:rsidRPr="00E30A0D">
              <w:lastRenderedPageBreak/>
              <w:t xml:space="preserve">If you have no further questions, we will start the </w:t>
            </w:r>
            <w:r w:rsidRPr="00E30A0D">
              <w:rPr>
                <w:b/>
              </w:rPr>
              <w:t>audio recording</w:t>
            </w:r>
            <w:r w:rsidRPr="00E30A0D">
              <w:t xml:space="preserve"> now.</w:t>
            </w:r>
          </w:p>
        </w:tc>
      </w:tr>
      <w:tr w:rsidR="00111835" w:rsidRPr="00B44BA8" w14:paraId="75ACE1FB" w14:textId="77777777" w:rsidTr="00E60415">
        <w:tc>
          <w:tcPr>
            <w:tcW w:w="5000" w:type="pct"/>
          </w:tcPr>
          <w:p w14:paraId="0C28AC1D" w14:textId="77777777" w:rsidR="00111835" w:rsidRPr="00E30A0D" w:rsidRDefault="00111835" w:rsidP="001E40B4">
            <w:pPr>
              <w:pStyle w:val="Tabelle-Text"/>
            </w:pPr>
            <w:r w:rsidRPr="00E30A0D">
              <w:t>Interview</w:t>
            </w:r>
          </w:p>
          <w:p w14:paraId="2E5631C2" w14:textId="141F6C95" w:rsidR="00111835" w:rsidRPr="00E30A0D" w:rsidRDefault="00111835" w:rsidP="001E40B4">
            <w:pPr>
              <w:pStyle w:val="Tabelle-Text"/>
              <w:rPr>
                <w:rStyle w:val="Fett"/>
                <w:b w:val="0"/>
                <w:bCs/>
                <w:i/>
                <w:iCs/>
                <w:color w:val="808080" w:themeColor="background1" w:themeShade="80"/>
              </w:rPr>
            </w:pPr>
            <w:r w:rsidRPr="00E30A0D">
              <w:rPr>
                <w:rStyle w:val="Fett"/>
                <w:b w:val="0"/>
                <w:bCs/>
                <w:i/>
                <w:iCs/>
                <w:color w:val="808080" w:themeColor="background1" w:themeShade="80"/>
              </w:rPr>
              <w:t>For understanding: Notes / background information is highlighted in grey and italics. H is the abbreviation for hypothesis and outlines our current understanding of the distribution of competences</w:t>
            </w:r>
            <w:r w:rsidR="00AF6376" w:rsidRPr="00E30A0D">
              <w:rPr>
                <w:rStyle w:val="Fett"/>
                <w:b w:val="0"/>
                <w:bCs/>
                <w:i/>
                <w:iCs/>
                <w:color w:val="808080" w:themeColor="background1" w:themeShade="80"/>
              </w:rPr>
              <w:t xml:space="preserve"> and legislative powers</w:t>
            </w:r>
            <w:r w:rsidRPr="00E30A0D">
              <w:rPr>
                <w:rStyle w:val="Fett"/>
                <w:b w:val="0"/>
                <w:bCs/>
                <w:i/>
                <w:iCs/>
                <w:color w:val="808080" w:themeColor="background1" w:themeShade="80"/>
              </w:rPr>
              <w:t>.</w:t>
            </w:r>
          </w:p>
          <w:p w14:paraId="5E950583" w14:textId="4F4AF642" w:rsidR="00111835" w:rsidRPr="00E30A0D" w:rsidRDefault="00111835" w:rsidP="001E40B4">
            <w:pPr>
              <w:pStyle w:val="Tabelle-Text"/>
              <w:numPr>
                <w:ilvl w:val="0"/>
                <w:numId w:val="61"/>
              </w:numPr>
            </w:pPr>
            <w:r w:rsidRPr="00E30A0D">
              <w:t xml:space="preserve">General food policy competences of the EU, </w:t>
            </w:r>
            <w:r w:rsidR="00AF6376" w:rsidRPr="00E30A0D">
              <w:t xml:space="preserve">and legislative powers of the </w:t>
            </w:r>
            <w:r w:rsidRPr="00E30A0D">
              <w:t xml:space="preserve">federal government and federal states: To understand the </w:t>
            </w:r>
            <w:r w:rsidR="00AF6376" w:rsidRPr="00E30A0D">
              <w:t>authority</w:t>
            </w:r>
            <w:r w:rsidRPr="00E30A0D">
              <w:t xml:space="preserve"> and scope for action of the federal states in food environment policy, let us first talk about the general </w:t>
            </w:r>
            <w:r w:rsidR="00AF6376" w:rsidRPr="00E30A0D">
              <w:t>powers</w:t>
            </w:r>
            <w:r w:rsidRPr="00E30A0D">
              <w:t>:</w:t>
            </w:r>
          </w:p>
          <w:p w14:paraId="50A97CC1" w14:textId="05C98275" w:rsidR="00111835" w:rsidRPr="00E30A0D" w:rsidRDefault="00111835" w:rsidP="001E40B4">
            <w:pPr>
              <w:pStyle w:val="Tabelle-Text"/>
              <w:numPr>
                <w:ilvl w:val="0"/>
                <w:numId w:val="51"/>
              </w:numPr>
            </w:pPr>
            <w:r w:rsidRPr="00E30A0D">
              <w:t>How do regulations at EU and federal level influence the scope of action of the federal states in food policy?</w:t>
            </w:r>
          </w:p>
          <w:p w14:paraId="7E1460BA" w14:textId="64D63B8F" w:rsidR="00111835" w:rsidRPr="00E30A0D" w:rsidRDefault="00111835" w:rsidP="001E40B4">
            <w:pPr>
              <w:pStyle w:val="Tabelle-Text"/>
              <w:numPr>
                <w:ilvl w:val="0"/>
                <w:numId w:val="51"/>
              </w:numPr>
            </w:pPr>
            <w:r w:rsidRPr="00E30A0D">
              <w:t xml:space="preserve">In the first part of the preliminary results report, we discuss the most important principles for the distribution of competence </w:t>
            </w:r>
            <w:r w:rsidR="00AF6376" w:rsidRPr="00E30A0D">
              <w:t xml:space="preserve">/ legislative power </w:t>
            </w:r>
            <w:r w:rsidRPr="00E30A0D">
              <w:t>in food environment policy making between the EU, the federal government and the federal states - in your view, is there a need for further clarification or any additions to the presentation of competences</w:t>
            </w:r>
            <w:r w:rsidR="00AF6376" w:rsidRPr="00E30A0D">
              <w:t xml:space="preserve"> and legislative powers</w:t>
            </w:r>
            <w:r w:rsidRPr="00E30A0D">
              <w:t>?</w:t>
            </w:r>
          </w:p>
          <w:p w14:paraId="760143E0" w14:textId="6910F87F" w:rsidR="00111835" w:rsidRPr="00E30A0D" w:rsidRDefault="00111835" w:rsidP="001E40B4">
            <w:pPr>
              <w:pStyle w:val="Tabelle-Text"/>
              <w:numPr>
                <w:ilvl w:val="0"/>
                <w:numId w:val="51"/>
              </w:numPr>
            </w:pPr>
            <w:r w:rsidRPr="00E30A0D">
              <w:t xml:space="preserve">Optional: Can you briefly explain the most important principles for the distribution of competences </w:t>
            </w:r>
            <w:r w:rsidR="00AF6376" w:rsidRPr="00E30A0D">
              <w:t xml:space="preserve">and legislative powers </w:t>
            </w:r>
            <w:r w:rsidRPr="00E30A0D">
              <w:t>in food environment policy between the EU,</w:t>
            </w:r>
            <w:r w:rsidR="00AF6376" w:rsidRPr="00E30A0D">
              <w:t xml:space="preserve"> </w:t>
            </w:r>
            <w:r w:rsidRPr="00E30A0D">
              <w:t>the federal and the states in Germany?</w:t>
            </w:r>
          </w:p>
          <w:p w14:paraId="1CB2D6CF" w14:textId="4C748950" w:rsidR="00111835" w:rsidRPr="00E30A0D" w:rsidRDefault="00111835" w:rsidP="001E40B4">
            <w:pPr>
              <w:pStyle w:val="Tabelle-Text"/>
              <w:numPr>
                <w:ilvl w:val="0"/>
                <w:numId w:val="61"/>
              </w:numPr>
            </w:pPr>
            <w:r w:rsidRPr="00E30A0D">
              <w:t>Policy competences</w:t>
            </w:r>
            <w:r w:rsidR="00AF6376" w:rsidRPr="00E30A0D">
              <w:t xml:space="preserve"> and legislative powers</w:t>
            </w:r>
            <w:r w:rsidRPr="00E30A0D">
              <w:t>: The Food-EPI distinguishes between policy measures and infrastructure support measures. We will now continue with the seven policy areas that fall under the policy area and go through the individual policy areas one by one.</w:t>
            </w:r>
          </w:p>
          <w:p w14:paraId="49DD49BB" w14:textId="14F4606F" w:rsidR="00111835" w:rsidRPr="00E30A0D" w:rsidRDefault="00111835" w:rsidP="001E40B4">
            <w:pPr>
              <w:pStyle w:val="Tabelle-Text"/>
              <w:rPr>
                <w:b/>
                <w:highlight w:val="lightGray"/>
              </w:rPr>
            </w:pPr>
            <w:r w:rsidRPr="00E30A0D">
              <w:rPr>
                <w:rStyle w:val="Fett"/>
                <w:b w:val="0"/>
                <w:bCs/>
                <w:i/>
                <w:iCs/>
                <w:color w:val="808080" w:themeColor="background1" w:themeShade="80"/>
              </w:rPr>
              <w:t>Note: Highlight / omit policy areas not relevant</w:t>
            </w:r>
            <w:r w:rsidR="007F11C8" w:rsidRPr="00E30A0D">
              <w:rPr>
                <w:rStyle w:val="Fett"/>
                <w:b w:val="0"/>
                <w:bCs/>
                <w:i/>
                <w:iCs/>
                <w:color w:val="808080" w:themeColor="background1" w:themeShade="80"/>
              </w:rPr>
              <w:t xml:space="preserve"> for the expert</w:t>
            </w:r>
            <w:r w:rsidRPr="00E30A0D">
              <w:rPr>
                <w:b/>
                <w:highlight w:val="lightGray"/>
              </w:rPr>
              <w:t xml:space="preserve"> </w:t>
            </w:r>
          </w:p>
          <w:p w14:paraId="374989BE" w14:textId="20B1C16A" w:rsidR="00DB291C" w:rsidRPr="00E30A0D" w:rsidRDefault="00111835" w:rsidP="001E40B4">
            <w:pPr>
              <w:pStyle w:val="Tabelle-Text"/>
            </w:pPr>
            <w:r w:rsidRPr="00E30A0D">
              <w:rPr>
                <w:rStyle w:val="Fett"/>
                <w:b w:val="0"/>
                <w:color w:val="051C2C"/>
              </w:rPr>
              <w:t xml:space="preserve">Food </w:t>
            </w:r>
            <w:r w:rsidRPr="00E30A0D">
              <w:t>composition</w:t>
            </w:r>
          </w:p>
          <w:p w14:paraId="19D2478A" w14:textId="05214BE7" w:rsidR="007F11C8" w:rsidRPr="00E30A0D" w:rsidRDefault="00111835" w:rsidP="001E40B4">
            <w:pPr>
              <w:pStyle w:val="Tabelle-Text"/>
              <w:numPr>
                <w:ilvl w:val="0"/>
                <w:numId w:val="51"/>
              </w:numPr>
              <w:rPr>
                <w:rStyle w:val="Fett"/>
                <w:b w:val="0"/>
                <w:bCs/>
              </w:rPr>
            </w:pPr>
            <w:r w:rsidRPr="00E30A0D">
              <w:t>The literature states that the standards that define the nutritional content of industrially processed foods are largely standardised across the EU and that the federal states are only indirectly involved in the design of these regulations. Is this consistent with your assessment?</w:t>
            </w:r>
            <w:r w:rsidR="00DB291C" w:rsidRPr="00E30A0D">
              <w:br/>
            </w:r>
            <w:r w:rsidR="00DB291C" w:rsidRPr="00E30A0D">
              <w:rPr>
                <w:rStyle w:val="Fett"/>
                <w:b w:val="0"/>
                <w:i/>
                <w:iCs/>
                <w:color w:val="808080" w:themeColor="background1" w:themeShade="80"/>
              </w:rPr>
              <w:lastRenderedPageBreak/>
              <w:t xml:space="preserve">H: Federal and state governments have </w:t>
            </w:r>
            <w:r w:rsidR="00AF6376" w:rsidRPr="00E30A0D">
              <w:rPr>
                <w:rStyle w:val="Fett"/>
                <w:b w:val="0"/>
                <w:i/>
                <w:iCs/>
                <w:color w:val="808080" w:themeColor="background1" w:themeShade="80"/>
              </w:rPr>
              <w:t>limited</w:t>
            </w:r>
            <w:r w:rsidR="00DB291C" w:rsidRPr="00E30A0D">
              <w:rPr>
                <w:rStyle w:val="Fett"/>
                <w:b w:val="0"/>
                <w:i/>
                <w:iCs/>
                <w:color w:val="808080" w:themeColor="background1" w:themeShade="80"/>
              </w:rPr>
              <w:t xml:space="preserve"> </w:t>
            </w:r>
            <w:r w:rsidR="00AF6376" w:rsidRPr="00E30A0D">
              <w:rPr>
                <w:rStyle w:val="Fett"/>
                <w:b w:val="0"/>
                <w:i/>
                <w:iCs/>
                <w:color w:val="808080" w:themeColor="background1" w:themeShade="80"/>
              </w:rPr>
              <w:t>legislative power</w:t>
            </w:r>
            <w:r w:rsidR="00DB291C" w:rsidRPr="00E30A0D">
              <w:rPr>
                <w:rStyle w:val="Fett"/>
                <w:b w:val="0"/>
                <w:i/>
                <w:iCs/>
                <w:color w:val="808080" w:themeColor="background1" w:themeShade="80"/>
              </w:rPr>
              <w:t xml:space="preserve"> for food composition in the retai</w:t>
            </w:r>
            <w:r w:rsidR="007F11C8" w:rsidRPr="00E30A0D">
              <w:rPr>
                <w:rStyle w:val="Fett"/>
                <w:b w:val="0"/>
                <w:i/>
                <w:iCs/>
                <w:color w:val="808080" w:themeColor="background1" w:themeShade="80"/>
              </w:rPr>
              <w:t xml:space="preserve">l sector </w:t>
            </w:r>
          </w:p>
          <w:p w14:paraId="35503574" w14:textId="0CE8F401" w:rsidR="00111835" w:rsidRPr="00E30A0D" w:rsidRDefault="00DB291C" w:rsidP="001E40B4">
            <w:pPr>
              <w:pStyle w:val="Tabelle-Text"/>
              <w:numPr>
                <w:ilvl w:val="0"/>
                <w:numId w:val="51"/>
              </w:numPr>
              <w:rPr>
                <w:rStyle w:val="Fett"/>
                <w:b w:val="0"/>
                <w:bCs/>
              </w:rPr>
            </w:pPr>
            <w:r w:rsidRPr="00E30A0D">
              <w:rPr>
                <w:rStyle w:val="Fett"/>
                <w:b w:val="0"/>
                <w:color w:val="151E1F"/>
              </w:rPr>
              <w:t xml:space="preserve">Since the reform of German federalism of 2006, hospitality law falls under the legislative </w:t>
            </w:r>
            <w:r w:rsidR="00AF6376" w:rsidRPr="00E30A0D">
              <w:rPr>
                <w:rStyle w:val="Fett"/>
                <w:b w:val="0"/>
                <w:color w:val="151E1F"/>
              </w:rPr>
              <w:t>power</w:t>
            </w:r>
            <w:r w:rsidRPr="00E30A0D">
              <w:rPr>
                <w:rStyle w:val="Fett"/>
                <w:b w:val="0"/>
                <w:color w:val="151E1F"/>
              </w:rPr>
              <w:t xml:space="preserve"> of the federal states. Could states set individual targets, standards or limits that regulate the content of certain nutrients for the out-of-home meals (e.g. saturated fat, salt or sugar)? Do you know whether states use these options?</w:t>
            </w:r>
            <w:r w:rsidRPr="00E30A0D">
              <w:rPr>
                <w:rStyle w:val="Fett"/>
                <w:b w:val="0"/>
                <w:color w:val="151E1F"/>
              </w:rPr>
              <w:br/>
            </w:r>
            <w:r w:rsidRPr="00E30A0D">
              <w:rPr>
                <w:rStyle w:val="Fett"/>
                <w:b w:val="0"/>
                <w:i/>
                <w:iCs/>
                <w:color w:val="808080" w:themeColor="background1" w:themeShade="80"/>
              </w:rPr>
              <w:t>H: States could set limits for nutrients of concern in restaurants and out-of-home settings, but have not done so to date (example NY: mandatory limits for the maximum trans-fat content in food-service establishments)</w:t>
            </w:r>
          </w:p>
          <w:p w14:paraId="42BC0A35" w14:textId="18D5D4CE" w:rsidR="00DB291C" w:rsidRPr="00E30A0D" w:rsidRDefault="00DB291C" w:rsidP="001E40B4">
            <w:pPr>
              <w:pStyle w:val="Tabelle-Text"/>
              <w:rPr>
                <w:rStyle w:val="Fett"/>
                <w:b w:val="0"/>
                <w:color w:val="151E1F"/>
              </w:rPr>
            </w:pPr>
            <w:r w:rsidRPr="00E30A0D">
              <w:rPr>
                <w:rStyle w:val="Fett"/>
                <w:b w:val="0"/>
                <w:color w:val="151E1F"/>
              </w:rPr>
              <w:t>Food labelling</w:t>
            </w:r>
          </w:p>
          <w:p w14:paraId="1FF44422" w14:textId="6D278081" w:rsidR="00DB291C" w:rsidRPr="00E30A0D" w:rsidRDefault="00DB291C" w:rsidP="001E40B4">
            <w:pPr>
              <w:pStyle w:val="Tabelle-Text"/>
              <w:numPr>
                <w:ilvl w:val="0"/>
                <w:numId w:val="51"/>
              </w:numPr>
              <w:rPr>
                <w:rStyle w:val="Fett"/>
                <w:b w:val="0"/>
                <w:bCs/>
              </w:rPr>
            </w:pPr>
            <w:r w:rsidRPr="00E30A0D">
              <w:t>Regulations for food labelling in the retail sector are largely standardised across the EU. The federal ministry (BMEL) argues that mandatory introduction of a Nutri-Score or similar front-of-pack food labelling systems would only be possible in EU legislation. This means that the federal and state governments may only have an indirect influence on this area. Do you agree with this assessment?</w:t>
            </w:r>
            <w:r w:rsidRPr="00E30A0D">
              <w:rPr>
                <w:rStyle w:val="Fett"/>
                <w:b w:val="0"/>
                <w:color w:val="151E1F"/>
              </w:rPr>
              <w:br/>
            </w:r>
            <w:r w:rsidRPr="00E30A0D">
              <w:rPr>
                <w:rStyle w:val="Fett"/>
                <w:b w:val="0"/>
                <w:i/>
                <w:iCs/>
                <w:color w:val="808080" w:themeColor="background1" w:themeShade="80"/>
              </w:rPr>
              <w:t xml:space="preserve">H: States have </w:t>
            </w:r>
            <w:r w:rsidR="00AF6376" w:rsidRPr="00E30A0D">
              <w:rPr>
                <w:rStyle w:val="Fett"/>
                <w:b w:val="0"/>
                <w:i/>
                <w:iCs/>
                <w:color w:val="808080" w:themeColor="background1" w:themeShade="80"/>
              </w:rPr>
              <w:t>limited legislative power</w:t>
            </w:r>
            <w:r w:rsidRPr="00E30A0D">
              <w:rPr>
                <w:rStyle w:val="Fett"/>
                <w:b w:val="0"/>
                <w:i/>
                <w:iCs/>
                <w:color w:val="808080" w:themeColor="background1" w:themeShade="80"/>
              </w:rPr>
              <w:t xml:space="preserve"> in </w:t>
            </w:r>
            <w:r w:rsidR="00BA1420" w:rsidRPr="00E30A0D">
              <w:rPr>
                <w:rStyle w:val="Fett"/>
                <w:b w:val="0"/>
                <w:i/>
                <w:iCs/>
                <w:color w:val="808080" w:themeColor="background1" w:themeShade="80"/>
              </w:rPr>
              <w:t>mandator</w:t>
            </w:r>
            <w:r w:rsidR="000B71AB" w:rsidRPr="00E30A0D">
              <w:rPr>
                <w:rStyle w:val="Fett"/>
                <w:b w:val="0"/>
                <w:i/>
                <w:iCs/>
                <w:color w:val="808080" w:themeColor="background1" w:themeShade="80"/>
              </w:rPr>
              <w:t>y</w:t>
            </w:r>
            <w:r w:rsidR="00BA1420" w:rsidRPr="00E30A0D">
              <w:rPr>
                <w:rStyle w:val="Fett"/>
                <w:i/>
                <w:iCs/>
                <w:color w:val="808080" w:themeColor="background1" w:themeShade="80"/>
              </w:rPr>
              <w:t xml:space="preserve"> </w:t>
            </w:r>
            <w:r w:rsidRPr="00E30A0D">
              <w:rPr>
                <w:rStyle w:val="Fett"/>
                <w:b w:val="0"/>
                <w:i/>
                <w:iCs/>
                <w:color w:val="808080" w:themeColor="background1" w:themeShade="80"/>
              </w:rPr>
              <w:t>food labelling in retail settings</w:t>
            </w:r>
          </w:p>
          <w:p w14:paraId="39CC378A" w14:textId="1A8559FB" w:rsidR="00DB291C" w:rsidRPr="00E30A0D" w:rsidRDefault="00DB291C" w:rsidP="001E40B4">
            <w:pPr>
              <w:pStyle w:val="Tabelle-Text"/>
              <w:numPr>
                <w:ilvl w:val="0"/>
                <w:numId w:val="51"/>
              </w:numPr>
              <w:rPr>
                <w:rStyle w:val="Fett"/>
                <w:b w:val="0"/>
                <w:bCs/>
              </w:rPr>
            </w:pPr>
            <w:r w:rsidRPr="00E30A0D">
              <w:t>How about the food service industry: To what extent could the federal and state governments, through their legislative powers out-of-home settings, adopt regulations for food labelling?</w:t>
            </w:r>
            <w:r w:rsidRPr="00E30A0D">
              <w:br/>
            </w:r>
            <w:r w:rsidRPr="00E30A0D">
              <w:rPr>
                <w:rStyle w:val="Fett"/>
                <w:b w:val="0"/>
                <w:bCs/>
                <w:i/>
                <w:iCs/>
                <w:color w:val="808080" w:themeColor="background1" w:themeShade="80"/>
              </w:rPr>
              <w:t>H: States may introduce mandatory labelling requirements in out-of-home / hospitality settings; they have not yet utilized their authority (Like in Ontario (Canada where all restaurants with &gt;20 outlets must provide information on their menus about the energy content of the products on offer and the average requirements of adults and children)</w:t>
            </w:r>
          </w:p>
          <w:p w14:paraId="049AC450" w14:textId="3CA0B54B" w:rsidR="00DB291C" w:rsidRPr="00E30A0D" w:rsidRDefault="00DB291C" w:rsidP="001E40B4">
            <w:pPr>
              <w:pStyle w:val="Tabelle-Text"/>
              <w:numPr>
                <w:ilvl w:val="0"/>
                <w:numId w:val="51"/>
              </w:numPr>
              <w:rPr>
                <w:rStyle w:val="Fett"/>
                <w:b w:val="0"/>
                <w:bCs/>
              </w:rPr>
            </w:pPr>
            <w:r w:rsidRPr="00E30A0D">
              <w:rPr>
                <w:rStyle w:val="Fett"/>
                <w:b w:val="0"/>
                <w:bCs/>
              </w:rPr>
              <w:t>How far do European regulations reach in food labels for the food services sector? To what extent do they limit the federal or state governments to act?</w:t>
            </w:r>
          </w:p>
          <w:p w14:paraId="318C99B7" w14:textId="59C2DFBB" w:rsidR="00A93A97" w:rsidRPr="00E30A0D" w:rsidRDefault="00DB291C" w:rsidP="001E40B4">
            <w:pPr>
              <w:pStyle w:val="Tabelle-Text"/>
              <w:rPr>
                <w:rStyle w:val="Fett"/>
                <w:b w:val="0"/>
                <w:bCs/>
              </w:rPr>
            </w:pPr>
            <w:r w:rsidRPr="00E30A0D">
              <w:rPr>
                <w:rStyle w:val="Fett"/>
                <w:b w:val="0"/>
                <w:bCs/>
              </w:rPr>
              <w:t xml:space="preserve">Food advertising and </w:t>
            </w:r>
            <w:r w:rsidR="007F11C8" w:rsidRPr="00E30A0D">
              <w:rPr>
                <w:rStyle w:val="Fett"/>
                <w:b w:val="0"/>
                <w:bCs/>
              </w:rPr>
              <w:t>promotion</w:t>
            </w:r>
          </w:p>
          <w:p w14:paraId="226C15BD" w14:textId="0869FD8D" w:rsidR="00DB291C" w:rsidRPr="00E30A0D" w:rsidRDefault="00A93A97" w:rsidP="001E40B4">
            <w:pPr>
              <w:pStyle w:val="Tabelle-Text"/>
              <w:numPr>
                <w:ilvl w:val="0"/>
                <w:numId w:val="51"/>
              </w:numPr>
              <w:rPr>
                <w:rStyle w:val="Fett"/>
                <w:b w:val="0"/>
                <w:bCs/>
              </w:rPr>
            </w:pPr>
            <w:r w:rsidRPr="00E30A0D">
              <w:rPr>
                <w:rStyle w:val="Fett"/>
                <w:b w:val="0"/>
                <w:bCs/>
              </w:rPr>
              <w:t xml:space="preserve">Several policy areas overlap in food advertising, including the economy, food, media, youth protection. The literature outlines that the competences </w:t>
            </w:r>
            <w:r w:rsidR="00AF6376" w:rsidRPr="00E30A0D">
              <w:rPr>
                <w:rStyle w:val="Fett"/>
                <w:b w:val="0"/>
                <w:bCs/>
              </w:rPr>
              <w:t xml:space="preserve">and legislative powers </w:t>
            </w:r>
            <w:r w:rsidRPr="00E30A0D">
              <w:rPr>
                <w:rStyle w:val="Fett"/>
                <w:b w:val="0"/>
                <w:bCs/>
              </w:rPr>
              <w:t>are disputed between the EU, the federal and the state governments. Can you detail how this is to be understood, under what conditions do the competence</w:t>
            </w:r>
            <w:r w:rsidR="00AF6376" w:rsidRPr="00E30A0D">
              <w:rPr>
                <w:rStyle w:val="Fett"/>
                <w:b w:val="0"/>
                <w:bCs/>
              </w:rPr>
              <w:t xml:space="preserve"> / power</w:t>
            </w:r>
            <w:r w:rsidRPr="00E30A0D">
              <w:rPr>
                <w:rStyle w:val="Fett"/>
                <w:b w:val="0"/>
                <w:bCs/>
              </w:rPr>
              <w:t xml:space="preserve"> lie with the EU, the federal or the states and what are the legal grounds / key laws for each scenario?</w:t>
            </w:r>
            <w:r w:rsidRPr="00E30A0D">
              <w:rPr>
                <w:rStyle w:val="Fett"/>
                <w:b w:val="0"/>
                <w:bCs/>
              </w:rPr>
              <w:br/>
            </w:r>
            <w:r w:rsidRPr="00E30A0D">
              <w:rPr>
                <w:rStyle w:val="Fett"/>
                <w:b w:val="0"/>
                <w:bCs/>
                <w:i/>
                <w:iCs/>
                <w:color w:val="808080" w:themeColor="background1" w:themeShade="80"/>
              </w:rPr>
              <w:t xml:space="preserve">H: States can regulate if the medium is central; otherwise, </w:t>
            </w:r>
            <w:r w:rsidR="00BA1420" w:rsidRPr="00E30A0D">
              <w:rPr>
                <w:rStyle w:val="Fett"/>
                <w:b w:val="0"/>
                <w:bCs/>
                <w:i/>
                <w:iCs/>
                <w:color w:val="808080" w:themeColor="background1" w:themeShade="80"/>
              </w:rPr>
              <w:t xml:space="preserve">competencies lie mainly with the </w:t>
            </w:r>
            <w:r w:rsidRPr="00E30A0D">
              <w:rPr>
                <w:rStyle w:val="Fett"/>
                <w:b w:val="0"/>
                <w:bCs/>
                <w:i/>
                <w:iCs/>
                <w:color w:val="808080" w:themeColor="background1" w:themeShade="80"/>
              </w:rPr>
              <w:t>EU, federal governments</w:t>
            </w:r>
          </w:p>
          <w:p w14:paraId="6B3EAD8E" w14:textId="4F9A7AF1" w:rsidR="00111835" w:rsidRPr="00E30A0D" w:rsidRDefault="00A93A97" w:rsidP="001E40B4">
            <w:pPr>
              <w:pStyle w:val="Tabelle-Text"/>
              <w:numPr>
                <w:ilvl w:val="0"/>
                <w:numId w:val="51"/>
              </w:numPr>
              <w:rPr>
                <w:i/>
                <w:iCs/>
                <w:color w:val="808080" w:themeColor="background1" w:themeShade="80"/>
              </w:rPr>
            </w:pPr>
            <w:r w:rsidRPr="00E30A0D">
              <w:rPr>
                <w:rStyle w:val="Fett"/>
                <w:b w:val="0"/>
                <w:bCs/>
              </w:rPr>
              <w:t xml:space="preserve">What is the situation if we look at individual sub-areas: What </w:t>
            </w:r>
            <w:r w:rsidR="00AF6376" w:rsidRPr="00E30A0D">
              <w:rPr>
                <w:rStyle w:val="Fett"/>
                <w:b w:val="0"/>
                <w:bCs/>
              </w:rPr>
              <w:t>legislative powers</w:t>
            </w:r>
            <w:r w:rsidRPr="00E30A0D">
              <w:rPr>
                <w:rStyle w:val="Fett"/>
                <w:b w:val="0"/>
                <w:bCs/>
              </w:rPr>
              <w:t xml:space="preserve"> do the states have? Which competences would you rather see at</w:t>
            </w:r>
            <w:r w:rsidR="00AF6376" w:rsidRPr="00E30A0D">
              <w:rPr>
                <w:rStyle w:val="Fett"/>
                <w:b w:val="0"/>
                <w:bCs/>
              </w:rPr>
              <w:t xml:space="preserve"> the</w:t>
            </w:r>
            <w:r w:rsidRPr="00E30A0D">
              <w:rPr>
                <w:rStyle w:val="Fett"/>
                <w:b w:val="0"/>
                <w:bCs/>
              </w:rPr>
              <w:t xml:space="preserve"> EU level? What examples of state policy do you know for the individual indicators:</w:t>
            </w:r>
            <w:r w:rsidRPr="00E30A0D">
              <w:rPr>
                <w:rStyle w:val="Fett"/>
                <w:b w:val="0"/>
                <w:bCs/>
              </w:rPr>
              <w:br/>
              <w:t xml:space="preserve">Broadcast media </w:t>
            </w:r>
            <w:r w:rsidRPr="00E30A0D">
              <w:rPr>
                <w:rStyle w:val="Fett"/>
                <w:b w:val="0"/>
                <w:bCs/>
                <w:i/>
                <w:iCs/>
                <w:color w:val="808080" w:themeColor="background1" w:themeShade="80"/>
              </w:rPr>
              <w:t xml:space="preserve">(H: </w:t>
            </w:r>
            <w:r w:rsidR="00AF6376" w:rsidRPr="00E30A0D">
              <w:rPr>
                <w:rStyle w:val="Fett"/>
                <w:b w:val="0"/>
                <w:bCs/>
                <w:i/>
                <w:iCs/>
                <w:color w:val="808080" w:themeColor="background1" w:themeShade="80"/>
              </w:rPr>
              <w:t>Legislative power</w:t>
            </w:r>
            <w:r w:rsidRPr="00E30A0D">
              <w:rPr>
                <w:rStyle w:val="Fett"/>
                <w:b w:val="0"/>
                <w:bCs/>
                <w:i/>
                <w:iCs/>
                <w:color w:val="808080" w:themeColor="background1" w:themeShade="80"/>
              </w:rPr>
              <w:t xml:space="preserve"> with the states via the Interstate Broadcasting Treaty)</w:t>
            </w:r>
            <w:r w:rsidRPr="00E30A0D">
              <w:rPr>
                <w:rStyle w:val="Fett"/>
                <w:b w:val="0"/>
                <w:bCs/>
                <w:i/>
                <w:iCs/>
                <w:color w:val="808080" w:themeColor="background1" w:themeShade="80"/>
              </w:rPr>
              <w:br/>
            </w:r>
            <w:r w:rsidRPr="00E30A0D">
              <w:rPr>
                <w:rStyle w:val="Fett"/>
                <w:b w:val="0"/>
                <w:bCs/>
                <w:color w:val="151E1F"/>
              </w:rPr>
              <w:t>Internet / social media</w:t>
            </w:r>
            <w:r w:rsidRPr="00E30A0D">
              <w:rPr>
                <w:rStyle w:val="Fett"/>
                <w:b w:val="0"/>
                <w:bCs/>
                <w:i/>
                <w:iCs/>
                <w:color w:val="151E1F"/>
              </w:rPr>
              <w:t xml:space="preserve"> </w:t>
            </w:r>
            <w:r w:rsidRPr="00E30A0D">
              <w:rPr>
                <w:rStyle w:val="Fett"/>
                <w:b w:val="0"/>
                <w:bCs/>
                <w:i/>
                <w:iCs/>
                <w:color w:val="808080" w:themeColor="background1" w:themeShade="80"/>
              </w:rPr>
              <w:t xml:space="preserve">(H: </w:t>
            </w:r>
            <w:r w:rsidR="00AF6376" w:rsidRPr="00E30A0D">
              <w:rPr>
                <w:rStyle w:val="Fett"/>
                <w:b w:val="0"/>
                <w:bCs/>
                <w:i/>
                <w:iCs/>
                <w:color w:val="808080" w:themeColor="background1" w:themeShade="80"/>
              </w:rPr>
              <w:t xml:space="preserve">Legislative power </w:t>
            </w:r>
            <w:r w:rsidRPr="00E30A0D">
              <w:rPr>
                <w:rStyle w:val="Fett"/>
                <w:b w:val="0"/>
                <w:bCs/>
                <w:i/>
                <w:iCs/>
                <w:color w:val="808080" w:themeColor="background1" w:themeShade="80"/>
              </w:rPr>
              <w:t>with the states)</w:t>
            </w:r>
            <w:r w:rsidRPr="00E30A0D">
              <w:rPr>
                <w:rStyle w:val="Fett"/>
                <w:b w:val="0"/>
                <w:bCs/>
                <w:i/>
                <w:iCs/>
                <w:color w:val="808080" w:themeColor="background1" w:themeShade="80"/>
              </w:rPr>
              <w:br/>
            </w:r>
            <w:r w:rsidRPr="00E30A0D">
              <w:rPr>
                <w:rStyle w:val="Fett"/>
                <w:b w:val="0"/>
                <w:bCs/>
              </w:rPr>
              <w:t xml:space="preserve">Meeting places for children </w:t>
            </w:r>
            <w:r w:rsidRPr="00E30A0D">
              <w:rPr>
                <w:rStyle w:val="Fett"/>
                <w:b w:val="0"/>
                <w:bCs/>
                <w:i/>
                <w:iCs/>
                <w:color w:val="808080" w:themeColor="background1" w:themeShade="80"/>
              </w:rPr>
              <w:t xml:space="preserve">(H: </w:t>
            </w:r>
            <w:r w:rsidR="00AF6376" w:rsidRPr="00E30A0D">
              <w:rPr>
                <w:rStyle w:val="Fett"/>
                <w:b w:val="0"/>
                <w:bCs/>
                <w:i/>
                <w:iCs/>
                <w:color w:val="808080" w:themeColor="background1" w:themeShade="80"/>
              </w:rPr>
              <w:t xml:space="preserve">Legislative power </w:t>
            </w:r>
            <w:r w:rsidRPr="00E30A0D">
              <w:rPr>
                <w:rStyle w:val="Fett"/>
                <w:b w:val="0"/>
                <w:bCs/>
                <w:i/>
                <w:iCs/>
                <w:color w:val="808080" w:themeColor="background1" w:themeShade="80"/>
              </w:rPr>
              <w:t>with the states)</w:t>
            </w:r>
            <w:r w:rsidRPr="00E30A0D">
              <w:rPr>
                <w:rStyle w:val="Fett"/>
                <w:b w:val="0"/>
                <w:bCs/>
              </w:rPr>
              <w:br/>
              <w:t xml:space="preserve">(Public) infrastructure and spaces </w:t>
            </w:r>
            <w:r w:rsidRPr="00E30A0D">
              <w:rPr>
                <w:rStyle w:val="Fett"/>
                <w:b w:val="0"/>
                <w:bCs/>
                <w:i/>
                <w:iCs/>
                <w:color w:val="808080" w:themeColor="background1" w:themeShade="80"/>
              </w:rPr>
              <w:t xml:space="preserve">(H: </w:t>
            </w:r>
            <w:r w:rsidR="00AF6376" w:rsidRPr="00E30A0D">
              <w:rPr>
                <w:rStyle w:val="Fett"/>
                <w:b w:val="0"/>
                <w:bCs/>
                <w:i/>
                <w:iCs/>
                <w:color w:val="808080" w:themeColor="background1" w:themeShade="80"/>
              </w:rPr>
              <w:t xml:space="preserve">Legislative power </w:t>
            </w:r>
            <w:r w:rsidRPr="00E30A0D">
              <w:rPr>
                <w:rStyle w:val="Fett"/>
                <w:b w:val="0"/>
                <w:bCs/>
                <w:i/>
                <w:iCs/>
                <w:color w:val="808080" w:themeColor="background1" w:themeShade="80"/>
              </w:rPr>
              <w:t>with the states)</w:t>
            </w:r>
            <w:r w:rsidRPr="00E30A0D">
              <w:rPr>
                <w:rStyle w:val="Fett"/>
                <w:b w:val="0"/>
                <w:bCs/>
                <w:i/>
                <w:iCs/>
                <w:color w:val="808080" w:themeColor="background1" w:themeShade="80"/>
              </w:rPr>
              <w:br/>
            </w:r>
            <w:r w:rsidRPr="00E30A0D">
              <w:rPr>
                <w:rStyle w:val="Fett"/>
                <w:b w:val="0"/>
                <w:bCs/>
              </w:rPr>
              <w:t xml:space="preserve">Product and packaging </w:t>
            </w:r>
            <w:r w:rsidRPr="00E30A0D">
              <w:rPr>
                <w:rStyle w:val="Fett"/>
                <w:b w:val="0"/>
                <w:bCs/>
                <w:i/>
                <w:iCs/>
                <w:color w:val="808080" w:themeColor="background1" w:themeShade="80"/>
              </w:rPr>
              <w:t xml:space="preserve">(H: </w:t>
            </w:r>
            <w:r w:rsidR="00AF6376" w:rsidRPr="00E30A0D">
              <w:rPr>
                <w:rStyle w:val="Fett"/>
                <w:b w:val="0"/>
                <w:bCs/>
                <w:i/>
                <w:iCs/>
                <w:color w:val="808080" w:themeColor="background1" w:themeShade="80"/>
              </w:rPr>
              <w:t xml:space="preserve">Legislative power </w:t>
            </w:r>
            <w:r w:rsidRPr="00E30A0D">
              <w:rPr>
                <w:rStyle w:val="Fett"/>
                <w:b w:val="0"/>
                <w:bCs/>
                <w:i/>
                <w:iCs/>
                <w:color w:val="808080" w:themeColor="background1" w:themeShade="80"/>
              </w:rPr>
              <w:t>with EU/Federal government)</w:t>
            </w:r>
          </w:p>
          <w:p w14:paraId="212F08CB" w14:textId="4847C527" w:rsidR="00111835" w:rsidRPr="00E30A0D" w:rsidRDefault="00904525" w:rsidP="001E40B4">
            <w:pPr>
              <w:pStyle w:val="Tabelle-Text"/>
            </w:pPr>
            <w:r w:rsidRPr="00E30A0D">
              <w:t xml:space="preserve">Food prices </w:t>
            </w:r>
          </w:p>
          <w:p w14:paraId="1BCA64CD" w14:textId="4CB1E500" w:rsidR="003F21C1" w:rsidRPr="00E30A0D" w:rsidRDefault="003F21C1" w:rsidP="001E40B4">
            <w:pPr>
              <w:pStyle w:val="Tabelle-Text"/>
              <w:numPr>
                <w:ilvl w:val="0"/>
                <w:numId w:val="51"/>
              </w:numPr>
              <w:rPr>
                <w:rStyle w:val="Fett"/>
                <w:b w:val="0"/>
                <w:bCs/>
              </w:rPr>
            </w:pPr>
            <w:r w:rsidRPr="00E30A0D">
              <w:rPr>
                <w:rStyle w:val="Fett"/>
                <w:b w:val="0"/>
                <w:bCs/>
              </w:rPr>
              <w:t>According to our current understanding, value-added tax</w:t>
            </w:r>
            <w:r w:rsidR="00904525" w:rsidRPr="00E30A0D">
              <w:rPr>
                <w:rStyle w:val="Fett"/>
                <w:b w:val="0"/>
                <w:bCs/>
              </w:rPr>
              <w:t>es</w:t>
            </w:r>
            <w:r w:rsidRPr="00E30A0D">
              <w:rPr>
                <w:rStyle w:val="Fett"/>
                <w:b w:val="0"/>
                <w:bCs/>
              </w:rPr>
              <w:t xml:space="preserve"> on food (including drinks) </w:t>
            </w:r>
            <w:r w:rsidR="00904525" w:rsidRPr="00E30A0D">
              <w:rPr>
                <w:rStyle w:val="Fett"/>
                <w:b w:val="0"/>
                <w:bCs/>
              </w:rPr>
              <w:t>are</w:t>
            </w:r>
            <w:r w:rsidRPr="00E30A0D">
              <w:rPr>
                <w:rStyle w:val="Fett"/>
                <w:b w:val="0"/>
                <w:bCs/>
              </w:rPr>
              <w:t xml:space="preserve"> set at a </w:t>
            </w:r>
            <w:r w:rsidR="00904525" w:rsidRPr="00E30A0D">
              <w:rPr>
                <w:rStyle w:val="Fett"/>
                <w:b w:val="0"/>
                <w:bCs/>
              </w:rPr>
              <w:t>federal</w:t>
            </w:r>
            <w:r w:rsidRPr="00E30A0D">
              <w:rPr>
                <w:rStyle w:val="Fett"/>
                <w:b w:val="0"/>
                <w:bCs/>
              </w:rPr>
              <w:t xml:space="preserve"> level. In addition, there are EU-wide regulations on standard, reduced and zero tax rates. To what extent can the federal states influence the tax rates in Germany? Do changes to value-added tax/excise tax require the approval of the </w:t>
            </w:r>
            <w:r w:rsidRPr="00E30A0D">
              <w:rPr>
                <w:rStyle w:val="Fett"/>
                <w:b w:val="0"/>
                <w:bCs/>
                <w:i/>
                <w:iCs/>
              </w:rPr>
              <w:t>Bundesrat</w:t>
            </w:r>
            <w:r w:rsidRPr="00E30A0D">
              <w:rPr>
                <w:rStyle w:val="Fett"/>
                <w:b w:val="0"/>
                <w:bCs/>
              </w:rPr>
              <w:t xml:space="preserve">? </w:t>
            </w:r>
          </w:p>
          <w:p w14:paraId="1BDE6142" w14:textId="787A506B" w:rsidR="00904525" w:rsidRPr="00E30A0D" w:rsidRDefault="003F21C1" w:rsidP="001E40B4">
            <w:pPr>
              <w:pStyle w:val="Tabelle-Text"/>
              <w:numPr>
                <w:ilvl w:val="0"/>
                <w:numId w:val="51"/>
              </w:numPr>
              <w:rPr>
                <w:rStyle w:val="Fett"/>
                <w:b w:val="0"/>
                <w:bCs/>
                <w:u w:val="single"/>
              </w:rPr>
            </w:pPr>
            <w:r w:rsidRPr="00E30A0D">
              <w:rPr>
                <w:rStyle w:val="Fett"/>
                <w:b w:val="0"/>
                <w:bCs/>
              </w:rPr>
              <w:t>To what extent can states freely organise local excise duty (including drinks tax)? Are there any federal states that currently take health aspects into account when setting local excise duty</w:t>
            </w:r>
            <w:r w:rsidR="00904525" w:rsidRPr="00E30A0D">
              <w:rPr>
                <w:rStyle w:val="Fett"/>
                <w:b w:val="0"/>
                <w:bCs/>
              </w:rPr>
              <w:t>?</w:t>
            </w:r>
            <w:r w:rsidR="00904525" w:rsidRPr="00E30A0D">
              <w:rPr>
                <w:rStyle w:val="Fett"/>
                <w:b w:val="0"/>
                <w:bCs/>
              </w:rPr>
              <w:br/>
            </w:r>
            <w:r w:rsidR="00904525" w:rsidRPr="00E30A0D">
              <w:rPr>
                <w:rStyle w:val="Fett"/>
                <w:b w:val="0"/>
                <w:i/>
                <w:iCs/>
                <w:color w:val="808080" w:themeColor="background1" w:themeShade="80"/>
              </w:rPr>
              <w:t xml:space="preserve">H: No / Very limited </w:t>
            </w:r>
            <w:r w:rsidR="00AF6376" w:rsidRPr="00E30A0D">
              <w:rPr>
                <w:rStyle w:val="Fett"/>
                <w:b w:val="0"/>
                <w:bCs/>
                <w:i/>
                <w:iCs/>
                <w:color w:val="808080" w:themeColor="background1" w:themeShade="80"/>
              </w:rPr>
              <w:t xml:space="preserve">legislative power </w:t>
            </w:r>
            <w:r w:rsidR="00904525" w:rsidRPr="00E30A0D">
              <w:rPr>
                <w:rStyle w:val="Fett"/>
                <w:b w:val="0"/>
                <w:i/>
                <w:iCs/>
                <w:color w:val="808080" w:themeColor="background1" w:themeShade="80"/>
              </w:rPr>
              <w:t>at the state level</w:t>
            </w:r>
          </w:p>
          <w:p w14:paraId="3CB5AB15" w14:textId="77777777" w:rsidR="00904525" w:rsidRPr="00E30A0D" w:rsidRDefault="00904525" w:rsidP="001E40B4">
            <w:pPr>
              <w:pStyle w:val="Tabelle-Text"/>
              <w:numPr>
                <w:ilvl w:val="0"/>
                <w:numId w:val="51"/>
              </w:numPr>
            </w:pPr>
            <w:r w:rsidRPr="00E30A0D">
              <w:lastRenderedPageBreak/>
              <w:t>Who can subsidise food in Europe and Germany? What subsidies do the federal and state governments already provide to promote healthy food instead of unhealthy food?</w:t>
            </w:r>
            <w:r w:rsidRPr="00E30A0D">
              <w:br/>
            </w:r>
            <w:r w:rsidRPr="00E30A0D">
              <w:rPr>
                <w:i/>
                <w:iCs/>
                <w:color w:val="808080" w:themeColor="background1" w:themeShade="80"/>
              </w:rPr>
              <w:t>H: Everyone can subsidize (EU, federal, state governments)</w:t>
            </w:r>
            <w:r w:rsidRPr="00E30A0D">
              <w:rPr>
                <w:color w:val="808080" w:themeColor="background1" w:themeShade="80"/>
              </w:rPr>
              <w:t xml:space="preserve"> </w:t>
            </w:r>
          </w:p>
          <w:p w14:paraId="5476F5E4" w14:textId="77777777" w:rsidR="00904525" w:rsidRPr="00E30A0D" w:rsidRDefault="00904525" w:rsidP="001E40B4">
            <w:pPr>
              <w:pStyle w:val="Tabelle-Text"/>
            </w:pPr>
            <w:r w:rsidRPr="00E30A0D">
              <w:t>Food provision</w:t>
            </w:r>
          </w:p>
          <w:p w14:paraId="6F2D814B" w14:textId="77777777" w:rsidR="00904525" w:rsidRPr="00E30A0D" w:rsidRDefault="00904525" w:rsidP="001E40B4">
            <w:pPr>
              <w:pStyle w:val="Tabelle-Text"/>
              <w:numPr>
                <w:ilvl w:val="0"/>
                <w:numId w:val="51"/>
              </w:numPr>
              <w:rPr>
                <w:rStyle w:val="Fett"/>
              </w:rPr>
            </w:pPr>
            <w:r w:rsidRPr="00E30A0D">
              <w:rPr>
                <w:rStyle w:val="Fett"/>
                <w:b w:val="0"/>
                <w:bCs/>
              </w:rPr>
              <w:t>Nutritional guidelines for public institutions and businesses (including schools, daycare centres, clinics, retirement homes, ministries) are developed and published across Germany by the DGE. The states can decide on the (mandatory) implementation of the standards in schools, daycare centres and other public institutions (e.g. state authorities, ministries, etc.). Is this in line with your understanding and experience? Can you tell us more about how state governments apply these rules?</w:t>
            </w:r>
          </w:p>
          <w:p w14:paraId="316D4776" w14:textId="77777777" w:rsidR="00904525" w:rsidRPr="00E30A0D" w:rsidRDefault="00904525" w:rsidP="001E40B4">
            <w:pPr>
              <w:pStyle w:val="Tabelle-Text"/>
              <w:numPr>
                <w:ilvl w:val="0"/>
                <w:numId w:val="51"/>
              </w:numPr>
            </w:pPr>
            <w:r w:rsidRPr="00E30A0D">
              <w:t>Optional: In educational institutions: Current understanding indicates that nationwide guidelines are developed by the DGE, mandatory implementation is regulated in the school laws of the states, and actual implementation of the standards is in the hands of the school authorities. Does this coincide with your understanding?</w:t>
            </w:r>
          </w:p>
          <w:p w14:paraId="779E9537" w14:textId="77777777" w:rsidR="00904525" w:rsidRPr="00E30A0D" w:rsidRDefault="00904525" w:rsidP="001E40B4">
            <w:pPr>
              <w:pStyle w:val="Tabelle-Text"/>
            </w:pPr>
            <w:r w:rsidRPr="00E30A0D">
              <w:t>Food in retail</w:t>
            </w:r>
          </w:p>
          <w:p w14:paraId="33D45DC3" w14:textId="77777777" w:rsidR="00904525" w:rsidRPr="00E30A0D" w:rsidRDefault="00904525" w:rsidP="001E40B4">
            <w:pPr>
              <w:pStyle w:val="Tabelle-Text"/>
              <w:numPr>
                <w:ilvl w:val="0"/>
                <w:numId w:val="51"/>
              </w:numPr>
            </w:pPr>
            <w:r w:rsidRPr="00E30A0D">
              <w:t>To what extent can the state governments adopt regulations within the framework of their building and regional planning laws that limit the establishment of fast-food restaurants, for example? (For example: regulations on a minimum distance to schools)</w:t>
            </w:r>
          </w:p>
          <w:p w14:paraId="326C5402" w14:textId="69844EB4" w:rsidR="00904525" w:rsidRPr="00E30A0D" w:rsidRDefault="00904525" w:rsidP="001E40B4">
            <w:pPr>
              <w:pStyle w:val="Tabelle-Text"/>
              <w:numPr>
                <w:ilvl w:val="0"/>
                <w:numId w:val="51"/>
              </w:numPr>
            </w:pPr>
            <w:r w:rsidRPr="00E30A0D">
              <w:t xml:space="preserve">Who determines opening hours for shops both restaurants and grocery stores? </w:t>
            </w:r>
            <w:r w:rsidRPr="00E30A0D">
              <w:br/>
            </w:r>
            <w:r w:rsidRPr="00E30A0D">
              <w:rPr>
                <w:i/>
                <w:iCs/>
                <w:color w:val="808080" w:themeColor="background1" w:themeShade="80"/>
              </w:rPr>
              <w:t>H: State governments</w:t>
            </w:r>
            <w:r w:rsidRPr="00E30A0D">
              <w:rPr>
                <w:color w:val="808080" w:themeColor="background1" w:themeShade="80"/>
              </w:rPr>
              <w:t xml:space="preserve"> </w:t>
            </w:r>
          </w:p>
          <w:p w14:paraId="40780708" w14:textId="77777777" w:rsidR="00904525" w:rsidRPr="00E30A0D" w:rsidRDefault="00904525" w:rsidP="001E40B4">
            <w:pPr>
              <w:pStyle w:val="Tabelle-Text"/>
              <w:numPr>
                <w:ilvl w:val="0"/>
                <w:numId w:val="51"/>
              </w:numPr>
            </w:pPr>
            <w:r w:rsidRPr="00E30A0D">
              <w:t>How can state governments support grocery stores in improving the availability of healthy foods (e.g. fruit and vegetables) and limiting the availability of unhealthy foods?</w:t>
            </w:r>
          </w:p>
          <w:p w14:paraId="083B36D9" w14:textId="77777777" w:rsidR="00904525" w:rsidRPr="00E30A0D" w:rsidRDefault="00904525" w:rsidP="001E40B4">
            <w:pPr>
              <w:pStyle w:val="Tabelle-Text"/>
              <w:numPr>
                <w:ilvl w:val="0"/>
                <w:numId w:val="51"/>
              </w:numPr>
            </w:pPr>
            <w:r w:rsidRPr="00E30A0D">
              <w:t>How can state governments support the food service industry in promoting the availability of healthy foods (e.g. fruit and vegetables) and limiting the availability of unhealthy foods?</w:t>
            </w:r>
          </w:p>
          <w:p w14:paraId="1704EB8D" w14:textId="77777777" w:rsidR="00904525" w:rsidRPr="00E30A0D" w:rsidRDefault="00904525" w:rsidP="001E40B4">
            <w:pPr>
              <w:pStyle w:val="Tabelle-Text"/>
              <w:numPr>
                <w:ilvl w:val="0"/>
                <w:numId w:val="51"/>
              </w:numPr>
            </w:pPr>
            <w:r w:rsidRPr="00E30A0D">
              <w:t>Could state governments oblige restaurants / fast food outlets to ensure that children's meals fulfil certain quality criteria (e.g. that they include a healthy drink such as water as standard (e.g. in New York)?</w:t>
            </w:r>
          </w:p>
          <w:p w14:paraId="6128E7E1" w14:textId="77777777" w:rsidR="00904525" w:rsidRPr="00E30A0D" w:rsidRDefault="00904525" w:rsidP="001E40B4">
            <w:pPr>
              <w:pStyle w:val="Tabelle-Text"/>
            </w:pPr>
            <w:r w:rsidRPr="00E30A0D">
              <w:t>Food trade and investment</w:t>
            </w:r>
          </w:p>
          <w:p w14:paraId="351E845C" w14:textId="77777777" w:rsidR="00904525" w:rsidRPr="00E30A0D" w:rsidRDefault="00904525" w:rsidP="001E40B4">
            <w:pPr>
              <w:pStyle w:val="Tabelle-Text"/>
              <w:numPr>
                <w:ilvl w:val="0"/>
                <w:numId w:val="51"/>
              </w:numPr>
              <w:rPr>
                <w:u w:val="single"/>
              </w:rPr>
            </w:pPr>
            <w:r w:rsidRPr="00E30A0D">
              <w:t xml:space="preserve">In the literature, trade policy (including trade and investment agreements with countries outside the EU) is described as an exclusive competence of the EU, in which treaties (in some cases) require the approval of national parliaments (in Germany also the </w:t>
            </w:r>
            <w:r w:rsidRPr="00E30A0D">
              <w:rPr>
                <w:i/>
                <w:iCs/>
              </w:rPr>
              <w:t>Bundesrat</w:t>
            </w:r>
            <w:r w:rsidRPr="00E30A0D">
              <w:t>). This means that countries cannot play a formative role in trade and investment policy. Do you share this view?</w:t>
            </w:r>
          </w:p>
          <w:p w14:paraId="39B5C568" w14:textId="77777777" w:rsidR="00904525" w:rsidRPr="00E30A0D" w:rsidRDefault="00904525" w:rsidP="001E40B4">
            <w:pPr>
              <w:pStyle w:val="Tabelle-Text"/>
            </w:pPr>
            <w:r w:rsidRPr="00E30A0D">
              <w:t>Sustainability in food policy</w:t>
            </w:r>
          </w:p>
          <w:p w14:paraId="37CB8B37" w14:textId="66F5187F" w:rsidR="005317AC" w:rsidRPr="00E30A0D" w:rsidRDefault="00904525" w:rsidP="001E40B4">
            <w:pPr>
              <w:pStyle w:val="Tabelle-Text"/>
              <w:numPr>
                <w:ilvl w:val="0"/>
                <w:numId w:val="51"/>
              </w:numPr>
            </w:pPr>
            <w:r w:rsidRPr="00E30A0D">
              <w:t xml:space="preserve">A healthy diet is increasingly defined </w:t>
            </w:r>
            <w:r w:rsidR="005317AC" w:rsidRPr="00E30A0D">
              <w:t>considering</w:t>
            </w:r>
            <w:r w:rsidRPr="00E30A0D">
              <w:t xml:space="preserve"> health, climate and environmental </w:t>
            </w:r>
            <w:r w:rsidR="005317AC" w:rsidRPr="00E30A0D">
              <w:t>dimensions</w:t>
            </w:r>
            <w:r w:rsidRPr="00E30A0D">
              <w:t xml:space="preserve">, </w:t>
            </w:r>
            <w:r w:rsidR="005317AC" w:rsidRPr="00E30A0D">
              <w:t>how would you integrate them into the Fo</w:t>
            </w:r>
            <w:r w:rsidR="0035352B" w:rsidRPr="00E30A0D">
              <w:t>o</w:t>
            </w:r>
            <w:r w:rsidR="005317AC" w:rsidRPr="00E30A0D">
              <w:t>d-EPI?</w:t>
            </w:r>
          </w:p>
          <w:p w14:paraId="4EA1AB14" w14:textId="2A59BAEB" w:rsidR="005317AC" w:rsidRPr="00E30A0D" w:rsidRDefault="00904525" w:rsidP="001E40B4">
            <w:pPr>
              <w:pStyle w:val="Tabelle-Text"/>
              <w:numPr>
                <w:ilvl w:val="0"/>
                <w:numId w:val="51"/>
              </w:numPr>
            </w:pPr>
            <w:r w:rsidRPr="00E30A0D">
              <w:t xml:space="preserve">Food waste: As food waste occurs along the entire </w:t>
            </w:r>
            <w:r w:rsidR="005317AC" w:rsidRPr="00E30A0D">
              <w:t xml:space="preserve">food </w:t>
            </w:r>
            <w:r w:rsidRPr="00E30A0D">
              <w:t xml:space="preserve">value chain, the EU, federal government and federal states can work to reduce it in different areas. Could you go into more detail about which parts </w:t>
            </w:r>
            <w:r w:rsidR="005317AC" w:rsidRPr="00E30A0D">
              <w:t xml:space="preserve">can be influenced by the states </w:t>
            </w:r>
            <w:r w:rsidRPr="00E30A0D">
              <w:t xml:space="preserve">and </w:t>
            </w:r>
            <w:r w:rsidR="005317AC" w:rsidRPr="00E30A0D">
              <w:t>what the</w:t>
            </w:r>
            <w:r w:rsidRPr="00E30A0D">
              <w:t xml:space="preserve"> legal </w:t>
            </w:r>
            <w:r w:rsidR="005317AC" w:rsidRPr="00E30A0D">
              <w:t>grounds are</w:t>
            </w:r>
            <w:r w:rsidRPr="00E30A0D">
              <w:t>?</w:t>
            </w:r>
          </w:p>
          <w:p w14:paraId="21AF078B" w14:textId="3CDE430E" w:rsidR="005317AC" w:rsidRPr="00E30A0D" w:rsidRDefault="005317AC" w:rsidP="001E40B4">
            <w:pPr>
              <w:pStyle w:val="Tabelle-Text"/>
              <w:numPr>
                <w:ilvl w:val="0"/>
                <w:numId w:val="61"/>
              </w:numPr>
            </w:pPr>
            <w:r w:rsidRPr="00E30A0D">
              <w:rPr>
                <w:b/>
              </w:rPr>
              <w:t>Infrastructure support comprises the policy areas</w:t>
            </w:r>
            <w:r w:rsidRPr="00E30A0D">
              <w:t>: Political leadership, governance (including management of conflicts of interest), data collection, analysis and use, financing, and platforms for cooperation between politics, civil society, business and science, cross-sectoral approaches and support for municipalities.</w:t>
            </w:r>
          </w:p>
          <w:p w14:paraId="48455A06" w14:textId="5DB5123C" w:rsidR="005317AC" w:rsidRPr="00E30A0D" w:rsidRDefault="005317AC" w:rsidP="001E40B4">
            <w:pPr>
              <w:pStyle w:val="Tabelle-Text"/>
              <w:numPr>
                <w:ilvl w:val="0"/>
                <w:numId w:val="51"/>
              </w:numPr>
              <w:rPr>
                <w:color w:val="808080" w:themeColor="background1" w:themeShade="80"/>
              </w:rPr>
            </w:pPr>
            <w:r w:rsidRPr="00E30A0D">
              <w:t xml:space="preserve">Reading the preliminary results report, did you notice any specific areas in which </w:t>
            </w:r>
            <w:r w:rsidR="0002077B" w:rsidRPr="00E30A0D">
              <w:t xml:space="preserve">states </w:t>
            </w:r>
            <w:r w:rsidRPr="00E30A0D">
              <w:t>cannot intervene to regulate?</w:t>
            </w:r>
            <w:r w:rsidRPr="00E30A0D">
              <w:br/>
            </w:r>
            <w:r w:rsidRPr="00E30A0D">
              <w:rPr>
                <w:i/>
                <w:iCs/>
                <w:color w:val="808080" w:themeColor="background1" w:themeShade="80"/>
              </w:rPr>
              <w:t>H: All infrastructure support measures can be influenced by all levels of government</w:t>
            </w:r>
          </w:p>
          <w:p w14:paraId="0752D176" w14:textId="77777777" w:rsidR="005317AC" w:rsidRPr="00E30A0D" w:rsidRDefault="005317AC" w:rsidP="001E40B4">
            <w:pPr>
              <w:pStyle w:val="Tabelle-Text"/>
            </w:pPr>
            <w:r w:rsidRPr="00E30A0D">
              <w:t xml:space="preserve">In the following, we will look at two policy areas in more detail: </w:t>
            </w:r>
          </w:p>
          <w:p w14:paraId="6ED7DACF" w14:textId="77777777" w:rsidR="005317AC" w:rsidRPr="00E30A0D" w:rsidRDefault="005317AC" w:rsidP="001E40B4">
            <w:pPr>
              <w:pStyle w:val="Tabelle-Text"/>
            </w:pPr>
            <w:r w:rsidRPr="00E30A0D">
              <w:t>Data collection, analysis and utilisation:</w:t>
            </w:r>
          </w:p>
          <w:p w14:paraId="1F8DB0F9" w14:textId="1215F154" w:rsidR="005317AC" w:rsidRPr="00E30A0D" w:rsidRDefault="005317AC" w:rsidP="001E40B4">
            <w:pPr>
              <w:pStyle w:val="Tabelle-Text"/>
              <w:numPr>
                <w:ilvl w:val="0"/>
                <w:numId w:val="51"/>
              </w:numPr>
              <w:rPr>
                <w:color w:val="808080" w:themeColor="background1" w:themeShade="80"/>
                <w:u w:val="single"/>
              </w:rPr>
            </w:pPr>
            <w:r w:rsidRPr="00E30A0D">
              <w:lastRenderedPageBreak/>
              <w:t>Who in Germany is collecting and analysing data on the nutritional status of the population (including nutritional intake and eating habits) and the prevalence of overweight and obesity and other diet-related diseases? / To what extent are changes in the nutritional environment recorded by the federal government and/or the state governments?</w:t>
            </w:r>
            <w:r w:rsidRPr="00E30A0D">
              <w:br/>
            </w:r>
            <w:r w:rsidRPr="00E30A0D">
              <w:rPr>
                <w:i/>
                <w:iCs/>
                <w:color w:val="808080" w:themeColor="background1" w:themeShade="80"/>
              </w:rPr>
              <w:t>H: Federal and state governments</w:t>
            </w:r>
          </w:p>
          <w:p w14:paraId="2D850F65" w14:textId="49920903" w:rsidR="005317AC" w:rsidRPr="00E30A0D" w:rsidRDefault="005317AC" w:rsidP="001E40B4">
            <w:pPr>
              <w:pStyle w:val="Tabelle-Text"/>
              <w:numPr>
                <w:ilvl w:val="0"/>
                <w:numId w:val="51"/>
              </w:numPr>
              <w:rPr>
                <w:color w:val="808080" w:themeColor="background1" w:themeShade="80"/>
              </w:rPr>
            </w:pPr>
            <w:r w:rsidRPr="00E30A0D">
              <w:t xml:space="preserve">How are legislative competences and </w:t>
            </w:r>
            <w:r w:rsidR="00AF6376" w:rsidRPr="00E30A0D">
              <w:t>powers</w:t>
            </w:r>
            <w:r w:rsidRPr="00E30A0D">
              <w:t xml:space="preserve"> distributed </w:t>
            </w:r>
            <w:r w:rsidR="00BA1420" w:rsidRPr="00E30A0D">
              <w:t xml:space="preserve">regarding </w:t>
            </w:r>
            <w:r w:rsidRPr="00E30A0D">
              <w:t>health and nutrition statistics?</w:t>
            </w:r>
            <w:r w:rsidRPr="00E30A0D">
              <w:rPr>
                <w:color w:val="808080" w:themeColor="background1" w:themeShade="80"/>
              </w:rPr>
              <w:t xml:space="preserve"> </w:t>
            </w:r>
          </w:p>
          <w:p w14:paraId="3C4446A5" w14:textId="77777777" w:rsidR="005317AC" w:rsidRPr="00E30A0D" w:rsidRDefault="005317AC" w:rsidP="001E40B4">
            <w:pPr>
              <w:pStyle w:val="Tabelle-Text"/>
              <w:numPr>
                <w:ilvl w:val="0"/>
                <w:numId w:val="51"/>
              </w:numPr>
              <w:rPr>
                <w:color w:val="808080" w:themeColor="background1" w:themeShade="80"/>
              </w:rPr>
            </w:pPr>
            <w:r w:rsidRPr="00E30A0D">
              <w:t>How are data collections coordinated between the federal and state level?</w:t>
            </w:r>
          </w:p>
          <w:p w14:paraId="1EC0BA13" w14:textId="77777777" w:rsidR="005317AC" w:rsidRPr="00E30A0D" w:rsidRDefault="005317AC" w:rsidP="001E40B4">
            <w:pPr>
              <w:pStyle w:val="Tabelle-Text"/>
            </w:pPr>
            <w:r w:rsidRPr="00E30A0D">
              <w:t>Financing</w:t>
            </w:r>
          </w:p>
          <w:p w14:paraId="67502F9F" w14:textId="6556FAAF" w:rsidR="005317AC" w:rsidRPr="00E30A0D" w:rsidRDefault="005317AC" w:rsidP="001E40B4">
            <w:pPr>
              <w:pStyle w:val="Tabelle-Text"/>
              <w:numPr>
                <w:ilvl w:val="0"/>
                <w:numId w:val="51"/>
              </w:numPr>
              <w:rPr>
                <w:i/>
                <w:iCs/>
              </w:rPr>
            </w:pPr>
            <w:r w:rsidRPr="00E30A0D">
              <w:t>Who can fund programmes and measures to promote healthy eating?</w:t>
            </w:r>
            <w:r w:rsidRPr="00E30A0D">
              <w:br/>
            </w:r>
            <w:r w:rsidRPr="00E30A0D">
              <w:rPr>
                <w:i/>
                <w:iCs/>
                <w:color w:val="808080" w:themeColor="background1" w:themeShade="80"/>
              </w:rPr>
              <w:t xml:space="preserve">H: Federal and state governments </w:t>
            </w:r>
          </w:p>
          <w:p w14:paraId="6F98A337" w14:textId="719272B2" w:rsidR="005317AC" w:rsidRPr="00E30A0D" w:rsidRDefault="005317AC" w:rsidP="001E40B4">
            <w:pPr>
              <w:pStyle w:val="Tabelle-Text"/>
              <w:numPr>
                <w:ilvl w:val="0"/>
                <w:numId w:val="51"/>
              </w:numPr>
            </w:pPr>
            <w:r w:rsidRPr="00E30A0D">
              <w:t>How much creative leeway do states have when implementing programmes funded by the federal government / EU?</w:t>
            </w:r>
          </w:p>
          <w:p w14:paraId="76A160CF" w14:textId="06C3C099" w:rsidR="005317AC" w:rsidRPr="00E30A0D" w:rsidRDefault="005317AC" w:rsidP="001E40B4">
            <w:pPr>
              <w:pStyle w:val="Tabelle-Text"/>
              <w:numPr>
                <w:ilvl w:val="0"/>
                <w:numId w:val="61"/>
              </w:numPr>
            </w:pPr>
            <w:r w:rsidRPr="00E30A0D">
              <w:t xml:space="preserve">Final questions </w:t>
            </w:r>
          </w:p>
          <w:p w14:paraId="0646FD0C" w14:textId="0246403D" w:rsidR="005317AC" w:rsidRPr="00E30A0D" w:rsidRDefault="005317AC" w:rsidP="001E40B4">
            <w:pPr>
              <w:pStyle w:val="Tabelle-Text"/>
              <w:numPr>
                <w:ilvl w:val="0"/>
                <w:numId w:val="51"/>
              </w:numPr>
            </w:pPr>
            <w:r w:rsidRPr="00E30A0D">
              <w:t xml:space="preserve">Reading the competence matrix </w:t>
            </w:r>
            <w:r w:rsidR="00AF6376" w:rsidRPr="00E30A0D">
              <w:t xml:space="preserve">/ matrix of legislative powers </w:t>
            </w:r>
            <w:r w:rsidRPr="00E30A0D">
              <w:t>at the end of the preliminary results report, did you notice any topics that we have not yet discussed and that you would now like to comment on?</w:t>
            </w:r>
          </w:p>
          <w:p w14:paraId="1205702B" w14:textId="082745A2" w:rsidR="005317AC" w:rsidRPr="00E30A0D" w:rsidRDefault="005317AC" w:rsidP="001E40B4">
            <w:pPr>
              <w:pStyle w:val="Tabelle-Text"/>
              <w:numPr>
                <w:ilvl w:val="0"/>
                <w:numId w:val="51"/>
              </w:numPr>
            </w:pPr>
            <w:r w:rsidRPr="00E30A0D">
              <w:t>Do you have any other comments that we should consider when creating a country food EPI?</w:t>
            </w:r>
          </w:p>
        </w:tc>
      </w:tr>
      <w:tr w:rsidR="00111835" w:rsidRPr="00B44BA8" w14:paraId="2F1C9546" w14:textId="77777777" w:rsidTr="00E60415">
        <w:tc>
          <w:tcPr>
            <w:tcW w:w="5000" w:type="pct"/>
          </w:tcPr>
          <w:p w14:paraId="084A8D54" w14:textId="45DED6D4" w:rsidR="00111835" w:rsidRPr="00E30A0D" w:rsidRDefault="005317AC" w:rsidP="001E40B4">
            <w:pPr>
              <w:pStyle w:val="Tabelle-Text"/>
            </w:pPr>
            <w:r w:rsidRPr="00E30A0D">
              <w:lastRenderedPageBreak/>
              <w:t>End recording</w:t>
            </w:r>
          </w:p>
        </w:tc>
      </w:tr>
      <w:tr w:rsidR="00373779" w:rsidRPr="00B44BA8" w14:paraId="785D168E" w14:textId="77777777" w:rsidTr="00E60415">
        <w:tc>
          <w:tcPr>
            <w:tcW w:w="5000" w:type="pct"/>
          </w:tcPr>
          <w:p w14:paraId="7B518127" w14:textId="77777777" w:rsidR="005317AC" w:rsidRPr="00E30A0D" w:rsidRDefault="00373779" w:rsidP="001E40B4">
            <w:pPr>
              <w:pStyle w:val="Tabelle-Text"/>
            </w:pPr>
            <w:r w:rsidRPr="00E30A0D">
              <w:t>Thank you for part</w:t>
            </w:r>
            <w:r w:rsidR="005317AC" w:rsidRPr="00E30A0D">
              <w:t>icipating</w:t>
            </w:r>
            <w:r w:rsidRPr="00E30A0D">
              <w:t xml:space="preserve"> in the interview. If you </w:t>
            </w:r>
            <w:r w:rsidR="005317AC" w:rsidRPr="00E30A0D">
              <w:t>like</w:t>
            </w:r>
            <w:r w:rsidRPr="00E30A0D">
              <w:t xml:space="preserve">, we </w:t>
            </w:r>
            <w:r w:rsidR="005317AC" w:rsidRPr="00E30A0D">
              <w:t>are</w:t>
            </w:r>
            <w:r w:rsidRPr="00E30A0D">
              <w:t xml:space="preserve"> happy to send you the results of our work. </w:t>
            </w:r>
          </w:p>
          <w:p w14:paraId="571C6BB6" w14:textId="5E9BEEE9" w:rsidR="00373779" w:rsidRPr="00E30A0D" w:rsidRDefault="00373779" w:rsidP="001E40B4">
            <w:pPr>
              <w:pStyle w:val="Tabelle-Text"/>
            </w:pPr>
            <w:r w:rsidRPr="00E30A0D">
              <w:t xml:space="preserve">Please send an invoice to </w:t>
            </w:r>
            <w:r w:rsidR="001D55E3" w:rsidRPr="00E30A0D">
              <w:t>XXX</w:t>
            </w:r>
            <w:r w:rsidRPr="00E30A0D">
              <w:t xml:space="preserve"> (Secretariat Institute for Nutrition, Consumption and Health, Paderborn University) as described in the cover letter. If you have any problems with this, you can contact me at any time</w:t>
            </w:r>
            <w:r w:rsidR="001D55E3" w:rsidRPr="00E30A0D">
              <w:t xml:space="preserve">. </w:t>
            </w:r>
          </w:p>
        </w:tc>
      </w:tr>
    </w:tbl>
    <w:p w14:paraId="65A9706B" w14:textId="39E006B0" w:rsidR="00AF644D" w:rsidRDefault="00A930D3" w:rsidP="001E40B4">
      <w:pPr>
        <w:pStyle w:val="Beschriftung"/>
      </w:pPr>
      <w:bookmarkStart w:id="19" w:name="_Ref193380273"/>
      <w:bookmarkStart w:id="20" w:name="_Ref221028435"/>
      <w:bookmarkStart w:id="21" w:name="_Toc222325231"/>
      <w:r w:rsidRPr="00FC2735">
        <w:t xml:space="preserve">Table </w:t>
      </w:r>
      <w:r w:rsidR="00672F33">
        <w:fldChar w:fldCharType="begin"/>
      </w:r>
      <w:r w:rsidR="00672F33">
        <w:instrText xml:space="preserve"> SEQ Table \* ARABIC </w:instrText>
      </w:r>
      <w:r w:rsidR="00672F33">
        <w:fldChar w:fldCharType="separate"/>
      </w:r>
      <w:r w:rsidR="00901762">
        <w:rPr>
          <w:noProof/>
        </w:rPr>
        <w:t>7</w:t>
      </w:r>
      <w:r w:rsidR="00672F33">
        <w:rPr>
          <w:noProof/>
        </w:rPr>
        <w:fldChar w:fldCharType="end"/>
      </w:r>
      <w:bookmarkEnd w:id="19"/>
      <w:bookmarkEnd w:id="20"/>
      <w:r w:rsidRPr="00FC2735">
        <w:t xml:space="preserve"> </w:t>
      </w:r>
      <w:r w:rsidR="00D82EF5">
        <w:t>Interview code book</w:t>
      </w:r>
      <w:bookmarkEnd w:id="21"/>
      <w:r w:rsidRPr="00FC2735">
        <w:t xml:space="preserve"> </w:t>
      </w:r>
    </w:p>
    <w:tbl>
      <w:tblPr>
        <w:tblStyle w:val="TabellemithellemGitternetz"/>
        <w:tblW w:w="5000" w:type="pct"/>
        <w:tblLook w:val="04A0" w:firstRow="1" w:lastRow="0" w:firstColumn="1" w:lastColumn="0" w:noHBand="0" w:noVBand="1"/>
      </w:tblPr>
      <w:tblGrid>
        <w:gridCol w:w="2406"/>
        <w:gridCol w:w="26"/>
        <w:gridCol w:w="7644"/>
      </w:tblGrid>
      <w:tr w:rsidR="00E67C31" w:rsidRPr="007F11C8" w14:paraId="1671E215" w14:textId="77777777" w:rsidTr="00E67C31">
        <w:trPr>
          <w:trHeight w:val="227"/>
          <w:tblHeader/>
        </w:trPr>
        <w:tc>
          <w:tcPr>
            <w:tcW w:w="1207" w:type="pct"/>
            <w:gridSpan w:val="2"/>
            <w:noWrap/>
          </w:tcPr>
          <w:p w14:paraId="441373B8" w14:textId="76A25953" w:rsidR="00E67C31" w:rsidRPr="001153F4" w:rsidRDefault="00E67C31" w:rsidP="00E67C31">
            <w:pPr>
              <w:pStyle w:val="Tabelle-berschrift"/>
            </w:pPr>
            <w:r w:rsidRPr="001153F4">
              <w:t>Code</w:t>
            </w:r>
          </w:p>
        </w:tc>
        <w:tc>
          <w:tcPr>
            <w:tcW w:w="3793" w:type="pct"/>
            <w:noWrap/>
          </w:tcPr>
          <w:p w14:paraId="394B3D0D" w14:textId="4D49C428" w:rsidR="00E67C31" w:rsidRPr="001153F4" w:rsidRDefault="00E67C31" w:rsidP="00E67C31">
            <w:pPr>
              <w:pStyle w:val="Tabelle-berschrift"/>
            </w:pPr>
            <w:r w:rsidRPr="001153F4">
              <w:t>Name</w:t>
            </w:r>
          </w:p>
        </w:tc>
      </w:tr>
      <w:tr w:rsidR="00E67C31" w:rsidRPr="007F11C8" w14:paraId="75A76422" w14:textId="77777777" w:rsidTr="00E67C31">
        <w:trPr>
          <w:trHeight w:val="227"/>
        </w:trPr>
        <w:tc>
          <w:tcPr>
            <w:tcW w:w="5000" w:type="pct"/>
            <w:gridSpan w:val="3"/>
            <w:shd w:val="clear" w:color="auto" w:fill="F2F2F2" w:themeFill="background1" w:themeFillShade="F2"/>
            <w:noWrap/>
            <w:hideMark/>
          </w:tcPr>
          <w:p w14:paraId="2D1ABBE7" w14:textId="13159C6C" w:rsidR="00E67C31" w:rsidRPr="001153F4" w:rsidRDefault="00E67C31" w:rsidP="00E67C31">
            <w:pPr>
              <w:pStyle w:val="Tabelle-berschrift"/>
            </w:pPr>
            <w:r w:rsidRPr="001153F4">
              <w:t>Policy</w:t>
            </w:r>
          </w:p>
        </w:tc>
      </w:tr>
      <w:tr w:rsidR="00E67C31" w:rsidRPr="007F11C8" w14:paraId="2E3EFB19" w14:textId="77777777" w:rsidTr="001153F4">
        <w:trPr>
          <w:trHeight w:val="227"/>
        </w:trPr>
        <w:tc>
          <w:tcPr>
            <w:tcW w:w="5000" w:type="pct"/>
            <w:gridSpan w:val="3"/>
            <w:noWrap/>
            <w:hideMark/>
          </w:tcPr>
          <w:p w14:paraId="31B956AD" w14:textId="77777777" w:rsidR="00E67C31" w:rsidRPr="001153F4" w:rsidRDefault="00E67C31" w:rsidP="00E67C31">
            <w:pPr>
              <w:pStyle w:val="Tabelle-berschrift"/>
            </w:pPr>
            <w:r w:rsidRPr="001153F4">
              <w:t>Food composition</w:t>
            </w:r>
          </w:p>
        </w:tc>
      </w:tr>
      <w:tr w:rsidR="00E67C31" w:rsidRPr="007F11C8" w14:paraId="6FF9B915" w14:textId="77777777" w:rsidTr="001153F4">
        <w:trPr>
          <w:trHeight w:val="227"/>
        </w:trPr>
        <w:tc>
          <w:tcPr>
            <w:tcW w:w="1207" w:type="pct"/>
            <w:gridSpan w:val="2"/>
            <w:noWrap/>
            <w:hideMark/>
          </w:tcPr>
          <w:p w14:paraId="4133B62A" w14:textId="77777777" w:rsidR="00E67C31" w:rsidRPr="007F11C8" w:rsidRDefault="00E67C31" w:rsidP="00E67C31">
            <w:pPr>
              <w:pStyle w:val="Tabelle-Text"/>
            </w:pPr>
            <w:r w:rsidRPr="007F11C8">
              <w:t>COMP1</w:t>
            </w:r>
          </w:p>
        </w:tc>
        <w:tc>
          <w:tcPr>
            <w:tcW w:w="3793" w:type="pct"/>
            <w:noWrap/>
            <w:hideMark/>
          </w:tcPr>
          <w:p w14:paraId="77E0390E" w14:textId="77777777" w:rsidR="00E67C31" w:rsidRPr="007F11C8" w:rsidRDefault="00E67C31" w:rsidP="00E67C31">
            <w:pPr>
              <w:pStyle w:val="Tabelle-Text"/>
            </w:pPr>
            <w:r w:rsidRPr="007F11C8">
              <w:t>Processed foods</w:t>
            </w:r>
          </w:p>
        </w:tc>
      </w:tr>
      <w:tr w:rsidR="00E67C31" w:rsidRPr="007F11C8" w14:paraId="08DC4989" w14:textId="77777777" w:rsidTr="001153F4">
        <w:trPr>
          <w:trHeight w:val="227"/>
        </w:trPr>
        <w:tc>
          <w:tcPr>
            <w:tcW w:w="1207" w:type="pct"/>
            <w:gridSpan w:val="2"/>
            <w:noWrap/>
            <w:hideMark/>
          </w:tcPr>
          <w:p w14:paraId="5A3E4327" w14:textId="77777777" w:rsidR="00E67C31" w:rsidRPr="007F11C8" w:rsidRDefault="00E67C31" w:rsidP="00E67C31">
            <w:pPr>
              <w:pStyle w:val="Tabelle-Text"/>
            </w:pPr>
            <w:r w:rsidRPr="007F11C8">
              <w:t>COMP2</w:t>
            </w:r>
          </w:p>
        </w:tc>
        <w:tc>
          <w:tcPr>
            <w:tcW w:w="3793" w:type="pct"/>
            <w:noWrap/>
            <w:hideMark/>
          </w:tcPr>
          <w:p w14:paraId="21A317FF" w14:textId="77777777" w:rsidR="00E67C31" w:rsidRPr="007F11C8" w:rsidRDefault="00E67C31" w:rsidP="00E67C31">
            <w:pPr>
              <w:pStyle w:val="Tabelle-Text"/>
            </w:pPr>
            <w:r w:rsidRPr="007F11C8">
              <w:t>Out-of-home settings</w:t>
            </w:r>
          </w:p>
        </w:tc>
      </w:tr>
      <w:tr w:rsidR="00E67C31" w:rsidRPr="007F11C8" w14:paraId="75AAA131" w14:textId="77777777" w:rsidTr="001153F4">
        <w:trPr>
          <w:trHeight w:val="227"/>
        </w:trPr>
        <w:tc>
          <w:tcPr>
            <w:tcW w:w="5000" w:type="pct"/>
            <w:gridSpan w:val="3"/>
            <w:noWrap/>
            <w:hideMark/>
          </w:tcPr>
          <w:p w14:paraId="05FDD395" w14:textId="77777777" w:rsidR="00E67C31" w:rsidRPr="001153F4" w:rsidRDefault="00E67C31" w:rsidP="00E67C31">
            <w:pPr>
              <w:pStyle w:val="Tabelle-berschrift"/>
            </w:pPr>
            <w:r w:rsidRPr="001153F4">
              <w:t>Food labelling</w:t>
            </w:r>
          </w:p>
        </w:tc>
      </w:tr>
      <w:tr w:rsidR="00E67C31" w:rsidRPr="007F11C8" w14:paraId="5A538834" w14:textId="77777777" w:rsidTr="001153F4">
        <w:trPr>
          <w:trHeight w:val="227"/>
        </w:trPr>
        <w:tc>
          <w:tcPr>
            <w:tcW w:w="1207" w:type="pct"/>
            <w:gridSpan w:val="2"/>
            <w:noWrap/>
            <w:hideMark/>
          </w:tcPr>
          <w:p w14:paraId="2DF6B922" w14:textId="77777777" w:rsidR="00E67C31" w:rsidRPr="007F11C8" w:rsidRDefault="00E67C31" w:rsidP="00E67C31">
            <w:pPr>
              <w:pStyle w:val="Tabelle-Text"/>
            </w:pPr>
            <w:r w:rsidRPr="007F11C8">
              <w:t>LABEL1</w:t>
            </w:r>
          </w:p>
        </w:tc>
        <w:tc>
          <w:tcPr>
            <w:tcW w:w="3793" w:type="pct"/>
            <w:noWrap/>
            <w:hideMark/>
          </w:tcPr>
          <w:p w14:paraId="6D290938" w14:textId="77777777" w:rsidR="00E67C31" w:rsidRPr="007F11C8" w:rsidRDefault="00E67C31" w:rsidP="00E67C31">
            <w:pPr>
              <w:pStyle w:val="Tabelle-Text"/>
            </w:pPr>
            <w:r w:rsidRPr="007F11C8">
              <w:t>Ingredient lists and nutrient declarations</w:t>
            </w:r>
          </w:p>
        </w:tc>
      </w:tr>
      <w:tr w:rsidR="00E67C31" w:rsidRPr="007F11C8" w14:paraId="658E54E2" w14:textId="77777777" w:rsidTr="001153F4">
        <w:trPr>
          <w:trHeight w:val="227"/>
        </w:trPr>
        <w:tc>
          <w:tcPr>
            <w:tcW w:w="1207" w:type="pct"/>
            <w:gridSpan w:val="2"/>
            <w:noWrap/>
            <w:hideMark/>
          </w:tcPr>
          <w:p w14:paraId="519D0B3B" w14:textId="77777777" w:rsidR="00E67C31" w:rsidRPr="007F11C8" w:rsidRDefault="00E67C31" w:rsidP="00E67C31">
            <w:pPr>
              <w:pStyle w:val="Tabelle-Text"/>
            </w:pPr>
            <w:r w:rsidRPr="007F11C8">
              <w:t>LABEL2</w:t>
            </w:r>
          </w:p>
        </w:tc>
        <w:tc>
          <w:tcPr>
            <w:tcW w:w="3793" w:type="pct"/>
            <w:noWrap/>
            <w:hideMark/>
          </w:tcPr>
          <w:p w14:paraId="10C4B632" w14:textId="77777777" w:rsidR="00E67C31" w:rsidRPr="007F11C8" w:rsidRDefault="00E67C31" w:rsidP="00E67C31">
            <w:pPr>
              <w:pStyle w:val="Tabelle-Text"/>
            </w:pPr>
            <w:r w:rsidRPr="007F11C8">
              <w:t>Nutrition and health claims</w:t>
            </w:r>
          </w:p>
        </w:tc>
      </w:tr>
      <w:tr w:rsidR="00E67C31" w:rsidRPr="007F11C8" w14:paraId="3B36D7FF" w14:textId="77777777" w:rsidTr="001153F4">
        <w:trPr>
          <w:trHeight w:val="227"/>
        </w:trPr>
        <w:tc>
          <w:tcPr>
            <w:tcW w:w="1207" w:type="pct"/>
            <w:gridSpan w:val="2"/>
            <w:noWrap/>
            <w:hideMark/>
          </w:tcPr>
          <w:p w14:paraId="205B4F33" w14:textId="77777777" w:rsidR="00E67C31" w:rsidRPr="007F11C8" w:rsidRDefault="00E67C31" w:rsidP="00E67C31">
            <w:pPr>
              <w:pStyle w:val="Tabelle-Text"/>
            </w:pPr>
            <w:r w:rsidRPr="007F11C8">
              <w:t>LABEL3</w:t>
            </w:r>
          </w:p>
        </w:tc>
        <w:tc>
          <w:tcPr>
            <w:tcW w:w="3793" w:type="pct"/>
            <w:noWrap/>
            <w:hideMark/>
          </w:tcPr>
          <w:p w14:paraId="69FA1CFC" w14:textId="77777777" w:rsidR="00E67C31" w:rsidRPr="007F11C8" w:rsidRDefault="00E67C31" w:rsidP="00E67C31">
            <w:pPr>
              <w:pStyle w:val="Tabelle-Text"/>
            </w:pPr>
            <w:r w:rsidRPr="007F11C8">
              <w:t>Front-of-pack nutrition information</w:t>
            </w:r>
          </w:p>
        </w:tc>
      </w:tr>
      <w:tr w:rsidR="00E67C31" w:rsidRPr="007F11C8" w14:paraId="6F4E9A12" w14:textId="77777777" w:rsidTr="001153F4">
        <w:trPr>
          <w:trHeight w:val="227"/>
        </w:trPr>
        <w:tc>
          <w:tcPr>
            <w:tcW w:w="1207" w:type="pct"/>
            <w:gridSpan w:val="2"/>
            <w:noWrap/>
            <w:hideMark/>
          </w:tcPr>
          <w:p w14:paraId="4209336B" w14:textId="77777777" w:rsidR="00E67C31" w:rsidRPr="007F11C8" w:rsidRDefault="00E67C31" w:rsidP="00E67C31">
            <w:pPr>
              <w:pStyle w:val="Tabelle-Text"/>
            </w:pPr>
            <w:r w:rsidRPr="007F11C8">
              <w:t>LABEL4</w:t>
            </w:r>
          </w:p>
        </w:tc>
        <w:tc>
          <w:tcPr>
            <w:tcW w:w="3793" w:type="pct"/>
            <w:noWrap/>
            <w:hideMark/>
          </w:tcPr>
          <w:p w14:paraId="76066B48" w14:textId="77777777" w:rsidR="00E67C31" w:rsidRPr="007F11C8" w:rsidRDefault="00E67C31" w:rsidP="00E67C31">
            <w:pPr>
              <w:pStyle w:val="Tabelle-Text"/>
            </w:pPr>
            <w:r w:rsidRPr="007F11C8">
              <w:t>Out-of-home settings / food service outlets</w:t>
            </w:r>
          </w:p>
        </w:tc>
      </w:tr>
      <w:tr w:rsidR="00E67C31" w:rsidRPr="007F11C8" w14:paraId="2B53CACC" w14:textId="77777777" w:rsidTr="001153F4">
        <w:trPr>
          <w:trHeight w:val="227"/>
        </w:trPr>
        <w:tc>
          <w:tcPr>
            <w:tcW w:w="1207" w:type="pct"/>
            <w:gridSpan w:val="2"/>
            <w:noWrap/>
            <w:hideMark/>
          </w:tcPr>
          <w:p w14:paraId="35799A8D" w14:textId="77777777" w:rsidR="00E67C31" w:rsidRPr="007F11C8" w:rsidRDefault="00E67C31" w:rsidP="00E67C31">
            <w:pPr>
              <w:pStyle w:val="Tabelle-Text"/>
            </w:pPr>
            <w:r w:rsidRPr="007F11C8">
              <w:t>LABEL5</w:t>
            </w:r>
          </w:p>
        </w:tc>
        <w:tc>
          <w:tcPr>
            <w:tcW w:w="3793" w:type="pct"/>
            <w:noWrap/>
            <w:hideMark/>
          </w:tcPr>
          <w:p w14:paraId="152AF05D" w14:textId="77777777" w:rsidR="00E67C31" w:rsidRPr="007F11C8" w:rsidRDefault="00E67C31" w:rsidP="00E67C31">
            <w:pPr>
              <w:pStyle w:val="Tabelle-Text"/>
            </w:pPr>
            <w:r w:rsidRPr="007F11C8">
              <w:t>Ecological impact</w:t>
            </w:r>
          </w:p>
        </w:tc>
      </w:tr>
      <w:tr w:rsidR="00E67C31" w:rsidRPr="007F11C8" w14:paraId="7E8625D5" w14:textId="77777777" w:rsidTr="001153F4">
        <w:trPr>
          <w:trHeight w:val="227"/>
        </w:trPr>
        <w:tc>
          <w:tcPr>
            <w:tcW w:w="5000" w:type="pct"/>
            <w:gridSpan w:val="3"/>
            <w:noWrap/>
            <w:hideMark/>
          </w:tcPr>
          <w:p w14:paraId="4897B1A0" w14:textId="77777777" w:rsidR="00E67C31" w:rsidRPr="001153F4" w:rsidRDefault="00E67C31" w:rsidP="00E67C31">
            <w:pPr>
              <w:pStyle w:val="Tabelle-berschrift"/>
            </w:pPr>
            <w:r w:rsidRPr="001153F4">
              <w:t>Food promotion</w:t>
            </w:r>
          </w:p>
        </w:tc>
      </w:tr>
      <w:tr w:rsidR="00E67C31" w:rsidRPr="007F11C8" w14:paraId="2E85158D" w14:textId="77777777" w:rsidTr="001153F4">
        <w:trPr>
          <w:trHeight w:val="227"/>
        </w:trPr>
        <w:tc>
          <w:tcPr>
            <w:tcW w:w="1207" w:type="pct"/>
            <w:gridSpan w:val="2"/>
            <w:noWrap/>
            <w:hideMark/>
          </w:tcPr>
          <w:p w14:paraId="7B664CFE" w14:textId="77777777" w:rsidR="00E67C31" w:rsidRPr="007F11C8" w:rsidRDefault="00E67C31" w:rsidP="00E67C31">
            <w:pPr>
              <w:pStyle w:val="Tabelle-Text"/>
            </w:pPr>
            <w:r w:rsidRPr="007F11C8">
              <w:t>PROMO1</w:t>
            </w:r>
          </w:p>
        </w:tc>
        <w:tc>
          <w:tcPr>
            <w:tcW w:w="3793" w:type="pct"/>
            <w:noWrap/>
            <w:hideMark/>
          </w:tcPr>
          <w:p w14:paraId="1EA4ACC7" w14:textId="77777777" w:rsidR="00E67C31" w:rsidRPr="007F11C8" w:rsidRDefault="00E67C31" w:rsidP="00E67C31">
            <w:pPr>
              <w:pStyle w:val="Tabelle-Text"/>
            </w:pPr>
            <w:r w:rsidRPr="007F11C8">
              <w:t>Broadcast media</w:t>
            </w:r>
          </w:p>
        </w:tc>
      </w:tr>
      <w:tr w:rsidR="00E67C31" w:rsidRPr="007F11C8" w14:paraId="4039E1FA" w14:textId="77777777" w:rsidTr="001153F4">
        <w:trPr>
          <w:trHeight w:val="227"/>
        </w:trPr>
        <w:tc>
          <w:tcPr>
            <w:tcW w:w="1207" w:type="pct"/>
            <w:gridSpan w:val="2"/>
            <w:noWrap/>
            <w:hideMark/>
          </w:tcPr>
          <w:p w14:paraId="42989219" w14:textId="77777777" w:rsidR="00E67C31" w:rsidRPr="007F11C8" w:rsidRDefault="00E67C31" w:rsidP="00E67C31">
            <w:pPr>
              <w:pStyle w:val="Tabelle-Text"/>
            </w:pPr>
            <w:r w:rsidRPr="007F11C8">
              <w:t>PROMO2</w:t>
            </w:r>
          </w:p>
        </w:tc>
        <w:tc>
          <w:tcPr>
            <w:tcW w:w="3793" w:type="pct"/>
            <w:noWrap/>
            <w:hideMark/>
          </w:tcPr>
          <w:p w14:paraId="722994AF" w14:textId="77777777" w:rsidR="00E67C31" w:rsidRPr="007F11C8" w:rsidRDefault="00E67C31" w:rsidP="00E67C31">
            <w:pPr>
              <w:pStyle w:val="Tabelle-Text"/>
            </w:pPr>
            <w:r w:rsidRPr="007F11C8">
              <w:t>None broadcast media</w:t>
            </w:r>
          </w:p>
        </w:tc>
      </w:tr>
      <w:tr w:rsidR="00E67C31" w:rsidRPr="007F11C8" w14:paraId="1CFF6D43" w14:textId="77777777" w:rsidTr="001153F4">
        <w:trPr>
          <w:trHeight w:val="227"/>
        </w:trPr>
        <w:tc>
          <w:tcPr>
            <w:tcW w:w="1207" w:type="pct"/>
            <w:gridSpan w:val="2"/>
            <w:noWrap/>
            <w:hideMark/>
          </w:tcPr>
          <w:p w14:paraId="079F1CF3" w14:textId="77777777" w:rsidR="00E67C31" w:rsidRPr="007F11C8" w:rsidRDefault="00E67C31" w:rsidP="00E67C31">
            <w:pPr>
              <w:pStyle w:val="Tabelle-Text"/>
            </w:pPr>
            <w:r w:rsidRPr="007F11C8">
              <w:t>PROMO3</w:t>
            </w:r>
          </w:p>
        </w:tc>
        <w:tc>
          <w:tcPr>
            <w:tcW w:w="3793" w:type="pct"/>
            <w:noWrap/>
            <w:hideMark/>
          </w:tcPr>
          <w:p w14:paraId="7E2643AE" w14:textId="77777777" w:rsidR="00E67C31" w:rsidRPr="007F11C8" w:rsidRDefault="00E67C31" w:rsidP="00E67C31">
            <w:pPr>
              <w:pStyle w:val="Tabelle-Text"/>
            </w:pPr>
            <w:r w:rsidRPr="007F11C8">
              <w:t>Settings where children gather</w:t>
            </w:r>
          </w:p>
        </w:tc>
      </w:tr>
      <w:tr w:rsidR="00E67C31" w:rsidRPr="007F11C8" w14:paraId="0B457145" w14:textId="77777777" w:rsidTr="001153F4">
        <w:trPr>
          <w:trHeight w:val="227"/>
        </w:trPr>
        <w:tc>
          <w:tcPr>
            <w:tcW w:w="1207" w:type="pct"/>
            <w:gridSpan w:val="2"/>
            <w:noWrap/>
            <w:hideMark/>
          </w:tcPr>
          <w:p w14:paraId="0E0F7158" w14:textId="77777777" w:rsidR="00E67C31" w:rsidRPr="007F11C8" w:rsidRDefault="00E67C31" w:rsidP="00E67C31">
            <w:pPr>
              <w:pStyle w:val="Tabelle-Text"/>
            </w:pPr>
            <w:r w:rsidRPr="007F11C8">
              <w:t>PROMO4</w:t>
            </w:r>
          </w:p>
        </w:tc>
        <w:tc>
          <w:tcPr>
            <w:tcW w:w="3793" w:type="pct"/>
            <w:noWrap/>
            <w:hideMark/>
          </w:tcPr>
          <w:p w14:paraId="017BF3D2" w14:textId="77777777" w:rsidR="00E67C31" w:rsidRPr="007F11C8" w:rsidRDefault="00E67C31" w:rsidP="00E67C31">
            <w:pPr>
              <w:pStyle w:val="Tabelle-Text"/>
            </w:pPr>
            <w:r w:rsidRPr="007F11C8">
              <w:t>(Public) infrastructure and spaces</w:t>
            </w:r>
          </w:p>
        </w:tc>
      </w:tr>
      <w:tr w:rsidR="00E67C31" w:rsidRPr="007F11C8" w14:paraId="57809186" w14:textId="77777777" w:rsidTr="001153F4">
        <w:trPr>
          <w:trHeight w:val="227"/>
        </w:trPr>
        <w:tc>
          <w:tcPr>
            <w:tcW w:w="1207" w:type="pct"/>
            <w:gridSpan w:val="2"/>
            <w:noWrap/>
            <w:hideMark/>
          </w:tcPr>
          <w:p w14:paraId="02171D77" w14:textId="77777777" w:rsidR="00E67C31" w:rsidRPr="007F11C8" w:rsidRDefault="00E67C31" w:rsidP="00E67C31">
            <w:pPr>
              <w:pStyle w:val="Tabelle-Text"/>
            </w:pPr>
            <w:r w:rsidRPr="007F11C8">
              <w:t>PROMO5</w:t>
            </w:r>
          </w:p>
        </w:tc>
        <w:tc>
          <w:tcPr>
            <w:tcW w:w="3793" w:type="pct"/>
            <w:noWrap/>
            <w:hideMark/>
          </w:tcPr>
          <w:p w14:paraId="4BD22274" w14:textId="77777777" w:rsidR="00E67C31" w:rsidRPr="007F11C8" w:rsidRDefault="00E67C31" w:rsidP="00E67C31">
            <w:pPr>
              <w:pStyle w:val="Tabelle-Text"/>
            </w:pPr>
            <w:r w:rsidRPr="007F11C8">
              <w:t>Product and packaging</w:t>
            </w:r>
          </w:p>
        </w:tc>
      </w:tr>
      <w:tr w:rsidR="00E67C31" w:rsidRPr="007F11C8" w14:paraId="27DD09D1" w14:textId="77777777" w:rsidTr="001153F4">
        <w:trPr>
          <w:trHeight w:val="227"/>
        </w:trPr>
        <w:tc>
          <w:tcPr>
            <w:tcW w:w="5000" w:type="pct"/>
            <w:gridSpan w:val="3"/>
            <w:noWrap/>
            <w:hideMark/>
          </w:tcPr>
          <w:p w14:paraId="7A5B9E83" w14:textId="77777777" w:rsidR="00E67C31" w:rsidRPr="001153F4" w:rsidRDefault="00E67C31" w:rsidP="00E67C31">
            <w:pPr>
              <w:pStyle w:val="Tabelle-berschrift"/>
            </w:pPr>
            <w:r w:rsidRPr="001153F4">
              <w:lastRenderedPageBreak/>
              <w:t>Food prices</w:t>
            </w:r>
          </w:p>
        </w:tc>
      </w:tr>
      <w:tr w:rsidR="00E67C31" w:rsidRPr="007F11C8" w14:paraId="717F43D1" w14:textId="77777777" w:rsidTr="001153F4">
        <w:trPr>
          <w:trHeight w:val="227"/>
        </w:trPr>
        <w:tc>
          <w:tcPr>
            <w:tcW w:w="1207" w:type="pct"/>
            <w:gridSpan w:val="2"/>
            <w:noWrap/>
            <w:hideMark/>
          </w:tcPr>
          <w:p w14:paraId="65CE6513" w14:textId="77777777" w:rsidR="00E67C31" w:rsidRPr="007F11C8" w:rsidRDefault="00E67C31" w:rsidP="00E67C31">
            <w:pPr>
              <w:pStyle w:val="Tabelle-Text"/>
            </w:pPr>
            <w:r w:rsidRPr="007F11C8">
              <w:t>PRICES1</w:t>
            </w:r>
          </w:p>
        </w:tc>
        <w:tc>
          <w:tcPr>
            <w:tcW w:w="3793" w:type="pct"/>
            <w:noWrap/>
            <w:hideMark/>
          </w:tcPr>
          <w:p w14:paraId="3A08750D" w14:textId="77777777" w:rsidR="00E67C31" w:rsidRPr="007F11C8" w:rsidRDefault="00E67C31" w:rsidP="00E67C31">
            <w:pPr>
              <w:pStyle w:val="Tabelle-Text"/>
            </w:pPr>
            <w:r w:rsidRPr="007F11C8">
              <w:t>Taxes or levies on healthy foods</w:t>
            </w:r>
          </w:p>
        </w:tc>
      </w:tr>
      <w:tr w:rsidR="00E67C31" w:rsidRPr="007F11C8" w14:paraId="0331850F" w14:textId="77777777" w:rsidTr="001153F4">
        <w:trPr>
          <w:trHeight w:val="227"/>
        </w:trPr>
        <w:tc>
          <w:tcPr>
            <w:tcW w:w="1207" w:type="pct"/>
            <w:gridSpan w:val="2"/>
            <w:noWrap/>
            <w:hideMark/>
          </w:tcPr>
          <w:p w14:paraId="3A59AFCC" w14:textId="77777777" w:rsidR="00E67C31" w:rsidRPr="007F11C8" w:rsidRDefault="00E67C31" w:rsidP="00E67C31">
            <w:pPr>
              <w:pStyle w:val="Tabelle-Text"/>
            </w:pPr>
            <w:r w:rsidRPr="007F11C8">
              <w:t>PRICES2</w:t>
            </w:r>
          </w:p>
        </w:tc>
        <w:tc>
          <w:tcPr>
            <w:tcW w:w="3793" w:type="pct"/>
            <w:noWrap/>
            <w:hideMark/>
          </w:tcPr>
          <w:p w14:paraId="1DB9FD27" w14:textId="77777777" w:rsidR="00E67C31" w:rsidRPr="007F11C8" w:rsidRDefault="00E67C31" w:rsidP="00E67C31">
            <w:pPr>
              <w:pStyle w:val="Tabelle-Text"/>
            </w:pPr>
            <w:r w:rsidRPr="007F11C8">
              <w:t>Taxes or levies on unhealthy foods</w:t>
            </w:r>
          </w:p>
        </w:tc>
      </w:tr>
      <w:tr w:rsidR="00E67C31" w:rsidRPr="007F11C8" w14:paraId="3B8D1E3B" w14:textId="77777777" w:rsidTr="001153F4">
        <w:trPr>
          <w:trHeight w:val="227"/>
        </w:trPr>
        <w:tc>
          <w:tcPr>
            <w:tcW w:w="1207" w:type="pct"/>
            <w:gridSpan w:val="2"/>
            <w:noWrap/>
            <w:hideMark/>
          </w:tcPr>
          <w:p w14:paraId="1DCA334B" w14:textId="77777777" w:rsidR="00E67C31" w:rsidRPr="007F11C8" w:rsidRDefault="00E67C31" w:rsidP="00E67C31">
            <w:pPr>
              <w:pStyle w:val="Tabelle-Text"/>
            </w:pPr>
            <w:r w:rsidRPr="007F11C8">
              <w:t>PRICES3</w:t>
            </w:r>
          </w:p>
        </w:tc>
        <w:tc>
          <w:tcPr>
            <w:tcW w:w="3793" w:type="pct"/>
            <w:noWrap/>
            <w:hideMark/>
          </w:tcPr>
          <w:p w14:paraId="711E897B" w14:textId="77777777" w:rsidR="00E67C31" w:rsidRPr="007F11C8" w:rsidRDefault="00E67C31" w:rsidP="00E67C31">
            <w:pPr>
              <w:pStyle w:val="Tabelle-Text"/>
            </w:pPr>
            <w:r w:rsidRPr="007F11C8">
              <w:t>Subsidies</w:t>
            </w:r>
          </w:p>
        </w:tc>
      </w:tr>
      <w:tr w:rsidR="00E67C31" w:rsidRPr="007F11C8" w14:paraId="5BF7E037" w14:textId="77777777" w:rsidTr="001153F4">
        <w:trPr>
          <w:trHeight w:val="227"/>
        </w:trPr>
        <w:tc>
          <w:tcPr>
            <w:tcW w:w="1207" w:type="pct"/>
            <w:gridSpan w:val="2"/>
            <w:noWrap/>
            <w:hideMark/>
          </w:tcPr>
          <w:p w14:paraId="2FCDA2AA" w14:textId="77777777" w:rsidR="00E67C31" w:rsidRPr="007F11C8" w:rsidRDefault="00E67C31" w:rsidP="00E67C31">
            <w:pPr>
              <w:pStyle w:val="Tabelle-Text"/>
            </w:pPr>
            <w:r w:rsidRPr="007F11C8">
              <w:t>PRICES4</w:t>
            </w:r>
          </w:p>
        </w:tc>
        <w:tc>
          <w:tcPr>
            <w:tcW w:w="3793" w:type="pct"/>
            <w:noWrap/>
            <w:hideMark/>
          </w:tcPr>
          <w:p w14:paraId="7EE61671" w14:textId="77777777" w:rsidR="00E67C31" w:rsidRPr="007F11C8" w:rsidRDefault="00E67C31" w:rsidP="00E67C31">
            <w:pPr>
              <w:pStyle w:val="Tabelle-Text"/>
            </w:pPr>
            <w:r w:rsidRPr="007F11C8">
              <w:t>Food-related income support</w:t>
            </w:r>
          </w:p>
        </w:tc>
      </w:tr>
      <w:tr w:rsidR="00E67C31" w:rsidRPr="007F11C8" w14:paraId="6A4CB8CD" w14:textId="77777777" w:rsidTr="001153F4">
        <w:trPr>
          <w:trHeight w:val="227"/>
        </w:trPr>
        <w:tc>
          <w:tcPr>
            <w:tcW w:w="5000" w:type="pct"/>
            <w:gridSpan w:val="3"/>
            <w:noWrap/>
            <w:hideMark/>
          </w:tcPr>
          <w:p w14:paraId="4F617EDD" w14:textId="77777777" w:rsidR="00E67C31" w:rsidRPr="001153F4" w:rsidRDefault="00E67C31" w:rsidP="00E67C31">
            <w:pPr>
              <w:pStyle w:val="Tabelle-berschrift"/>
            </w:pPr>
            <w:r w:rsidRPr="001153F4">
              <w:t>Food provision</w:t>
            </w:r>
          </w:p>
        </w:tc>
      </w:tr>
      <w:tr w:rsidR="00E67C31" w:rsidRPr="007F11C8" w14:paraId="286BB3D5" w14:textId="77777777" w:rsidTr="001153F4">
        <w:trPr>
          <w:trHeight w:val="227"/>
        </w:trPr>
        <w:tc>
          <w:tcPr>
            <w:tcW w:w="1207" w:type="pct"/>
            <w:gridSpan w:val="2"/>
            <w:noWrap/>
            <w:hideMark/>
          </w:tcPr>
          <w:p w14:paraId="1C5A8C7B" w14:textId="77777777" w:rsidR="00E67C31" w:rsidRPr="007F11C8" w:rsidRDefault="00E67C31" w:rsidP="00E67C31">
            <w:pPr>
              <w:pStyle w:val="Tabelle-Text"/>
            </w:pPr>
            <w:r w:rsidRPr="007F11C8">
              <w:t>PROV1</w:t>
            </w:r>
          </w:p>
        </w:tc>
        <w:tc>
          <w:tcPr>
            <w:tcW w:w="3793" w:type="pct"/>
            <w:noWrap/>
            <w:hideMark/>
          </w:tcPr>
          <w:p w14:paraId="58CC15C3" w14:textId="77777777" w:rsidR="00E67C31" w:rsidRPr="007F11C8" w:rsidRDefault="00E67C31" w:rsidP="00E67C31">
            <w:pPr>
              <w:pStyle w:val="Tabelle-Text"/>
            </w:pPr>
            <w:r w:rsidRPr="007F11C8">
              <w:t>Schools and early childhood education services</w:t>
            </w:r>
          </w:p>
        </w:tc>
      </w:tr>
      <w:tr w:rsidR="00E67C31" w:rsidRPr="007F11C8" w14:paraId="0BAA4E68" w14:textId="77777777" w:rsidTr="001153F4">
        <w:trPr>
          <w:trHeight w:val="227"/>
        </w:trPr>
        <w:tc>
          <w:tcPr>
            <w:tcW w:w="1207" w:type="pct"/>
            <w:gridSpan w:val="2"/>
            <w:noWrap/>
            <w:hideMark/>
          </w:tcPr>
          <w:p w14:paraId="46DEABA0" w14:textId="77777777" w:rsidR="00E67C31" w:rsidRPr="007F11C8" w:rsidRDefault="00E67C31" w:rsidP="00E67C31">
            <w:pPr>
              <w:pStyle w:val="Tabelle-Text"/>
            </w:pPr>
            <w:r w:rsidRPr="007F11C8">
              <w:t>PROV2</w:t>
            </w:r>
          </w:p>
        </w:tc>
        <w:tc>
          <w:tcPr>
            <w:tcW w:w="3793" w:type="pct"/>
            <w:noWrap/>
            <w:hideMark/>
          </w:tcPr>
          <w:p w14:paraId="676AEA45" w14:textId="77777777" w:rsidR="00E67C31" w:rsidRPr="007F11C8" w:rsidRDefault="00E67C31" w:rsidP="00E67C31">
            <w:pPr>
              <w:pStyle w:val="Tabelle-Text"/>
            </w:pPr>
            <w:r w:rsidRPr="007F11C8">
              <w:t>Other public sector settings</w:t>
            </w:r>
          </w:p>
        </w:tc>
      </w:tr>
      <w:tr w:rsidR="00E67C31" w:rsidRPr="007F11C8" w14:paraId="17E4748D" w14:textId="77777777" w:rsidTr="001153F4">
        <w:trPr>
          <w:trHeight w:val="227"/>
        </w:trPr>
        <w:tc>
          <w:tcPr>
            <w:tcW w:w="1207" w:type="pct"/>
            <w:gridSpan w:val="2"/>
            <w:noWrap/>
            <w:hideMark/>
          </w:tcPr>
          <w:p w14:paraId="1F8EB07E" w14:textId="77777777" w:rsidR="00E67C31" w:rsidRPr="007F11C8" w:rsidRDefault="00E67C31" w:rsidP="00E67C31">
            <w:pPr>
              <w:pStyle w:val="Tabelle-Text"/>
            </w:pPr>
            <w:r w:rsidRPr="007F11C8">
              <w:t>PROV3</w:t>
            </w:r>
          </w:p>
        </w:tc>
        <w:tc>
          <w:tcPr>
            <w:tcW w:w="3793" w:type="pct"/>
            <w:noWrap/>
            <w:hideMark/>
          </w:tcPr>
          <w:p w14:paraId="40159AE7" w14:textId="77777777" w:rsidR="00E67C31" w:rsidRPr="007F11C8" w:rsidRDefault="00E67C31" w:rsidP="00E67C31">
            <w:pPr>
              <w:pStyle w:val="Tabelle-Text"/>
            </w:pPr>
            <w:r w:rsidRPr="007F11C8">
              <w:t>Public sector support and training systems</w:t>
            </w:r>
          </w:p>
        </w:tc>
      </w:tr>
      <w:tr w:rsidR="00E67C31" w:rsidRPr="007F11C8" w14:paraId="5E15F996" w14:textId="77777777" w:rsidTr="001153F4">
        <w:trPr>
          <w:trHeight w:val="227"/>
        </w:trPr>
        <w:tc>
          <w:tcPr>
            <w:tcW w:w="1207" w:type="pct"/>
            <w:gridSpan w:val="2"/>
            <w:noWrap/>
            <w:hideMark/>
          </w:tcPr>
          <w:p w14:paraId="3257F687" w14:textId="77777777" w:rsidR="00E67C31" w:rsidRPr="007F11C8" w:rsidRDefault="00E67C31" w:rsidP="00E67C31">
            <w:pPr>
              <w:pStyle w:val="Tabelle-Text"/>
            </w:pPr>
            <w:r w:rsidRPr="007F11C8">
              <w:t>PROV4</w:t>
            </w:r>
          </w:p>
        </w:tc>
        <w:tc>
          <w:tcPr>
            <w:tcW w:w="3793" w:type="pct"/>
            <w:noWrap/>
            <w:hideMark/>
          </w:tcPr>
          <w:p w14:paraId="73996072" w14:textId="77777777" w:rsidR="00E67C31" w:rsidRPr="007F11C8" w:rsidRDefault="00E67C31" w:rsidP="00E67C31">
            <w:pPr>
              <w:pStyle w:val="Tabelle-Text"/>
            </w:pPr>
            <w:r w:rsidRPr="007F11C8">
              <w:t>Private sector support and training systems</w:t>
            </w:r>
          </w:p>
        </w:tc>
      </w:tr>
      <w:tr w:rsidR="00E67C31" w:rsidRPr="007F11C8" w14:paraId="16DDF823" w14:textId="77777777" w:rsidTr="001153F4">
        <w:trPr>
          <w:trHeight w:val="227"/>
        </w:trPr>
        <w:tc>
          <w:tcPr>
            <w:tcW w:w="5000" w:type="pct"/>
            <w:gridSpan w:val="3"/>
            <w:noWrap/>
            <w:hideMark/>
          </w:tcPr>
          <w:p w14:paraId="0C14D938" w14:textId="77777777" w:rsidR="00E67C31" w:rsidRPr="001153F4" w:rsidRDefault="00E67C31" w:rsidP="00E67C31">
            <w:pPr>
              <w:pStyle w:val="Tabelle-berschrift"/>
            </w:pPr>
            <w:r w:rsidRPr="001153F4">
              <w:t>Food in retail</w:t>
            </w:r>
          </w:p>
        </w:tc>
      </w:tr>
      <w:tr w:rsidR="00E67C31" w:rsidRPr="007F11C8" w14:paraId="24A03A52" w14:textId="77777777" w:rsidTr="001153F4">
        <w:trPr>
          <w:trHeight w:val="227"/>
        </w:trPr>
        <w:tc>
          <w:tcPr>
            <w:tcW w:w="1207" w:type="pct"/>
            <w:gridSpan w:val="2"/>
            <w:noWrap/>
            <w:hideMark/>
          </w:tcPr>
          <w:p w14:paraId="5C85126E" w14:textId="77777777" w:rsidR="00E67C31" w:rsidRPr="007F11C8" w:rsidRDefault="00E67C31" w:rsidP="00E67C31">
            <w:pPr>
              <w:pStyle w:val="Tabelle-Text"/>
            </w:pPr>
            <w:r w:rsidRPr="007F11C8">
              <w:t>RETAIL1</w:t>
            </w:r>
          </w:p>
        </w:tc>
        <w:tc>
          <w:tcPr>
            <w:tcW w:w="3793" w:type="pct"/>
            <w:noWrap/>
            <w:hideMark/>
          </w:tcPr>
          <w:p w14:paraId="7820FD3E" w14:textId="77777777" w:rsidR="00E67C31" w:rsidRPr="007F11C8" w:rsidRDefault="00E67C31" w:rsidP="00E67C31">
            <w:pPr>
              <w:pStyle w:val="Tabelle-Text"/>
            </w:pPr>
            <w:r w:rsidRPr="007F11C8">
              <w:t>Zoning laws and policies - unhealthy foods</w:t>
            </w:r>
          </w:p>
        </w:tc>
      </w:tr>
      <w:tr w:rsidR="00E67C31" w:rsidRPr="007F11C8" w14:paraId="208789F8" w14:textId="77777777" w:rsidTr="001153F4">
        <w:trPr>
          <w:trHeight w:val="227"/>
        </w:trPr>
        <w:tc>
          <w:tcPr>
            <w:tcW w:w="1207" w:type="pct"/>
            <w:gridSpan w:val="2"/>
            <w:noWrap/>
            <w:hideMark/>
          </w:tcPr>
          <w:p w14:paraId="31EA2CF0" w14:textId="77777777" w:rsidR="00E67C31" w:rsidRPr="007F11C8" w:rsidRDefault="00E67C31" w:rsidP="00E67C31">
            <w:pPr>
              <w:pStyle w:val="Tabelle-Text"/>
            </w:pPr>
            <w:r w:rsidRPr="007F11C8">
              <w:t>RETAIL2</w:t>
            </w:r>
          </w:p>
        </w:tc>
        <w:tc>
          <w:tcPr>
            <w:tcW w:w="3793" w:type="pct"/>
            <w:noWrap/>
            <w:hideMark/>
          </w:tcPr>
          <w:p w14:paraId="7FCAC229" w14:textId="77777777" w:rsidR="00E67C31" w:rsidRPr="007F11C8" w:rsidRDefault="00E67C31" w:rsidP="00E67C31">
            <w:pPr>
              <w:pStyle w:val="Tabelle-Text"/>
            </w:pPr>
            <w:r w:rsidRPr="007F11C8">
              <w:t>Zoning laws and policies - healthy foods</w:t>
            </w:r>
          </w:p>
        </w:tc>
      </w:tr>
      <w:tr w:rsidR="00E67C31" w:rsidRPr="007F11C8" w14:paraId="06EFEFCE" w14:textId="77777777" w:rsidTr="001153F4">
        <w:trPr>
          <w:trHeight w:val="227"/>
        </w:trPr>
        <w:tc>
          <w:tcPr>
            <w:tcW w:w="1207" w:type="pct"/>
            <w:gridSpan w:val="2"/>
            <w:noWrap/>
            <w:hideMark/>
          </w:tcPr>
          <w:p w14:paraId="0AC4B84D" w14:textId="77777777" w:rsidR="00E67C31" w:rsidRPr="007F11C8" w:rsidRDefault="00E67C31" w:rsidP="00E67C31">
            <w:pPr>
              <w:pStyle w:val="Tabelle-Text"/>
            </w:pPr>
            <w:r w:rsidRPr="007F11C8">
              <w:t>RETAIL3</w:t>
            </w:r>
          </w:p>
        </w:tc>
        <w:tc>
          <w:tcPr>
            <w:tcW w:w="3793" w:type="pct"/>
            <w:noWrap/>
            <w:hideMark/>
          </w:tcPr>
          <w:p w14:paraId="37DF2735" w14:textId="77777777" w:rsidR="00E67C31" w:rsidRPr="007F11C8" w:rsidRDefault="00E67C31" w:rsidP="00E67C31">
            <w:pPr>
              <w:pStyle w:val="Tabelle-Text"/>
            </w:pPr>
            <w:r w:rsidRPr="007F11C8">
              <w:t>In-store availability of healthy / unhealthy foods</w:t>
            </w:r>
          </w:p>
        </w:tc>
      </w:tr>
      <w:tr w:rsidR="00E67C31" w:rsidRPr="007F11C8" w14:paraId="51DD7909" w14:textId="77777777" w:rsidTr="001153F4">
        <w:trPr>
          <w:trHeight w:val="227"/>
        </w:trPr>
        <w:tc>
          <w:tcPr>
            <w:tcW w:w="1207" w:type="pct"/>
            <w:gridSpan w:val="2"/>
            <w:noWrap/>
            <w:hideMark/>
          </w:tcPr>
          <w:p w14:paraId="3DCF5341" w14:textId="77777777" w:rsidR="00E67C31" w:rsidRPr="007F11C8" w:rsidRDefault="00E67C31" w:rsidP="00E67C31">
            <w:pPr>
              <w:pStyle w:val="Tabelle-Text"/>
            </w:pPr>
            <w:r w:rsidRPr="007F11C8">
              <w:t>RETAIL4</w:t>
            </w:r>
          </w:p>
        </w:tc>
        <w:tc>
          <w:tcPr>
            <w:tcW w:w="3793" w:type="pct"/>
            <w:noWrap/>
            <w:hideMark/>
          </w:tcPr>
          <w:p w14:paraId="55B9BEE7" w14:textId="77777777" w:rsidR="00E67C31" w:rsidRPr="007F11C8" w:rsidRDefault="00E67C31" w:rsidP="00E67C31">
            <w:pPr>
              <w:pStyle w:val="Tabelle-Text"/>
            </w:pPr>
            <w:r w:rsidRPr="007F11C8">
              <w:t>Food service outlets</w:t>
            </w:r>
          </w:p>
        </w:tc>
      </w:tr>
      <w:tr w:rsidR="00E67C31" w:rsidRPr="007F11C8" w14:paraId="1CFE7516" w14:textId="77777777" w:rsidTr="001153F4">
        <w:trPr>
          <w:trHeight w:val="227"/>
        </w:trPr>
        <w:tc>
          <w:tcPr>
            <w:tcW w:w="5000" w:type="pct"/>
            <w:gridSpan w:val="3"/>
            <w:noWrap/>
            <w:hideMark/>
          </w:tcPr>
          <w:p w14:paraId="3879354C" w14:textId="77777777" w:rsidR="00E67C31" w:rsidRPr="001153F4" w:rsidRDefault="00E67C31" w:rsidP="00E67C31">
            <w:pPr>
              <w:pStyle w:val="Tabelle-berschrift"/>
            </w:pPr>
            <w:r w:rsidRPr="001153F4">
              <w:t>Food trade and investment</w:t>
            </w:r>
          </w:p>
        </w:tc>
      </w:tr>
      <w:tr w:rsidR="00E67C31" w:rsidRPr="007F11C8" w14:paraId="3A756280" w14:textId="77777777" w:rsidTr="001153F4">
        <w:trPr>
          <w:trHeight w:val="227"/>
        </w:trPr>
        <w:tc>
          <w:tcPr>
            <w:tcW w:w="1207" w:type="pct"/>
            <w:gridSpan w:val="2"/>
            <w:noWrap/>
            <w:hideMark/>
          </w:tcPr>
          <w:p w14:paraId="68DE839D" w14:textId="77777777" w:rsidR="00E67C31" w:rsidRPr="007F11C8" w:rsidRDefault="00E67C31" w:rsidP="00E67C31">
            <w:pPr>
              <w:pStyle w:val="Tabelle-Text"/>
            </w:pPr>
            <w:r w:rsidRPr="007F11C8">
              <w:t>TRADE1</w:t>
            </w:r>
          </w:p>
        </w:tc>
        <w:tc>
          <w:tcPr>
            <w:tcW w:w="3793" w:type="pct"/>
            <w:noWrap/>
            <w:hideMark/>
          </w:tcPr>
          <w:p w14:paraId="3B6C07D6" w14:textId="77777777" w:rsidR="00E67C31" w:rsidRPr="007F11C8" w:rsidRDefault="00E67C31" w:rsidP="00E67C31">
            <w:pPr>
              <w:pStyle w:val="Tabelle-Text"/>
            </w:pPr>
            <w:r w:rsidRPr="007F11C8">
              <w:t>Risk impact assessments</w:t>
            </w:r>
          </w:p>
        </w:tc>
      </w:tr>
      <w:tr w:rsidR="00E67C31" w:rsidRPr="007F11C8" w14:paraId="0407FE2C" w14:textId="77777777" w:rsidTr="001153F4">
        <w:trPr>
          <w:trHeight w:val="227"/>
        </w:trPr>
        <w:tc>
          <w:tcPr>
            <w:tcW w:w="1207" w:type="pct"/>
            <w:gridSpan w:val="2"/>
            <w:noWrap/>
            <w:hideMark/>
          </w:tcPr>
          <w:p w14:paraId="4450A676" w14:textId="77777777" w:rsidR="00E67C31" w:rsidRPr="007F11C8" w:rsidRDefault="00E67C31" w:rsidP="00E67C31">
            <w:pPr>
              <w:pStyle w:val="Tabelle-Text"/>
            </w:pPr>
            <w:r w:rsidRPr="007F11C8">
              <w:t>TRADE2</w:t>
            </w:r>
          </w:p>
        </w:tc>
        <w:tc>
          <w:tcPr>
            <w:tcW w:w="3793" w:type="pct"/>
            <w:noWrap/>
            <w:hideMark/>
          </w:tcPr>
          <w:p w14:paraId="650ECE2A" w14:textId="77777777" w:rsidR="00E67C31" w:rsidRPr="007F11C8" w:rsidRDefault="00E67C31" w:rsidP="00E67C31">
            <w:pPr>
              <w:pStyle w:val="Tabelle-Text"/>
            </w:pPr>
            <w:r w:rsidRPr="007F11C8">
              <w:t>Protect regulatory capacity</w:t>
            </w:r>
          </w:p>
        </w:tc>
      </w:tr>
      <w:tr w:rsidR="00E67C31" w:rsidRPr="007F11C8" w14:paraId="62681E05" w14:textId="77777777" w:rsidTr="001153F4">
        <w:trPr>
          <w:trHeight w:val="227"/>
        </w:trPr>
        <w:tc>
          <w:tcPr>
            <w:tcW w:w="5000" w:type="pct"/>
            <w:gridSpan w:val="3"/>
            <w:noWrap/>
          </w:tcPr>
          <w:p w14:paraId="7B38B943" w14:textId="77777777" w:rsidR="00E67C31" w:rsidRPr="001153F4" w:rsidRDefault="00E67C31" w:rsidP="00E67C31">
            <w:pPr>
              <w:pStyle w:val="Tabelle-berschrift"/>
            </w:pPr>
            <w:r w:rsidRPr="001153F4">
              <w:t>Food sustainability</w:t>
            </w:r>
          </w:p>
          <w:p w14:paraId="41AE9A74" w14:textId="64B9403C" w:rsidR="00E67C31" w:rsidRPr="001153F4" w:rsidRDefault="00E67C31" w:rsidP="00E67C31">
            <w:pPr>
              <w:pStyle w:val="Tabelle-Text"/>
              <w:rPr>
                <w:i/>
                <w:iCs/>
              </w:rPr>
            </w:pPr>
            <w:r w:rsidRPr="001153F4">
              <w:rPr>
                <w:i/>
                <w:iCs/>
              </w:rPr>
              <w:t>Note: Domain name, changed after interview</w:t>
            </w:r>
          </w:p>
        </w:tc>
      </w:tr>
      <w:tr w:rsidR="00E67C31" w:rsidRPr="007F11C8" w14:paraId="11847E51" w14:textId="77777777" w:rsidTr="001153F4">
        <w:trPr>
          <w:trHeight w:val="227"/>
        </w:trPr>
        <w:tc>
          <w:tcPr>
            <w:tcW w:w="1207" w:type="pct"/>
            <w:gridSpan w:val="2"/>
            <w:noWrap/>
            <w:hideMark/>
          </w:tcPr>
          <w:p w14:paraId="4F548367" w14:textId="77777777" w:rsidR="00E67C31" w:rsidRPr="007F11C8" w:rsidRDefault="00E67C31" w:rsidP="00E67C31">
            <w:pPr>
              <w:pStyle w:val="Tabelle-Text"/>
            </w:pPr>
            <w:r w:rsidRPr="007F11C8">
              <w:t>WAST1</w:t>
            </w:r>
          </w:p>
        </w:tc>
        <w:tc>
          <w:tcPr>
            <w:tcW w:w="3793" w:type="pct"/>
            <w:noWrap/>
            <w:hideMark/>
          </w:tcPr>
          <w:p w14:paraId="7841DB3C" w14:textId="77777777" w:rsidR="00E67C31" w:rsidRPr="007F11C8" w:rsidRDefault="00E67C31" w:rsidP="00E67C31">
            <w:pPr>
              <w:pStyle w:val="Tabelle-Text"/>
            </w:pPr>
            <w:r w:rsidRPr="007F11C8">
              <w:t>Food waste</w:t>
            </w:r>
          </w:p>
        </w:tc>
      </w:tr>
      <w:tr w:rsidR="00E67C31" w:rsidRPr="007F11C8" w14:paraId="381A0F2D" w14:textId="77777777" w:rsidTr="00E67C31">
        <w:trPr>
          <w:trHeight w:val="227"/>
        </w:trPr>
        <w:tc>
          <w:tcPr>
            <w:tcW w:w="5000" w:type="pct"/>
            <w:gridSpan w:val="3"/>
            <w:shd w:val="clear" w:color="auto" w:fill="F2F2F2" w:themeFill="background1" w:themeFillShade="F2"/>
            <w:noWrap/>
          </w:tcPr>
          <w:p w14:paraId="22EEA419" w14:textId="77777777" w:rsidR="00E67C31" w:rsidRPr="001153F4" w:rsidRDefault="00E67C31" w:rsidP="00E67C31">
            <w:pPr>
              <w:pStyle w:val="Tabelle-berschrift"/>
            </w:pPr>
            <w:r w:rsidRPr="001153F4">
              <w:t>Infrastructure support</w:t>
            </w:r>
          </w:p>
        </w:tc>
      </w:tr>
      <w:tr w:rsidR="00E67C31" w:rsidRPr="007F11C8" w14:paraId="346719A2" w14:textId="77777777" w:rsidTr="001153F4">
        <w:trPr>
          <w:trHeight w:val="227"/>
        </w:trPr>
        <w:tc>
          <w:tcPr>
            <w:tcW w:w="5000" w:type="pct"/>
            <w:gridSpan w:val="3"/>
            <w:noWrap/>
            <w:hideMark/>
          </w:tcPr>
          <w:p w14:paraId="61D7F1E0" w14:textId="77777777" w:rsidR="00E67C31" w:rsidRPr="001153F4" w:rsidRDefault="00E67C31" w:rsidP="00E67C31">
            <w:pPr>
              <w:pStyle w:val="Tabelle-Text"/>
            </w:pPr>
            <w:r w:rsidRPr="001153F4">
              <w:t>Leadership</w:t>
            </w:r>
          </w:p>
        </w:tc>
      </w:tr>
      <w:tr w:rsidR="00E67C31" w:rsidRPr="007F11C8" w14:paraId="3663C72F" w14:textId="77777777" w:rsidTr="001153F4">
        <w:trPr>
          <w:trHeight w:val="227"/>
        </w:trPr>
        <w:tc>
          <w:tcPr>
            <w:tcW w:w="1194" w:type="pct"/>
            <w:noWrap/>
            <w:hideMark/>
          </w:tcPr>
          <w:p w14:paraId="724F2DF8" w14:textId="77777777" w:rsidR="00E67C31" w:rsidRPr="007F11C8" w:rsidRDefault="00E67C31" w:rsidP="00E67C31">
            <w:pPr>
              <w:pStyle w:val="Tabelle-Text"/>
            </w:pPr>
            <w:r w:rsidRPr="007F11C8">
              <w:t>LEAD1</w:t>
            </w:r>
          </w:p>
        </w:tc>
        <w:tc>
          <w:tcPr>
            <w:tcW w:w="3806" w:type="pct"/>
            <w:gridSpan w:val="2"/>
            <w:noWrap/>
            <w:hideMark/>
          </w:tcPr>
          <w:p w14:paraId="62A3864B" w14:textId="77777777" w:rsidR="00E67C31" w:rsidRPr="007F11C8" w:rsidRDefault="00E67C31" w:rsidP="00E67C31">
            <w:pPr>
              <w:pStyle w:val="Tabelle-Text"/>
            </w:pPr>
            <w:r w:rsidRPr="007F11C8">
              <w:t>Political support</w:t>
            </w:r>
          </w:p>
        </w:tc>
      </w:tr>
      <w:tr w:rsidR="00E67C31" w:rsidRPr="007F11C8" w14:paraId="2D940AB5" w14:textId="77777777" w:rsidTr="001153F4">
        <w:trPr>
          <w:trHeight w:val="227"/>
        </w:trPr>
        <w:tc>
          <w:tcPr>
            <w:tcW w:w="1194" w:type="pct"/>
            <w:noWrap/>
            <w:hideMark/>
          </w:tcPr>
          <w:p w14:paraId="2CDD2B0B" w14:textId="77777777" w:rsidR="00E67C31" w:rsidRPr="007F11C8" w:rsidRDefault="00E67C31" w:rsidP="00E67C31">
            <w:pPr>
              <w:pStyle w:val="Tabelle-Text"/>
            </w:pPr>
            <w:r w:rsidRPr="007F11C8">
              <w:t>LEAD2</w:t>
            </w:r>
          </w:p>
        </w:tc>
        <w:tc>
          <w:tcPr>
            <w:tcW w:w="3806" w:type="pct"/>
            <w:gridSpan w:val="2"/>
            <w:noWrap/>
            <w:hideMark/>
          </w:tcPr>
          <w:p w14:paraId="3BC91E16" w14:textId="77777777" w:rsidR="00E67C31" w:rsidRPr="007F11C8" w:rsidRDefault="00E67C31" w:rsidP="00E67C31">
            <w:pPr>
              <w:pStyle w:val="Tabelle-Text"/>
            </w:pPr>
            <w:r w:rsidRPr="007F11C8">
              <w:t>Population intake targets</w:t>
            </w:r>
          </w:p>
        </w:tc>
      </w:tr>
      <w:tr w:rsidR="00E67C31" w:rsidRPr="007F11C8" w14:paraId="6E662BB7" w14:textId="77777777" w:rsidTr="001153F4">
        <w:trPr>
          <w:trHeight w:val="227"/>
        </w:trPr>
        <w:tc>
          <w:tcPr>
            <w:tcW w:w="1194" w:type="pct"/>
            <w:noWrap/>
            <w:hideMark/>
          </w:tcPr>
          <w:p w14:paraId="236B9DFE" w14:textId="77777777" w:rsidR="00E67C31" w:rsidRPr="007F11C8" w:rsidRDefault="00E67C31" w:rsidP="00E67C31">
            <w:pPr>
              <w:pStyle w:val="Tabelle-Text"/>
            </w:pPr>
            <w:r w:rsidRPr="007F11C8">
              <w:t>LEAD3</w:t>
            </w:r>
          </w:p>
        </w:tc>
        <w:tc>
          <w:tcPr>
            <w:tcW w:w="3806" w:type="pct"/>
            <w:gridSpan w:val="2"/>
            <w:noWrap/>
            <w:hideMark/>
          </w:tcPr>
          <w:p w14:paraId="7298E3C0" w14:textId="77777777" w:rsidR="00E67C31" w:rsidRPr="007F11C8" w:rsidRDefault="00E67C31" w:rsidP="00E67C31">
            <w:pPr>
              <w:pStyle w:val="Tabelle-Text"/>
            </w:pPr>
            <w:r w:rsidRPr="007F11C8">
              <w:t>Food-based dietary guidelines</w:t>
            </w:r>
          </w:p>
        </w:tc>
      </w:tr>
      <w:tr w:rsidR="00E67C31" w:rsidRPr="007F11C8" w14:paraId="02A0477F" w14:textId="77777777" w:rsidTr="001153F4">
        <w:trPr>
          <w:trHeight w:val="227"/>
        </w:trPr>
        <w:tc>
          <w:tcPr>
            <w:tcW w:w="1194" w:type="pct"/>
            <w:noWrap/>
            <w:hideMark/>
          </w:tcPr>
          <w:p w14:paraId="60A80C21" w14:textId="77777777" w:rsidR="00E67C31" w:rsidRPr="007F11C8" w:rsidRDefault="00E67C31" w:rsidP="00E67C31">
            <w:pPr>
              <w:pStyle w:val="Tabelle-Text"/>
            </w:pPr>
            <w:r w:rsidRPr="007F11C8">
              <w:t>LEAD4</w:t>
            </w:r>
          </w:p>
        </w:tc>
        <w:tc>
          <w:tcPr>
            <w:tcW w:w="3806" w:type="pct"/>
            <w:gridSpan w:val="2"/>
            <w:noWrap/>
            <w:hideMark/>
          </w:tcPr>
          <w:p w14:paraId="29E6498C" w14:textId="77777777" w:rsidR="00E67C31" w:rsidRPr="007F11C8" w:rsidRDefault="00E67C31" w:rsidP="00E67C31">
            <w:pPr>
              <w:pStyle w:val="Tabelle-Text"/>
            </w:pPr>
            <w:r w:rsidRPr="007F11C8">
              <w:t>Implementation plan</w:t>
            </w:r>
          </w:p>
        </w:tc>
      </w:tr>
      <w:tr w:rsidR="00E67C31" w:rsidRPr="007F11C8" w14:paraId="5A7BC9D3" w14:textId="77777777" w:rsidTr="001153F4">
        <w:trPr>
          <w:trHeight w:val="227"/>
        </w:trPr>
        <w:tc>
          <w:tcPr>
            <w:tcW w:w="1194" w:type="pct"/>
            <w:noWrap/>
            <w:hideMark/>
          </w:tcPr>
          <w:p w14:paraId="59E37920" w14:textId="77777777" w:rsidR="00E67C31" w:rsidRPr="007F11C8" w:rsidRDefault="00E67C31" w:rsidP="00E67C31">
            <w:pPr>
              <w:pStyle w:val="Tabelle-Text"/>
            </w:pPr>
            <w:r w:rsidRPr="007F11C8">
              <w:t>LEAD5</w:t>
            </w:r>
          </w:p>
        </w:tc>
        <w:tc>
          <w:tcPr>
            <w:tcW w:w="3806" w:type="pct"/>
            <w:gridSpan w:val="2"/>
            <w:noWrap/>
            <w:hideMark/>
          </w:tcPr>
          <w:p w14:paraId="06AA9DFE" w14:textId="77777777" w:rsidR="00E67C31" w:rsidRPr="007F11C8" w:rsidRDefault="00E67C31" w:rsidP="00E67C31">
            <w:pPr>
              <w:pStyle w:val="Tabelle-Text"/>
            </w:pPr>
            <w:r w:rsidRPr="007F11C8">
              <w:t>Inequalities and vulnerable populations</w:t>
            </w:r>
          </w:p>
        </w:tc>
      </w:tr>
      <w:tr w:rsidR="00E67C31" w:rsidRPr="007F11C8" w14:paraId="7DB7EDE2" w14:textId="77777777" w:rsidTr="001153F4">
        <w:trPr>
          <w:trHeight w:val="227"/>
        </w:trPr>
        <w:tc>
          <w:tcPr>
            <w:tcW w:w="5000" w:type="pct"/>
            <w:gridSpan w:val="3"/>
            <w:noWrap/>
            <w:hideMark/>
          </w:tcPr>
          <w:p w14:paraId="59FA9877" w14:textId="77777777" w:rsidR="00E67C31" w:rsidRPr="001153F4" w:rsidRDefault="00E67C31" w:rsidP="00E67C31">
            <w:pPr>
              <w:pStyle w:val="Tabelle-berschrift"/>
            </w:pPr>
            <w:r w:rsidRPr="001153F4">
              <w:t>Governance</w:t>
            </w:r>
          </w:p>
        </w:tc>
      </w:tr>
      <w:tr w:rsidR="00E67C31" w:rsidRPr="007F11C8" w14:paraId="6F443146" w14:textId="77777777" w:rsidTr="001153F4">
        <w:trPr>
          <w:trHeight w:val="227"/>
        </w:trPr>
        <w:tc>
          <w:tcPr>
            <w:tcW w:w="1194" w:type="pct"/>
            <w:noWrap/>
            <w:hideMark/>
          </w:tcPr>
          <w:p w14:paraId="142E0372" w14:textId="77777777" w:rsidR="00E67C31" w:rsidRPr="007F11C8" w:rsidRDefault="00E67C31" w:rsidP="00E67C31">
            <w:pPr>
              <w:pStyle w:val="Tabelle-Text"/>
            </w:pPr>
            <w:r w:rsidRPr="007F11C8">
              <w:t xml:space="preserve">GOVER1 </w:t>
            </w:r>
          </w:p>
        </w:tc>
        <w:tc>
          <w:tcPr>
            <w:tcW w:w="3806" w:type="pct"/>
            <w:gridSpan w:val="2"/>
            <w:noWrap/>
            <w:hideMark/>
          </w:tcPr>
          <w:p w14:paraId="4446E822" w14:textId="77777777" w:rsidR="00E67C31" w:rsidRPr="007F11C8" w:rsidRDefault="00E67C31" w:rsidP="00E67C31">
            <w:pPr>
              <w:pStyle w:val="Tabelle-Text"/>
            </w:pPr>
            <w:r w:rsidRPr="007F11C8">
              <w:t>Commercial influences on policy making</w:t>
            </w:r>
          </w:p>
        </w:tc>
      </w:tr>
      <w:tr w:rsidR="00E67C31" w:rsidRPr="007F11C8" w14:paraId="09E53E4D" w14:textId="77777777" w:rsidTr="001153F4">
        <w:trPr>
          <w:trHeight w:val="227"/>
        </w:trPr>
        <w:tc>
          <w:tcPr>
            <w:tcW w:w="1194" w:type="pct"/>
            <w:noWrap/>
            <w:hideMark/>
          </w:tcPr>
          <w:p w14:paraId="26232ADD" w14:textId="77777777" w:rsidR="00E67C31" w:rsidRPr="007F11C8" w:rsidRDefault="00E67C31" w:rsidP="00E67C31">
            <w:pPr>
              <w:pStyle w:val="Tabelle-Text"/>
            </w:pPr>
            <w:r w:rsidRPr="007F11C8">
              <w:t>GOVER2</w:t>
            </w:r>
          </w:p>
        </w:tc>
        <w:tc>
          <w:tcPr>
            <w:tcW w:w="3806" w:type="pct"/>
            <w:gridSpan w:val="2"/>
            <w:noWrap/>
            <w:hideMark/>
          </w:tcPr>
          <w:p w14:paraId="2E30316F" w14:textId="77777777" w:rsidR="00E67C31" w:rsidRPr="007F11C8" w:rsidRDefault="00E67C31" w:rsidP="00E67C31">
            <w:pPr>
              <w:pStyle w:val="Tabelle-Text"/>
            </w:pPr>
            <w:r w:rsidRPr="007F11C8">
              <w:t>Use of evidence</w:t>
            </w:r>
          </w:p>
        </w:tc>
      </w:tr>
      <w:tr w:rsidR="00E67C31" w:rsidRPr="007F11C8" w14:paraId="10350C06" w14:textId="77777777" w:rsidTr="001153F4">
        <w:trPr>
          <w:trHeight w:val="227"/>
        </w:trPr>
        <w:tc>
          <w:tcPr>
            <w:tcW w:w="1194" w:type="pct"/>
            <w:noWrap/>
            <w:hideMark/>
          </w:tcPr>
          <w:p w14:paraId="3A93D4AF" w14:textId="77777777" w:rsidR="00E67C31" w:rsidRPr="007F11C8" w:rsidRDefault="00E67C31" w:rsidP="00E67C31">
            <w:pPr>
              <w:pStyle w:val="Tabelle-Text"/>
            </w:pPr>
            <w:r w:rsidRPr="007F11C8">
              <w:t>GOVER3</w:t>
            </w:r>
          </w:p>
        </w:tc>
        <w:tc>
          <w:tcPr>
            <w:tcW w:w="3806" w:type="pct"/>
            <w:gridSpan w:val="2"/>
            <w:noWrap/>
            <w:hideMark/>
          </w:tcPr>
          <w:p w14:paraId="545306B4" w14:textId="77777777" w:rsidR="00E67C31" w:rsidRPr="007F11C8" w:rsidRDefault="00E67C31" w:rsidP="00E67C31">
            <w:pPr>
              <w:pStyle w:val="Tabelle-Text"/>
            </w:pPr>
            <w:r w:rsidRPr="007F11C8">
              <w:t>Transparency</w:t>
            </w:r>
          </w:p>
        </w:tc>
      </w:tr>
      <w:tr w:rsidR="00E67C31" w:rsidRPr="007F11C8" w14:paraId="32BA76F4" w14:textId="77777777" w:rsidTr="001153F4">
        <w:trPr>
          <w:trHeight w:val="227"/>
        </w:trPr>
        <w:tc>
          <w:tcPr>
            <w:tcW w:w="1194" w:type="pct"/>
            <w:noWrap/>
            <w:hideMark/>
          </w:tcPr>
          <w:p w14:paraId="5E1AF37B" w14:textId="77777777" w:rsidR="00E67C31" w:rsidRPr="007F11C8" w:rsidRDefault="00E67C31" w:rsidP="00E67C31">
            <w:pPr>
              <w:pStyle w:val="Tabelle-Text"/>
            </w:pPr>
            <w:r w:rsidRPr="007F11C8">
              <w:t>GOVER4</w:t>
            </w:r>
          </w:p>
        </w:tc>
        <w:tc>
          <w:tcPr>
            <w:tcW w:w="3806" w:type="pct"/>
            <w:gridSpan w:val="2"/>
            <w:noWrap/>
            <w:hideMark/>
          </w:tcPr>
          <w:p w14:paraId="4AFBA374" w14:textId="77777777" w:rsidR="00E67C31" w:rsidRPr="007F11C8" w:rsidRDefault="00E67C31" w:rsidP="00E67C31">
            <w:pPr>
              <w:pStyle w:val="Tabelle-Text"/>
            </w:pPr>
            <w:r w:rsidRPr="007F11C8">
              <w:t>Access to information</w:t>
            </w:r>
          </w:p>
        </w:tc>
      </w:tr>
      <w:tr w:rsidR="00E67C31" w:rsidRPr="007F11C8" w14:paraId="55F50F27" w14:textId="77777777" w:rsidTr="001153F4">
        <w:trPr>
          <w:trHeight w:val="227"/>
        </w:trPr>
        <w:tc>
          <w:tcPr>
            <w:tcW w:w="5000" w:type="pct"/>
            <w:gridSpan w:val="3"/>
            <w:noWrap/>
            <w:hideMark/>
          </w:tcPr>
          <w:p w14:paraId="36723201" w14:textId="77777777" w:rsidR="00E67C31" w:rsidRPr="001153F4" w:rsidRDefault="00E67C31" w:rsidP="00E67C31">
            <w:pPr>
              <w:pStyle w:val="Tabelle-berschrift"/>
            </w:pPr>
            <w:r w:rsidRPr="001153F4">
              <w:t>Monitoring and intelligence</w:t>
            </w:r>
          </w:p>
        </w:tc>
      </w:tr>
      <w:tr w:rsidR="00E67C31" w:rsidRPr="007F11C8" w14:paraId="1F2E956B" w14:textId="77777777" w:rsidTr="001153F4">
        <w:trPr>
          <w:trHeight w:val="227"/>
        </w:trPr>
        <w:tc>
          <w:tcPr>
            <w:tcW w:w="1194" w:type="pct"/>
            <w:noWrap/>
            <w:hideMark/>
          </w:tcPr>
          <w:p w14:paraId="35532D40" w14:textId="77777777" w:rsidR="00E67C31" w:rsidRPr="007F11C8" w:rsidRDefault="00E67C31" w:rsidP="00E67C31">
            <w:pPr>
              <w:pStyle w:val="Tabelle-Text"/>
            </w:pPr>
            <w:r w:rsidRPr="007F11C8">
              <w:t>MONIT1</w:t>
            </w:r>
          </w:p>
        </w:tc>
        <w:tc>
          <w:tcPr>
            <w:tcW w:w="3806" w:type="pct"/>
            <w:gridSpan w:val="2"/>
            <w:noWrap/>
            <w:hideMark/>
          </w:tcPr>
          <w:p w14:paraId="52FBC12C" w14:textId="77777777" w:rsidR="00E67C31" w:rsidRPr="007F11C8" w:rsidRDefault="00E67C31" w:rsidP="00E67C31">
            <w:pPr>
              <w:pStyle w:val="Tabelle-Text"/>
            </w:pPr>
            <w:r w:rsidRPr="007F11C8">
              <w:t>Food environments</w:t>
            </w:r>
          </w:p>
        </w:tc>
      </w:tr>
      <w:tr w:rsidR="00E67C31" w:rsidRPr="007F11C8" w14:paraId="0FCF6F91" w14:textId="77777777" w:rsidTr="001153F4">
        <w:trPr>
          <w:trHeight w:val="227"/>
        </w:trPr>
        <w:tc>
          <w:tcPr>
            <w:tcW w:w="1194" w:type="pct"/>
            <w:noWrap/>
            <w:hideMark/>
          </w:tcPr>
          <w:p w14:paraId="5926FAF1" w14:textId="77777777" w:rsidR="00E67C31" w:rsidRPr="007F11C8" w:rsidRDefault="00E67C31" w:rsidP="00E67C31">
            <w:pPr>
              <w:pStyle w:val="Tabelle-Text"/>
            </w:pPr>
            <w:r w:rsidRPr="007F11C8">
              <w:t>MONIT2</w:t>
            </w:r>
          </w:p>
        </w:tc>
        <w:tc>
          <w:tcPr>
            <w:tcW w:w="3806" w:type="pct"/>
            <w:gridSpan w:val="2"/>
            <w:noWrap/>
            <w:hideMark/>
          </w:tcPr>
          <w:p w14:paraId="4775DDEC" w14:textId="77777777" w:rsidR="00E67C31" w:rsidRPr="007F11C8" w:rsidRDefault="00E67C31" w:rsidP="00E67C31">
            <w:pPr>
              <w:pStyle w:val="Tabelle-Text"/>
            </w:pPr>
            <w:r w:rsidRPr="007F11C8">
              <w:t>Nutrition and health status (incl. overweight, obesity and NCDs)</w:t>
            </w:r>
          </w:p>
        </w:tc>
      </w:tr>
      <w:tr w:rsidR="00E67C31" w:rsidRPr="007F11C8" w14:paraId="322B7872" w14:textId="77777777" w:rsidTr="001153F4">
        <w:trPr>
          <w:trHeight w:val="227"/>
        </w:trPr>
        <w:tc>
          <w:tcPr>
            <w:tcW w:w="1194" w:type="pct"/>
            <w:noWrap/>
            <w:hideMark/>
          </w:tcPr>
          <w:p w14:paraId="23F7D66F" w14:textId="77777777" w:rsidR="00E67C31" w:rsidRPr="007F11C8" w:rsidRDefault="00E67C31" w:rsidP="00E67C31">
            <w:pPr>
              <w:pStyle w:val="Tabelle-Text"/>
            </w:pPr>
            <w:r w:rsidRPr="007F11C8">
              <w:lastRenderedPageBreak/>
              <w:t>MOINT5</w:t>
            </w:r>
          </w:p>
        </w:tc>
        <w:tc>
          <w:tcPr>
            <w:tcW w:w="3806" w:type="pct"/>
            <w:gridSpan w:val="2"/>
            <w:noWrap/>
            <w:hideMark/>
          </w:tcPr>
          <w:p w14:paraId="75EA221C" w14:textId="77777777" w:rsidR="00E67C31" w:rsidRPr="007F11C8" w:rsidRDefault="00E67C31" w:rsidP="00E67C31">
            <w:pPr>
              <w:pStyle w:val="Tabelle-Text"/>
            </w:pPr>
            <w:r w:rsidRPr="007F11C8">
              <w:t>Programs and policies</w:t>
            </w:r>
          </w:p>
        </w:tc>
      </w:tr>
      <w:tr w:rsidR="00E67C31" w:rsidRPr="007F11C8" w14:paraId="0ACD0D6F" w14:textId="77777777" w:rsidTr="001153F4">
        <w:trPr>
          <w:trHeight w:val="227"/>
        </w:trPr>
        <w:tc>
          <w:tcPr>
            <w:tcW w:w="1194" w:type="pct"/>
            <w:noWrap/>
            <w:hideMark/>
          </w:tcPr>
          <w:p w14:paraId="48B87306" w14:textId="77777777" w:rsidR="00E67C31" w:rsidRPr="007F11C8" w:rsidRDefault="00E67C31" w:rsidP="00E67C31">
            <w:pPr>
              <w:pStyle w:val="Tabelle-Text"/>
            </w:pPr>
            <w:r w:rsidRPr="007F11C8">
              <w:t>MONIT4</w:t>
            </w:r>
          </w:p>
        </w:tc>
        <w:tc>
          <w:tcPr>
            <w:tcW w:w="3806" w:type="pct"/>
            <w:gridSpan w:val="2"/>
            <w:noWrap/>
            <w:hideMark/>
          </w:tcPr>
          <w:p w14:paraId="67217D33" w14:textId="77777777" w:rsidR="00E67C31" w:rsidRPr="007F11C8" w:rsidRDefault="00E67C31" w:rsidP="00E67C31">
            <w:pPr>
              <w:pStyle w:val="Tabelle-Text"/>
            </w:pPr>
            <w:r w:rsidRPr="007F11C8">
              <w:t>MONIT6</w:t>
            </w:r>
          </w:p>
        </w:tc>
      </w:tr>
      <w:tr w:rsidR="00E67C31" w:rsidRPr="007F11C8" w14:paraId="46D85784" w14:textId="77777777" w:rsidTr="001153F4">
        <w:trPr>
          <w:trHeight w:val="227"/>
        </w:trPr>
        <w:tc>
          <w:tcPr>
            <w:tcW w:w="1194" w:type="pct"/>
            <w:noWrap/>
          </w:tcPr>
          <w:p w14:paraId="7789111F" w14:textId="77777777" w:rsidR="00E67C31" w:rsidRPr="007F11C8" w:rsidRDefault="00E67C31" w:rsidP="00E67C31">
            <w:pPr>
              <w:pStyle w:val="Tabelle-Text"/>
            </w:pPr>
            <w:r w:rsidRPr="007F11C8">
              <w:t>MONIT7</w:t>
            </w:r>
          </w:p>
        </w:tc>
        <w:tc>
          <w:tcPr>
            <w:tcW w:w="3806" w:type="pct"/>
            <w:gridSpan w:val="2"/>
            <w:noWrap/>
          </w:tcPr>
          <w:p w14:paraId="6062BC22" w14:textId="77777777" w:rsidR="00E67C31" w:rsidRPr="007F11C8" w:rsidRDefault="00E67C31" w:rsidP="00E67C31">
            <w:pPr>
              <w:pStyle w:val="Tabelle-Text"/>
            </w:pPr>
            <w:r w:rsidRPr="007F11C8">
              <w:t>Environmental impact of the food system</w:t>
            </w:r>
          </w:p>
        </w:tc>
      </w:tr>
      <w:tr w:rsidR="00E67C31" w:rsidRPr="007F11C8" w14:paraId="100E5D65" w14:textId="77777777" w:rsidTr="001153F4">
        <w:trPr>
          <w:trHeight w:val="227"/>
        </w:trPr>
        <w:tc>
          <w:tcPr>
            <w:tcW w:w="5000" w:type="pct"/>
            <w:gridSpan w:val="3"/>
            <w:noWrap/>
          </w:tcPr>
          <w:p w14:paraId="74A243C2" w14:textId="77777777" w:rsidR="00E67C31" w:rsidRPr="001153F4" w:rsidRDefault="00E67C31" w:rsidP="00E67C31">
            <w:pPr>
              <w:pStyle w:val="Tabelle-berschrift"/>
            </w:pPr>
            <w:r w:rsidRPr="001153F4">
              <w:t>Funding and resources</w:t>
            </w:r>
          </w:p>
        </w:tc>
      </w:tr>
      <w:tr w:rsidR="00E67C31" w:rsidRPr="007F11C8" w14:paraId="7CD244A2" w14:textId="77777777" w:rsidTr="001153F4">
        <w:trPr>
          <w:trHeight w:val="227"/>
        </w:trPr>
        <w:tc>
          <w:tcPr>
            <w:tcW w:w="1194" w:type="pct"/>
            <w:noWrap/>
          </w:tcPr>
          <w:p w14:paraId="12219F2C" w14:textId="77777777" w:rsidR="00E67C31" w:rsidRPr="007F11C8" w:rsidRDefault="00E67C31" w:rsidP="00E67C31">
            <w:pPr>
              <w:pStyle w:val="Tabelle-Text"/>
            </w:pPr>
            <w:r w:rsidRPr="007F11C8">
              <w:t>FUND1</w:t>
            </w:r>
          </w:p>
        </w:tc>
        <w:tc>
          <w:tcPr>
            <w:tcW w:w="3806" w:type="pct"/>
            <w:gridSpan w:val="2"/>
            <w:noWrap/>
          </w:tcPr>
          <w:p w14:paraId="2EE4064B" w14:textId="68DB3A8C" w:rsidR="00E67C31" w:rsidRPr="007F11C8" w:rsidRDefault="00941F20" w:rsidP="00E67C31">
            <w:pPr>
              <w:pStyle w:val="Tabelle-Text"/>
            </w:pPr>
            <w:r>
              <w:t>Budget</w:t>
            </w:r>
          </w:p>
        </w:tc>
      </w:tr>
      <w:tr w:rsidR="00E67C31" w:rsidRPr="007F11C8" w14:paraId="7199E3CF" w14:textId="77777777" w:rsidTr="001153F4">
        <w:trPr>
          <w:trHeight w:val="227"/>
        </w:trPr>
        <w:tc>
          <w:tcPr>
            <w:tcW w:w="1194" w:type="pct"/>
            <w:noWrap/>
            <w:hideMark/>
          </w:tcPr>
          <w:p w14:paraId="299FEF71" w14:textId="77777777" w:rsidR="00E67C31" w:rsidRPr="007F11C8" w:rsidRDefault="00E67C31" w:rsidP="00E67C31">
            <w:pPr>
              <w:pStyle w:val="Tabelle-Text"/>
            </w:pPr>
            <w:r w:rsidRPr="007F11C8">
              <w:t>FUND2</w:t>
            </w:r>
          </w:p>
        </w:tc>
        <w:tc>
          <w:tcPr>
            <w:tcW w:w="3806" w:type="pct"/>
            <w:gridSpan w:val="2"/>
          </w:tcPr>
          <w:p w14:paraId="77B18DCD" w14:textId="77777777" w:rsidR="00E67C31" w:rsidRPr="007F11C8" w:rsidRDefault="00E67C31" w:rsidP="00E67C31">
            <w:pPr>
              <w:pStyle w:val="Tabelle-Text"/>
            </w:pPr>
            <w:r w:rsidRPr="007F11C8">
              <w:t>Government funded research</w:t>
            </w:r>
          </w:p>
        </w:tc>
      </w:tr>
      <w:tr w:rsidR="00E67C31" w:rsidRPr="007F11C8" w14:paraId="1AFEDA1F" w14:textId="77777777" w:rsidTr="001153F4">
        <w:trPr>
          <w:trHeight w:val="227"/>
        </w:trPr>
        <w:tc>
          <w:tcPr>
            <w:tcW w:w="1194" w:type="pct"/>
            <w:noWrap/>
          </w:tcPr>
          <w:p w14:paraId="37C58398" w14:textId="77777777" w:rsidR="00E67C31" w:rsidRPr="007F11C8" w:rsidRDefault="00E67C31" w:rsidP="00E67C31">
            <w:pPr>
              <w:pStyle w:val="Tabelle-Text"/>
            </w:pPr>
            <w:r w:rsidRPr="007F11C8">
              <w:t>FUND3</w:t>
            </w:r>
          </w:p>
        </w:tc>
        <w:tc>
          <w:tcPr>
            <w:tcW w:w="3806" w:type="pct"/>
            <w:gridSpan w:val="2"/>
            <w:noWrap/>
          </w:tcPr>
          <w:p w14:paraId="2F5640C0" w14:textId="77777777" w:rsidR="00E67C31" w:rsidRPr="007F11C8" w:rsidRDefault="00E67C31" w:rsidP="00E67C31">
            <w:pPr>
              <w:pStyle w:val="Tabelle-Text"/>
            </w:pPr>
            <w:r w:rsidRPr="007F11C8">
              <w:t>Statutory health promotion agency</w:t>
            </w:r>
          </w:p>
        </w:tc>
      </w:tr>
      <w:tr w:rsidR="00E67C31" w:rsidRPr="007F11C8" w14:paraId="0599636B" w14:textId="77777777" w:rsidTr="001153F4">
        <w:trPr>
          <w:trHeight w:val="227"/>
        </w:trPr>
        <w:tc>
          <w:tcPr>
            <w:tcW w:w="5000" w:type="pct"/>
            <w:gridSpan w:val="3"/>
            <w:noWrap/>
          </w:tcPr>
          <w:p w14:paraId="3E029EF8" w14:textId="77777777" w:rsidR="00E67C31" w:rsidRPr="001153F4" w:rsidRDefault="00E67C31" w:rsidP="00E67C31">
            <w:pPr>
              <w:pStyle w:val="Tabelle-berschrift"/>
            </w:pPr>
            <w:r w:rsidRPr="001153F4">
              <w:t>Platforms for interaction</w:t>
            </w:r>
          </w:p>
        </w:tc>
      </w:tr>
      <w:tr w:rsidR="00E67C31" w:rsidRPr="007F11C8" w14:paraId="31FCC3A1" w14:textId="77777777" w:rsidTr="001153F4">
        <w:trPr>
          <w:trHeight w:val="227"/>
        </w:trPr>
        <w:tc>
          <w:tcPr>
            <w:tcW w:w="1194" w:type="pct"/>
            <w:noWrap/>
          </w:tcPr>
          <w:p w14:paraId="6887B2BF" w14:textId="77777777" w:rsidR="00E67C31" w:rsidRPr="007F11C8" w:rsidRDefault="00E67C31" w:rsidP="00E67C31">
            <w:pPr>
              <w:pStyle w:val="Tabelle-Text"/>
            </w:pPr>
            <w:r w:rsidRPr="007F11C8">
              <w:t>PLAT1</w:t>
            </w:r>
          </w:p>
        </w:tc>
        <w:tc>
          <w:tcPr>
            <w:tcW w:w="3806" w:type="pct"/>
            <w:gridSpan w:val="2"/>
            <w:noWrap/>
          </w:tcPr>
          <w:p w14:paraId="38E1300A" w14:textId="1D68163D" w:rsidR="00E67C31" w:rsidRPr="007F11C8" w:rsidRDefault="00941F20" w:rsidP="00E67C31">
            <w:pPr>
              <w:pStyle w:val="Tabelle-Text"/>
            </w:pPr>
            <w:r w:rsidRPr="00941F20">
              <w:t>Across government departments and levels</w:t>
            </w:r>
          </w:p>
        </w:tc>
      </w:tr>
      <w:tr w:rsidR="00E67C31" w:rsidRPr="007F11C8" w14:paraId="06FE4327" w14:textId="77777777" w:rsidTr="001153F4">
        <w:trPr>
          <w:trHeight w:val="227"/>
        </w:trPr>
        <w:tc>
          <w:tcPr>
            <w:tcW w:w="1194" w:type="pct"/>
            <w:noWrap/>
            <w:hideMark/>
          </w:tcPr>
          <w:p w14:paraId="48E9C2B7" w14:textId="77777777" w:rsidR="00E67C31" w:rsidRPr="007F11C8" w:rsidRDefault="00E67C31" w:rsidP="00E67C31">
            <w:pPr>
              <w:pStyle w:val="Tabelle-Text"/>
            </w:pPr>
            <w:r w:rsidRPr="007F11C8">
              <w:t xml:space="preserve">PLAT2 </w:t>
            </w:r>
          </w:p>
        </w:tc>
        <w:tc>
          <w:tcPr>
            <w:tcW w:w="3806" w:type="pct"/>
            <w:gridSpan w:val="2"/>
          </w:tcPr>
          <w:p w14:paraId="4ADFCE68" w14:textId="77777777" w:rsidR="00E67C31" w:rsidRPr="007F11C8" w:rsidRDefault="00E67C31" w:rsidP="00E67C31">
            <w:pPr>
              <w:pStyle w:val="Tabelle-Text"/>
            </w:pPr>
            <w:r w:rsidRPr="007F11C8">
              <w:t>Government and the commercial food sector</w:t>
            </w:r>
          </w:p>
        </w:tc>
      </w:tr>
      <w:tr w:rsidR="00E67C31" w:rsidRPr="007F11C8" w14:paraId="08BF7905" w14:textId="77777777" w:rsidTr="001153F4">
        <w:trPr>
          <w:trHeight w:val="227"/>
        </w:trPr>
        <w:tc>
          <w:tcPr>
            <w:tcW w:w="1194" w:type="pct"/>
            <w:noWrap/>
          </w:tcPr>
          <w:p w14:paraId="6362DAB3" w14:textId="77777777" w:rsidR="00E67C31" w:rsidRPr="007F11C8" w:rsidRDefault="00E67C31" w:rsidP="00E67C31">
            <w:pPr>
              <w:pStyle w:val="Tabelle-Text"/>
            </w:pPr>
            <w:r w:rsidRPr="007F11C8">
              <w:t>PLAT3</w:t>
            </w:r>
          </w:p>
        </w:tc>
        <w:tc>
          <w:tcPr>
            <w:tcW w:w="3806" w:type="pct"/>
            <w:gridSpan w:val="2"/>
            <w:noWrap/>
          </w:tcPr>
          <w:p w14:paraId="626CF352" w14:textId="77777777" w:rsidR="00E67C31" w:rsidRPr="007F11C8" w:rsidRDefault="00E67C31" w:rsidP="00E67C31">
            <w:pPr>
              <w:pStyle w:val="Tabelle-Text"/>
            </w:pPr>
            <w:r w:rsidRPr="007F11C8">
              <w:t>Government and civil society</w:t>
            </w:r>
          </w:p>
        </w:tc>
      </w:tr>
      <w:tr w:rsidR="00E67C31" w:rsidRPr="007F11C8" w14:paraId="75273FAC" w14:textId="77777777" w:rsidTr="001153F4">
        <w:trPr>
          <w:trHeight w:val="227"/>
        </w:trPr>
        <w:tc>
          <w:tcPr>
            <w:tcW w:w="1194" w:type="pct"/>
            <w:noWrap/>
          </w:tcPr>
          <w:p w14:paraId="34925B55" w14:textId="77777777" w:rsidR="00E67C31" w:rsidRPr="007F11C8" w:rsidRDefault="00E67C31" w:rsidP="00E67C31">
            <w:pPr>
              <w:pStyle w:val="Tabelle-Text"/>
            </w:pPr>
            <w:r w:rsidRPr="007F11C8">
              <w:t>PLAT4</w:t>
            </w:r>
          </w:p>
        </w:tc>
        <w:tc>
          <w:tcPr>
            <w:tcW w:w="3806" w:type="pct"/>
            <w:gridSpan w:val="2"/>
            <w:noWrap/>
          </w:tcPr>
          <w:p w14:paraId="6DC68D4A" w14:textId="77777777" w:rsidR="00E67C31" w:rsidRPr="007F11C8" w:rsidRDefault="00E67C31" w:rsidP="00E67C31">
            <w:pPr>
              <w:pStyle w:val="Tabelle-Text"/>
            </w:pPr>
            <w:r w:rsidRPr="007F11C8">
              <w:t>Systems-based approach</w:t>
            </w:r>
          </w:p>
        </w:tc>
      </w:tr>
      <w:tr w:rsidR="00E67C31" w:rsidRPr="007F11C8" w14:paraId="0E5F3F93" w14:textId="77777777" w:rsidTr="001153F4">
        <w:trPr>
          <w:trHeight w:val="227"/>
        </w:trPr>
        <w:tc>
          <w:tcPr>
            <w:tcW w:w="1194" w:type="pct"/>
            <w:noWrap/>
          </w:tcPr>
          <w:p w14:paraId="7DC2A9FC" w14:textId="77777777" w:rsidR="00E67C31" w:rsidRPr="007F11C8" w:rsidRDefault="00E67C31" w:rsidP="00E67C31">
            <w:pPr>
              <w:pStyle w:val="Tabelle-Text"/>
            </w:pPr>
            <w:r w:rsidRPr="007F11C8">
              <w:t>PLAT5</w:t>
            </w:r>
          </w:p>
        </w:tc>
        <w:tc>
          <w:tcPr>
            <w:tcW w:w="3806" w:type="pct"/>
            <w:gridSpan w:val="2"/>
            <w:noWrap/>
          </w:tcPr>
          <w:p w14:paraId="3000162B" w14:textId="77777777" w:rsidR="00E67C31" w:rsidRPr="007F11C8" w:rsidRDefault="00E67C31" w:rsidP="00E67C31">
            <w:pPr>
              <w:pStyle w:val="Tabelle-Text"/>
            </w:pPr>
            <w:r w:rsidRPr="007F11C8">
              <w:t>Municipal initiatives</w:t>
            </w:r>
          </w:p>
        </w:tc>
      </w:tr>
      <w:tr w:rsidR="00E67C31" w:rsidRPr="007F11C8" w14:paraId="389CBEF5" w14:textId="77777777" w:rsidTr="001153F4">
        <w:trPr>
          <w:trHeight w:val="227"/>
        </w:trPr>
        <w:tc>
          <w:tcPr>
            <w:tcW w:w="5000" w:type="pct"/>
            <w:gridSpan w:val="3"/>
            <w:noWrap/>
          </w:tcPr>
          <w:p w14:paraId="7716969B" w14:textId="77777777" w:rsidR="00E67C31" w:rsidRPr="001153F4" w:rsidRDefault="00E67C31" w:rsidP="00E67C31">
            <w:pPr>
              <w:pStyle w:val="Tabelle-berschrift"/>
            </w:pPr>
            <w:r w:rsidRPr="001153F4">
              <w:t>Health in all policies</w:t>
            </w:r>
          </w:p>
        </w:tc>
      </w:tr>
      <w:tr w:rsidR="00E67C31" w:rsidRPr="007F11C8" w14:paraId="2345897D" w14:textId="77777777" w:rsidTr="001153F4">
        <w:trPr>
          <w:trHeight w:val="227"/>
        </w:trPr>
        <w:tc>
          <w:tcPr>
            <w:tcW w:w="1194" w:type="pct"/>
            <w:noWrap/>
          </w:tcPr>
          <w:p w14:paraId="70568036" w14:textId="77777777" w:rsidR="00E67C31" w:rsidRPr="007F11C8" w:rsidRDefault="00E67C31" w:rsidP="00E67C31">
            <w:pPr>
              <w:pStyle w:val="Tabelle-Text"/>
            </w:pPr>
            <w:r w:rsidRPr="007F11C8">
              <w:t>HIAP1</w:t>
            </w:r>
          </w:p>
        </w:tc>
        <w:tc>
          <w:tcPr>
            <w:tcW w:w="3806" w:type="pct"/>
            <w:gridSpan w:val="2"/>
            <w:noWrap/>
          </w:tcPr>
          <w:p w14:paraId="41819532" w14:textId="77777777" w:rsidR="00E67C31" w:rsidRPr="007F11C8" w:rsidRDefault="00E67C31" w:rsidP="00E67C31">
            <w:pPr>
              <w:pStyle w:val="Tabelle-Text"/>
            </w:pPr>
            <w:r w:rsidRPr="007F11C8">
              <w:t>Consideration in all government policies</w:t>
            </w:r>
          </w:p>
        </w:tc>
      </w:tr>
      <w:tr w:rsidR="00E67C31" w:rsidRPr="007F11C8" w14:paraId="6A794D3A" w14:textId="77777777" w:rsidTr="001153F4">
        <w:trPr>
          <w:trHeight w:val="227"/>
        </w:trPr>
        <w:tc>
          <w:tcPr>
            <w:tcW w:w="1194" w:type="pct"/>
            <w:noWrap/>
          </w:tcPr>
          <w:p w14:paraId="3DB85095" w14:textId="77777777" w:rsidR="00E67C31" w:rsidRPr="007F11C8" w:rsidRDefault="00E67C31" w:rsidP="00E67C31">
            <w:pPr>
              <w:pStyle w:val="Tabelle-Text"/>
            </w:pPr>
            <w:r w:rsidRPr="007F11C8">
              <w:t>HIAP2</w:t>
            </w:r>
          </w:p>
        </w:tc>
        <w:tc>
          <w:tcPr>
            <w:tcW w:w="3806" w:type="pct"/>
            <w:gridSpan w:val="2"/>
          </w:tcPr>
          <w:p w14:paraId="62F84B9A" w14:textId="77777777" w:rsidR="00E67C31" w:rsidRPr="007F11C8" w:rsidRDefault="00E67C31" w:rsidP="00E67C31">
            <w:pPr>
              <w:pStyle w:val="Tabelle-Text"/>
            </w:pPr>
            <w:r w:rsidRPr="007F11C8">
              <w:t xml:space="preserve">Health impact assessment  </w:t>
            </w:r>
          </w:p>
        </w:tc>
      </w:tr>
    </w:tbl>
    <w:p w14:paraId="4B8232DB" w14:textId="77777777" w:rsidR="007F11C8" w:rsidRPr="007F11C8" w:rsidRDefault="007F11C8" w:rsidP="001E40B4"/>
    <w:p w14:paraId="3A70A045" w14:textId="5B698198" w:rsidR="00DB5A1D" w:rsidRPr="00FC2735" w:rsidRDefault="001E40B4" w:rsidP="00C161CF">
      <w:pPr>
        <w:pStyle w:val="berschrift2"/>
      </w:pPr>
      <w:bookmarkStart w:id="22" w:name="_Toc221783965"/>
      <w:r>
        <w:t>Expert consultations</w:t>
      </w:r>
      <w:bookmarkEnd w:id="22"/>
    </w:p>
    <w:p w14:paraId="0E00535F" w14:textId="1D1D3ACF" w:rsidR="00FC2735" w:rsidRPr="00FC2735" w:rsidRDefault="00E30A0D" w:rsidP="001E40B4">
      <w:pPr>
        <w:rPr>
          <w:noProof/>
        </w:rPr>
      </w:pPr>
      <w:r>
        <w:rPr>
          <w:noProof/>
        </w:rPr>
        <w:t>The original workshop</w:t>
      </w:r>
      <w:r w:rsidR="00AB0C07" w:rsidRPr="00FC2735">
        <w:rPr>
          <w:noProof/>
        </w:rPr>
        <w:t xml:space="preserve"> document </w:t>
      </w:r>
      <w:r>
        <w:rPr>
          <w:noProof/>
        </w:rPr>
        <w:t xml:space="preserve">is a PowerPoint presentation. It was </w:t>
      </w:r>
      <w:r w:rsidR="00AB0C07" w:rsidRPr="00FC2735">
        <w:rPr>
          <w:noProof/>
        </w:rPr>
        <w:t>translated from German using the online translation service DeepL</w:t>
      </w:r>
      <w:r>
        <w:rPr>
          <w:noProof/>
        </w:rPr>
        <w:t xml:space="preserve"> (see screenshots)</w:t>
      </w:r>
      <w:r w:rsidR="00AB0C07" w:rsidRPr="00FC2735">
        <w:rPr>
          <w:noProof/>
        </w:rPr>
        <w:t xml:space="preserve">. Translations were afterwards verified by the authors. </w:t>
      </w:r>
    </w:p>
    <w:p w14:paraId="67FCE5AA" w14:textId="3FC09208" w:rsidR="00391C70" w:rsidRDefault="00EF6162" w:rsidP="001E40B4">
      <w:r>
        <w:rPr>
          <w:noProof/>
        </w:rPr>
        <w:lastRenderedPageBreak/>
        <mc:AlternateContent>
          <mc:Choice Requires="wps">
            <w:drawing>
              <wp:anchor distT="0" distB="0" distL="114300" distR="114300" simplePos="0" relativeHeight="251659264" behindDoc="0" locked="0" layoutInCell="1" allowOverlap="1" wp14:anchorId="59AF1FCF" wp14:editId="71BD7192">
                <wp:simplePos x="0" y="0"/>
                <wp:positionH relativeFrom="column">
                  <wp:posOffset>281066</wp:posOffset>
                </wp:positionH>
                <wp:positionV relativeFrom="paragraph">
                  <wp:posOffset>2643359</wp:posOffset>
                </wp:positionV>
                <wp:extent cx="1701383" cy="502171"/>
                <wp:effectExtent l="0" t="0" r="635" b="6350"/>
                <wp:wrapNone/>
                <wp:docPr id="1505854370" name="Rechteck 1"/>
                <wp:cNvGraphicFramePr/>
                <a:graphic xmlns:a="http://schemas.openxmlformats.org/drawingml/2006/main">
                  <a:graphicData uri="http://schemas.microsoft.com/office/word/2010/wordprocessingShape">
                    <wps:wsp>
                      <wps:cNvSpPr/>
                      <wps:spPr>
                        <a:xfrm>
                          <a:off x="0" y="0"/>
                          <a:ext cx="1701383" cy="502171"/>
                        </a:xfrm>
                        <a:prstGeom prst="rect">
                          <a:avLst/>
                        </a:prstGeom>
                        <a:solidFill>
                          <a:srgbClr val="036C66"/>
                        </a:solidFill>
                        <a:ln w="6350" cap="sq">
                          <a:no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E57B8" id="Rechteck 1" o:spid="_x0000_s1026" style="position:absolute;margin-left:22.15pt;margin-top:208.15pt;width:133.95pt;height:3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" fillcolor="#036c66" stroked="f" strokeweight=".5pt">
                <v:stroke endcap="square"/>
              </v:rect>
            </w:pict>
          </mc:Fallback>
        </mc:AlternateContent>
      </w:r>
      <w:r w:rsidR="00C97E1C" w:rsidRPr="00FC2735">
        <w:rPr>
          <w:noProof/>
        </w:rPr>
        <w:drawing>
          <wp:inline distT="0" distB="0" distL="0" distR="0" wp14:anchorId="47D88703" wp14:editId="6A1B9590">
            <wp:extent cx="6080000" cy="3420000"/>
            <wp:effectExtent l="12700" t="12700" r="16510" b="9525"/>
            <wp:docPr id="762249187" name="Grafik 1" descr="Ein Bild, das Text, Screenshot, Schrif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49187" name="Grafik 1" descr="Ein Bild, das Text, Screenshot, Schrift, Design enthält.&#10;&#10;KI-generierte Inhalte können fehlerhaft sein."/>
                    <pic:cNvPicPr/>
                  </pic:nvPicPr>
                  <pic:blipFill>
                    <a:blip r:embed="rId12"/>
                    <a:stretch>
                      <a:fillRect/>
                    </a:stretch>
                  </pic:blipFill>
                  <pic:spPr>
                    <a:xfrm>
                      <a:off x="0" y="0"/>
                      <a:ext cx="6080000" cy="3420000"/>
                    </a:xfrm>
                    <a:prstGeom prst="rect">
                      <a:avLst/>
                    </a:prstGeom>
                    <a:ln>
                      <a:solidFill>
                        <a:schemeClr val="bg1">
                          <a:lumMod val="65000"/>
                        </a:schemeClr>
                      </a:solidFill>
                    </a:ln>
                  </pic:spPr>
                </pic:pic>
              </a:graphicData>
            </a:graphic>
          </wp:inline>
        </w:drawing>
      </w:r>
    </w:p>
    <w:p w14:paraId="39B6CD3A" w14:textId="34EBF500" w:rsidR="001B2A74" w:rsidRPr="00FC2735" w:rsidRDefault="0002077B" w:rsidP="001E40B4">
      <w:r w:rsidRPr="0002077B">
        <w:rPr>
          <w:noProof/>
        </w:rPr>
        <w:drawing>
          <wp:inline distT="0" distB="0" distL="0" distR="0" wp14:anchorId="1E3AFD10" wp14:editId="3535B763">
            <wp:extent cx="6080000" cy="3420000"/>
            <wp:effectExtent l="12700" t="12700" r="16510" b="9525"/>
            <wp:docPr id="4467218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21890" name=""/>
                    <pic:cNvPicPr/>
                  </pic:nvPicPr>
                  <pic:blipFill>
                    <a:blip r:embed="rId13"/>
                    <a:stretch>
                      <a:fillRect/>
                    </a:stretch>
                  </pic:blipFill>
                  <pic:spPr>
                    <a:xfrm>
                      <a:off x="0" y="0"/>
                      <a:ext cx="6080000" cy="3420000"/>
                    </a:xfrm>
                    <a:prstGeom prst="rect">
                      <a:avLst/>
                    </a:prstGeom>
                    <a:ln>
                      <a:solidFill>
                        <a:schemeClr val="bg1">
                          <a:lumMod val="65000"/>
                        </a:schemeClr>
                      </a:solidFill>
                    </a:ln>
                  </pic:spPr>
                </pic:pic>
              </a:graphicData>
            </a:graphic>
          </wp:inline>
        </w:drawing>
      </w:r>
    </w:p>
    <w:p w14:paraId="389AAD55" w14:textId="68C92DA6" w:rsidR="001B2A74" w:rsidRPr="00FC2735" w:rsidRDefault="0002077B" w:rsidP="001E40B4">
      <w:r w:rsidRPr="0002077B">
        <w:rPr>
          <w:noProof/>
        </w:rPr>
        <w:lastRenderedPageBreak/>
        <w:drawing>
          <wp:inline distT="0" distB="0" distL="0" distR="0" wp14:anchorId="4E472854" wp14:editId="403F8BFA">
            <wp:extent cx="6080000" cy="3420000"/>
            <wp:effectExtent l="12700" t="12700" r="16510" b="9525"/>
            <wp:docPr id="31455122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51223" name=""/>
                    <pic:cNvPicPr/>
                  </pic:nvPicPr>
                  <pic:blipFill>
                    <a:blip r:embed="rId14"/>
                    <a:stretch>
                      <a:fillRect/>
                    </a:stretch>
                  </pic:blipFill>
                  <pic:spPr>
                    <a:xfrm>
                      <a:off x="0" y="0"/>
                      <a:ext cx="6080000" cy="3420000"/>
                    </a:xfrm>
                    <a:prstGeom prst="rect">
                      <a:avLst/>
                    </a:prstGeom>
                    <a:ln>
                      <a:solidFill>
                        <a:schemeClr val="bg1">
                          <a:lumMod val="65000"/>
                        </a:schemeClr>
                      </a:solidFill>
                    </a:ln>
                  </pic:spPr>
                </pic:pic>
              </a:graphicData>
            </a:graphic>
          </wp:inline>
        </w:drawing>
      </w:r>
    </w:p>
    <w:p w14:paraId="26CA689D" w14:textId="7020ED63" w:rsidR="00391C70" w:rsidRDefault="0002077B" w:rsidP="001E40B4">
      <w:pPr>
        <w:rPr>
          <w:lang w:val="de-DE"/>
        </w:rPr>
      </w:pPr>
      <w:r w:rsidRPr="0002077B">
        <w:rPr>
          <w:noProof/>
          <w:lang w:val="de-DE"/>
        </w:rPr>
        <w:drawing>
          <wp:inline distT="0" distB="0" distL="0" distR="0" wp14:anchorId="3A3FD7B7" wp14:editId="07465CC8">
            <wp:extent cx="6080000" cy="3420000"/>
            <wp:effectExtent l="12700" t="12700" r="16510" b="9525"/>
            <wp:docPr id="439890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89012" name=""/>
                    <pic:cNvPicPr/>
                  </pic:nvPicPr>
                  <pic:blipFill>
                    <a:blip r:embed="rId15"/>
                    <a:stretch>
                      <a:fillRect/>
                    </a:stretch>
                  </pic:blipFill>
                  <pic:spPr>
                    <a:xfrm>
                      <a:off x="0" y="0"/>
                      <a:ext cx="6080000" cy="3420000"/>
                    </a:xfrm>
                    <a:prstGeom prst="rect">
                      <a:avLst/>
                    </a:prstGeom>
                    <a:ln>
                      <a:solidFill>
                        <a:schemeClr val="bg1">
                          <a:lumMod val="65000"/>
                        </a:schemeClr>
                      </a:solidFill>
                    </a:ln>
                  </pic:spPr>
                </pic:pic>
              </a:graphicData>
            </a:graphic>
          </wp:inline>
        </w:drawing>
      </w:r>
    </w:p>
    <w:p w14:paraId="685C5B4B" w14:textId="77777777" w:rsidR="0002077B" w:rsidRDefault="0002077B" w:rsidP="001E40B4">
      <w:pPr>
        <w:rPr>
          <w:lang w:val="de-DE"/>
        </w:rPr>
      </w:pPr>
    </w:p>
    <w:p w14:paraId="0F73578D" w14:textId="77777777" w:rsidR="0002077B" w:rsidRPr="000B71AB" w:rsidRDefault="0002077B" w:rsidP="001E40B4">
      <w:pPr>
        <w:rPr>
          <w:lang w:val="de-DE"/>
        </w:rPr>
      </w:pPr>
    </w:p>
    <w:p w14:paraId="66EB182A" w14:textId="3162192F" w:rsidR="00C97E1C" w:rsidRPr="00FC2735" w:rsidRDefault="00C97E1C" w:rsidP="001E40B4">
      <w:r w:rsidRPr="00FC2735">
        <w:rPr>
          <w:noProof/>
        </w:rPr>
        <w:lastRenderedPageBreak/>
        <w:drawing>
          <wp:inline distT="0" distB="0" distL="0" distR="0" wp14:anchorId="00DD6E6D" wp14:editId="34B6F0EB">
            <wp:extent cx="6080000" cy="3420000"/>
            <wp:effectExtent l="12700" t="12700" r="16510" b="9525"/>
            <wp:docPr id="976613164" name="Grafik 1" descr="Ein Bild, das Text, Screenshot, Webseite, Websit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613164" name="Grafik 1" descr="Ein Bild, das Text, Screenshot, Webseite, Website enthält.&#10;&#10;KI-generierte Inhalte können fehlerhaft sein."/>
                    <pic:cNvPicPr/>
                  </pic:nvPicPr>
                  <pic:blipFill>
                    <a:blip r:embed="rId16"/>
                    <a:stretch>
                      <a:fillRect/>
                    </a:stretch>
                  </pic:blipFill>
                  <pic:spPr>
                    <a:xfrm>
                      <a:off x="0" y="0"/>
                      <a:ext cx="6080000" cy="3420000"/>
                    </a:xfrm>
                    <a:prstGeom prst="rect">
                      <a:avLst/>
                    </a:prstGeom>
                    <a:ln>
                      <a:solidFill>
                        <a:schemeClr val="bg1">
                          <a:lumMod val="65000"/>
                        </a:schemeClr>
                      </a:solidFill>
                    </a:ln>
                  </pic:spPr>
                </pic:pic>
              </a:graphicData>
            </a:graphic>
          </wp:inline>
        </w:drawing>
      </w:r>
    </w:p>
    <w:p w14:paraId="02C4795C" w14:textId="5640062F" w:rsidR="00C97E1C" w:rsidRDefault="00C97E1C" w:rsidP="001E40B4">
      <w:r w:rsidRPr="00FC2735">
        <w:rPr>
          <w:noProof/>
        </w:rPr>
        <w:drawing>
          <wp:inline distT="0" distB="0" distL="0" distR="0" wp14:anchorId="713A1DB3" wp14:editId="000F32A0">
            <wp:extent cx="6080000" cy="3420000"/>
            <wp:effectExtent l="12700" t="12700" r="16510" b="9525"/>
            <wp:docPr id="337826713" name="Grafik 1" descr="Ein Bild, das Text, Screenshot, Schrift,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26713" name="Grafik 1" descr="Ein Bild, das Text, Screenshot, Schrift, Zahl enthält.&#10;&#10;KI-generierte Inhalte können fehlerhaft sein."/>
                    <pic:cNvPicPr/>
                  </pic:nvPicPr>
                  <pic:blipFill>
                    <a:blip r:embed="rId17"/>
                    <a:stretch>
                      <a:fillRect/>
                    </a:stretch>
                  </pic:blipFill>
                  <pic:spPr>
                    <a:xfrm>
                      <a:off x="0" y="0"/>
                      <a:ext cx="6080000" cy="3420000"/>
                    </a:xfrm>
                    <a:prstGeom prst="rect">
                      <a:avLst/>
                    </a:prstGeom>
                    <a:ln>
                      <a:solidFill>
                        <a:schemeClr val="bg1">
                          <a:lumMod val="65000"/>
                        </a:schemeClr>
                      </a:solidFill>
                    </a:ln>
                  </pic:spPr>
                </pic:pic>
              </a:graphicData>
            </a:graphic>
          </wp:inline>
        </w:drawing>
      </w:r>
    </w:p>
    <w:p w14:paraId="1647B17A" w14:textId="5C2E2372" w:rsidR="0002077B" w:rsidRPr="00FC2735" w:rsidRDefault="0002077B" w:rsidP="001E40B4">
      <w:r w:rsidRPr="0002077B">
        <w:rPr>
          <w:noProof/>
        </w:rPr>
        <w:lastRenderedPageBreak/>
        <w:drawing>
          <wp:inline distT="0" distB="0" distL="0" distR="0" wp14:anchorId="7112A607" wp14:editId="597755D3">
            <wp:extent cx="6080000" cy="3420000"/>
            <wp:effectExtent l="12700" t="12700" r="16510" b="9525"/>
            <wp:docPr id="11443972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97258" name=""/>
                    <pic:cNvPicPr/>
                  </pic:nvPicPr>
                  <pic:blipFill>
                    <a:blip r:embed="rId18"/>
                    <a:stretch>
                      <a:fillRect/>
                    </a:stretch>
                  </pic:blipFill>
                  <pic:spPr>
                    <a:xfrm>
                      <a:off x="0" y="0"/>
                      <a:ext cx="6080000" cy="3420000"/>
                    </a:xfrm>
                    <a:prstGeom prst="rect">
                      <a:avLst/>
                    </a:prstGeom>
                    <a:ln>
                      <a:solidFill>
                        <a:schemeClr val="bg1">
                          <a:lumMod val="65000"/>
                        </a:schemeClr>
                      </a:solidFill>
                    </a:ln>
                  </pic:spPr>
                </pic:pic>
              </a:graphicData>
            </a:graphic>
          </wp:inline>
        </w:drawing>
      </w:r>
    </w:p>
    <w:p w14:paraId="46054688" w14:textId="055C6F10" w:rsidR="00324B2F" w:rsidRPr="00FC2735" w:rsidRDefault="00602DD3" w:rsidP="001E40B4">
      <w:r w:rsidRPr="00602DD3">
        <w:rPr>
          <w:noProof/>
        </w:rPr>
        <w:drawing>
          <wp:inline distT="0" distB="0" distL="0" distR="0" wp14:anchorId="461D7C9F" wp14:editId="647D34F6">
            <wp:extent cx="6080000" cy="3420000"/>
            <wp:effectExtent l="12700" t="12700" r="16510" b="9525"/>
            <wp:docPr id="17604207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20729" name=""/>
                    <pic:cNvPicPr/>
                  </pic:nvPicPr>
                  <pic:blipFill>
                    <a:blip r:embed="rId19"/>
                    <a:stretch>
                      <a:fillRect/>
                    </a:stretch>
                  </pic:blipFill>
                  <pic:spPr>
                    <a:xfrm>
                      <a:off x="0" y="0"/>
                      <a:ext cx="6080000" cy="3420000"/>
                    </a:xfrm>
                    <a:prstGeom prst="rect">
                      <a:avLst/>
                    </a:prstGeom>
                    <a:ln>
                      <a:solidFill>
                        <a:schemeClr val="bg1">
                          <a:lumMod val="65000"/>
                        </a:schemeClr>
                      </a:solidFill>
                    </a:ln>
                  </pic:spPr>
                </pic:pic>
              </a:graphicData>
            </a:graphic>
          </wp:inline>
        </w:drawing>
      </w:r>
    </w:p>
    <w:p w14:paraId="57424D30" w14:textId="52BD32AC" w:rsidR="00C97E1C" w:rsidRPr="00FC2735" w:rsidRDefault="00C97E1C" w:rsidP="001E40B4">
      <w:r w:rsidRPr="00FC2735">
        <w:rPr>
          <w:noProof/>
        </w:rPr>
        <w:lastRenderedPageBreak/>
        <w:drawing>
          <wp:inline distT="0" distB="0" distL="0" distR="0" wp14:anchorId="3F4DDACF" wp14:editId="0FCB0EEC">
            <wp:extent cx="6080000" cy="3420000"/>
            <wp:effectExtent l="12700" t="12700" r="16510" b="9525"/>
            <wp:docPr id="1514762917" name="Grafik 1" descr="Ein Bild, das Text, Screenshot, Schrif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62917" name="Grafik 1" descr="Ein Bild, das Text, Screenshot, Schrift, Design enthält.&#10;&#10;KI-generierte Inhalte können fehlerhaft sein."/>
                    <pic:cNvPicPr/>
                  </pic:nvPicPr>
                  <pic:blipFill>
                    <a:blip r:embed="rId20"/>
                    <a:stretch>
                      <a:fillRect/>
                    </a:stretch>
                  </pic:blipFill>
                  <pic:spPr>
                    <a:xfrm>
                      <a:off x="0" y="0"/>
                      <a:ext cx="6080000" cy="3420000"/>
                    </a:xfrm>
                    <a:prstGeom prst="rect">
                      <a:avLst/>
                    </a:prstGeom>
                    <a:ln>
                      <a:solidFill>
                        <a:schemeClr val="bg1">
                          <a:lumMod val="65000"/>
                        </a:schemeClr>
                      </a:solidFill>
                    </a:ln>
                  </pic:spPr>
                </pic:pic>
              </a:graphicData>
            </a:graphic>
          </wp:inline>
        </w:drawing>
      </w:r>
    </w:p>
    <w:p w14:paraId="02B9FE4D" w14:textId="5509D66C" w:rsidR="00C97E1C" w:rsidRPr="00FC2735" w:rsidRDefault="00C97E1C" w:rsidP="001E40B4">
      <w:r w:rsidRPr="00FC2735">
        <w:rPr>
          <w:noProof/>
        </w:rPr>
        <w:drawing>
          <wp:inline distT="0" distB="0" distL="0" distR="0" wp14:anchorId="7573CC3E" wp14:editId="2D554E3A">
            <wp:extent cx="6080000" cy="3420000"/>
            <wp:effectExtent l="12700" t="12700" r="16510" b="9525"/>
            <wp:docPr id="672933586" name="Grafik 1" descr="Ein Bild, das Text, Schrift, Website, Webseit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933586" name="Grafik 1" descr="Ein Bild, das Text, Schrift, Website, Webseite enthält.&#10;&#10;KI-generierte Inhalte können fehlerhaft sein."/>
                    <pic:cNvPicPr/>
                  </pic:nvPicPr>
                  <pic:blipFill>
                    <a:blip r:embed="rId21"/>
                    <a:stretch>
                      <a:fillRect/>
                    </a:stretch>
                  </pic:blipFill>
                  <pic:spPr>
                    <a:xfrm>
                      <a:off x="0" y="0"/>
                      <a:ext cx="6080000" cy="3420000"/>
                    </a:xfrm>
                    <a:prstGeom prst="rect">
                      <a:avLst/>
                    </a:prstGeom>
                    <a:ln>
                      <a:solidFill>
                        <a:schemeClr val="bg1">
                          <a:lumMod val="65000"/>
                        </a:schemeClr>
                      </a:solidFill>
                    </a:ln>
                  </pic:spPr>
                </pic:pic>
              </a:graphicData>
            </a:graphic>
          </wp:inline>
        </w:drawing>
      </w:r>
    </w:p>
    <w:p w14:paraId="322BE8B7" w14:textId="7DECBE9A" w:rsidR="00C97E1C" w:rsidRPr="00FC2735" w:rsidRDefault="00C97E1C" w:rsidP="001E40B4">
      <w:r w:rsidRPr="00FC2735">
        <w:rPr>
          <w:noProof/>
        </w:rPr>
        <w:lastRenderedPageBreak/>
        <w:drawing>
          <wp:inline distT="0" distB="0" distL="0" distR="0" wp14:anchorId="7E591473" wp14:editId="24F08782">
            <wp:extent cx="6080000" cy="3420000"/>
            <wp:effectExtent l="12700" t="12700" r="16510" b="9525"/>
            <wp:docPr id="1908896915" name="Grafik 1" descr="Ein Bild, das Text, Screenshot, Schrif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896915" name="Grafik 1" descr="Ein Bild, das Text, Screenshot, Schrift, Design enthält.&#10;&#10;KI-generierte Inhalte können fehlerhaft sein."/>
                    <pic:cNvPicPr/>
                  </pic:nvPicPr>
                  <pic:blipFill>
                    <a:blip r:embed="rId22"/>
                    <a:stretch>
                      <a:fillRect/>
                    </a:stretch>
                  </pic:blipFill>
                  <pic:spPr>
                    <a:xfrm>
                      <a:off x="0" y="0"/>
                      <a:ext cx="6080000" cy="3420000"/>
                    </a:xfrm>
                    <a:prstGeom prst="rect">
                      <a:avLst/>
                    </a:prstGeom>
                    <a:ln>
                      <a:solidFill>
                        <a:schemeClr val="bg1">
                          <a:lumMod val="65000"/>
                        </a:schemeClr>
                      </a:solidFill>
                    </a:ln>
                  </pic:spPr>
                </pic:pic>
              </a:graphicData>
            </a:graphic>
          </wp:inline>
        </w:drawing>
      </w:r>
    </w:p>
    <w:p w14:paraId="5A24D06E" w14:textId="2AAFFF13" w:rsidR="00C97E1C" w:rsidRPr="00FC2735" w:rsidRDefault="00C97E1C" w:rsidP="001E40B4">
      <w:r w:rsidRPr="00FC2735">
        <w:rPr>
          <w:noProof/>
        </w:rPr>
        <w:drawing>
          <wp:inline distT="0" distB="0" distL="0" distR="0" wp14:anchorId="3CD93EF7" wp14:editId="723B8262">
            <wp:extent cx="6080000" cy="3420000"/>
            <wp:effectExtent l="12700" t="12700" r="16510" b="9525"/>
            <wp:docPr id="222616388" name="Grafik 1" descr="Ein Bild, das Text, Screenshot, Schrift, Websit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616388" name="Grafik 1" descr="Ein Bild, das Text, Screenshot, Schrift, Website enthält.&#10;&#10;KI-generierte Inhalte können fehlerhaft sein."/>
                    <pic:cNvPicPr/>
                  </pic:nvPicPr>
                  <pic:blipFill>
                    <a:blip r:embed="rId23"/>
                    <a:stretch>
                      <a:fillRect/>
                    </a:stretch>
                  </pic:blipFill>
                  <pic:spPr>
                    <a:xfrm>
                      <a:off x="0" y="0"/>
                      <a:ext cx="6080000" cy="3420000"/>
                    </a:xfrm>
                    <a:prstGeom prst="rect">
                      <a:avLst/>
                    </a:prstGeom>
                    <a:ln>
                      <a:solidFill>
                        <a:schemeClr val="bg1">
                          <a:lumMod val="65000"/>
                        </a:schemeClr>
                      </a:solidFill>
                    </a:ln>
                  </pic:spPr>
                </pic:pic>
              </a:graphicData>
            </a:graphic>
          </wp:inline>
        </w:drawing>
      </w:r>
    </w:p>
    <w:p w14:paraId="1A3D56BD" w14:textId="689DDEB5" w:rsidR="00C97E1C" w:rsidRPr="00FC2735" w:rsidRDefault="00C97E1C" w:rsidP="001E40B4">
      <w:r w:rsidRPr="00FC2735">
        <w:rPr>
          <w:noProof/>
        </w:rPr>
        <w:lastRenderedPageBreak/>
        <w:drawing>
          <wp:inline distT="0" distB="0" distL="0" distR="0" wp14:anchorId="0B75B9BF" wp14:editId="73102972">
            <wp:extent cx="6080000" cy="3420000"/>
            <wp:effectExtent l="12700" t="12700" r="16510" b="9525"/>
            <wp:docPr id="2137982725" name="Grafik 1" descr="Ein Bild, das Text, Screenshot, Schrift, Websit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982725" name="Grafik 1" descr="Ein Bild, das Text, Screenshot, Schrift, Website enthält.&#10;&#10;KI-generierte Inhalte können fehlerhaft sein."/>
                    <pic:cNvPicPr/>
                  </pic:nvPicPr>
                  <pic:blipFill>
                    <a:blip r:embed="rId24"/>
                    <a:stretch>
                      <a:fillRect/>
                    </a:stretch>
                  </pic:blipFill>
                  <pic:spPr>
                    <a:xfrm>
                      <a:off x="0" y="0"/>
                      <a:ext cx="6080000" cy="3420000"/>
                    </a:xfrm>
                    <a:prstGeom prst="rect">
                      <a:avLst/>
                    </a:prstGeom>
                    <a:ln>
                      <a:solidFill>
                        <a:schemeClr val="bg1">
                          <a:lumMod val="65000"/>
                        </a:schemeClr>
                      </a:solidFill>
                    </a:ln>
                  </pic:spPr>
                </pic:pic>
              </a:graphicData>
            </a:graphic>
          </wp:inline>
        </w:drawing>
      </w:r>
    </w:p>
    <w:p w14:paraId="0F34EB0A" w14:textId="4FB78759" w:rsidR="00C97E1C" w:rsidRPr="00FC2735" w:rsidRDefault="00C97E1C" w:rsidP="001E40B4">
      <w:r w:rsidRPr="00FC2735">
        <w:rPr>
          <w:noProof/>
        </w:rPr>
        <w:drawing>
          <wp:inline distT="0" distB="0" distL="0" distR="0" wp14:anchorId="4ED02F68" wp14:editId="24F6BA75">
            <wp:extent cx="6080000" cy="3420000"/>
            <wp:effectExtent l="12700" t="12700" r="16510" b="9525"/>
            <wp:docPr id="1760647752" name="Grafik 1" descr="Ein Bild, das Text, Screenshot, Schrif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647752" name="Grafik 1" descr="Ein Bild, das Text, Screenshot, Schrift, Design enthält.&#10;&#10;KI-generierte Inhalte können fehlerhaft sein."/>
                    <pic:cNvPicPr/>
                  </pic:nvPicPr>
                  <pic:blipFill>
                    <a:blip r:embed="rId25"/>
                    <a:stretch>
                      <a:fillRect/>
                    </a:stretch>
                  </pic:blipFill>
                  <pic:spPr>
                    <a:xfrm>
                      <a:off x="0" y="0"/>
                      <a:ext cx="6080000" cy="3420000"/>
                    </a:xfrm>
                    <a:prstGeom prst="rect">
                      <a:avLst/>
                    </a:prstGeom>
                    <a:ln>
                      <a:solidFill>
                        <a:schemeClr val="bg1">
                          <a:lumMod val="65000"/>
                        </a:schemeClr>
                      </a:solidFill>
                    </a:ln>
                  </pic:spPr>
                </pic:pic>
              </a:graphicData>
            </a:graphic>
          </wp:inline>
        </w:drawing>
      </w:r>
    </w:p>
    <w:p w14:paraId="2CAA8F17" w14:textId="7241D6BD" w:rsidR="00C97E1C" w:rsidRPr="00FC2735" w:rsidRDefault="00C97E1C" w:rsidP="001E40B4">
      <w:r w:rsidRPr="00FC2735">
        <w:rPr>
          <w:noProof/>
        </w:rPr>
        <w:lastRenderedPageBreak/>
        <w:drawing>
          <wp:inline distT="0" distB="0" distL="0" distR="0" wp14:anchorId="62D7FD14" wp14:editId="468C320C">
            <wp:extent cx="6080000" cy="3420000"/>
            <wp:effectExtent l="12700" t="12700" r="16510" b="9525"/>
            <wp:docPr id="1195766869" name="Grafik 1" descr="Ein Bild, das Text, Screenshot, Schrif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766869" name="Grafik 1" descr="Ein Bild, das Text, Screenshot, Schrift, Design enthält.&#10;&#10;KI-generierte Inhalte können fehlerhaft sein."/>
                    <pic:cNvPicPr/>
                  </pic:nvPicPr>
                  <pic:blipFill>
                    <a:blip r:embed="rId26"/>
                    <a:stretch>
                      <a:fillRect/>
                    </a:stretch>
                  </pic:blipFill>
                  <pic:spPr>
                    <a:xfrm>
                      <a:off x="0" y="0"/>
                      <a:ext cx="6080000" cy="3420000"/>
                    </a:xfrm>
                    <a:prstGeom prst="rect">
                      <a:avLst/>
                    </a:prstGeom>
                    <a:ln>
                      <a:solidFill>
                        <a:schemeClr val="bg1">
                          <a:lumMod val="65000"/>
                        </a:schemeClr>
                      </a:solidFill>
                    </a:ln>
                  </pic:spPr>
                </pic:pic>
              </a:graphicData>
            </a:graphic>
          </wp:inline>
        </w:drawing>
      </w:r>
    </w:p>
    <w:p w14:paraId="31454974" w14:textId="191DB835" w:rsidR="00C97E1C" w:rsidRPr="00FC2735" w:rsidRDefault="00C97E1C" w:rsidP="001E40B4">
      <w:r w:rsidRPr="00FC2735">
        <w:rPr>
          <w:noProof/>
        </w:rPr>
        <w:drawing>
          <wp:inline distT="0" distB="0" distL="0" distR="0" wp14:anchorId="2430814D" wp14:editId="2FB23FBF">
            <wp:extent cx="6080000" cy="3420000"/>
            <wp:effectExtent l="12700" t="12700" r="16510" b="9525"/>
            <wp:docPr id="790621693" name="Grafik 1" descr="Ein Bild, das Text, Screenshot, Schrif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621693" name="Grafik 1" descr="Ein Bild, das Text, Screenshot, Schrift, Design enthält.&#10;&#10;KI-generierte Inhalte können fehlerhaft sein."/>
                    <pic:cNvPicPr/>
                  </pic:nvPicPr>
                  <pic:blipFill>
                    <a:blip r:embed="rId27"/>
                    <a:stretch>
                      <a:fillRect/>
                    </a:stretch>
                  </pic:blipFill>
                  <pic:spPr>
                    <a:xfrm>
                      <a:off x="0" y="0"/>
                      <a:ext cx="6080000" cy="3420000"/>
                    </a:xfrm>
                    <a:prstGeom prst="rect">
                      <a:avLst/>
                    </a:prstGeom>
                    <a:ln>
                      <a:solidFill>
                        <a:schemeClr val="bg1">
                          <a:lumMod val="65000"/>
                        </a:schemeClr>
                      </a:solidFill>
                    </a:ln>
                  </pic:spPr>
                </pic:pic>
              </a:graphicData>
            </a:graphic>
          </wp:inline>
        </w:drawing>
      </w:r>
    </w:p>
    <w:p w14:paraId="28F5D98B" w14:textId="0445964C" w:rsidR="00521FDF" w:rsidRDefault="00A372B1" w:rsidP="00A372B1">
      <w:pPr>
        <w:pStyle w:val="berschrift1"/>
        <w:ind w:left="709"/>
      </w:pPr>
      <w:bookmarkStart w:id="23" w:name="_Toc221783966"/>
      <w:r>
        <w:lastRenderedPageBreak/>
        <w:t>List of d</w:t>
      </w:r>
      <w:r w:rsidR="00521FDF">
        <w:t xml:space="preserve">ocuments / </w:t>
      </w:r>
      <w:r>
        <w:t>s</w:t>
      </w:r>
      <w:r w:rsidR="00521FDF">
        <w:t>ources</w:t>
      </w:r>
      <w:bookmarkEnd w:id="23"/>
    </w:p>
    <w:p w14:paraId="6F2626BA" w14:textId="07AF1774" w:rsidR="006D05B0" w:rsidRDefault="006D05B0" w:rsidP="00E75743">
      <w:pPr>
        <w:pStyle w:val="berschrift2"/>
      </w:pPr>
      <w:bookmarkStart w:id="24" w:name="_Toc221783967"/>
      <w:r w:rsidRPr="00E75743">
        <w:t>Binding legal documents</w:t>
      </w:r>
      <w:bookmarkEnd w:id="24"/>
    </w:p>
    <w:p w14:paraId="459B1D46" w14:textId="77777777" w:rsidR="0091279B" w:rsidRPr="005C3655" w:rsidRDefault="0091279B" w:rsidP="0091279B">
      <w:pPr>
        <w:pStyle w:val="Sources"/>
        <w:ind w:left="284" w:hanging="284"/>
        <w:rPr>
          <w:lang w:val="en-US"/>
        </w:rPr>
      </w:pPr>
      <w:r w:rsidRPr="005C3655">
        <w:rPr>
          <w:lang w:val="en-US"/>
        </w:rPr>
        <w:t>1. European Union. Regulation (EC) No 178/2002 of the European Parliament and of the Council of 28 January 2002 laying down the general principles and requirements of food law, establishing the European Food Safety Authority and laying down procedures in matters of food safety [Internet]. OJ L, 32002R0178 Jan 28, 2002. http://data.europa.eu/eli/reg/2002/178/oj/eng. Accessed 14 Nov 2024</w:t>
      </w:r>
    </w:p>
    <w:p w14:paraId="6ABEEEE1" w14:textId="77777777" w:rsidR="0091279B" w:rsidRPr="005C3655" w:rsidRDefault="0091279B" w:rsidP="0091279B">
      <w:pPr>
        <w:pStyle w:val="Sources"/>
        <w:ind w:left="284" w:hanging="284"/>
        <w:rPr>
          <w:lang w:val="en-US"/>
        </w:rPr>
      </w:pPr>
      <w:r w:rsidRPr="005C3655">
        <w:rPr>
          <w:lang w:val="en-US"/>
        </w:rPr>
        <w:t xml:space="preserve">2. European Union. Council Directive 2006/112/EC of 28 November 2006 on the common system of value added tax [Internet]. </w:t>
      </w:r>
      <w:r w:rsidRPr="005C3655">
        <w:rPr>
          <w:lang w:val="es-ES"/>
        </w:rPr>
        <w:t xml:space="preserve">OJ L, 32006L0112 Dec 11, 2006. https://eur-lex.europa.eu/eli/dir/2006/112/oj. </w:t>
      </w:r>
      <w:r w:rsidRPr="005C3655">
        <w:rPr>
          <w:lang w:val="en-US"/>
        </w:rPr>
        <w:t>Accessed 15 Nov 2024</w:t>
      </w:r>
    </w:p>
    <w:p w14:paraId="39DF0F85" w14:textId="77777777" w:rsidR="0091279B" w:rsidRPr="005C3655" w:rsidRDefault="0091279B" w:rsidP="0091279B">
      <w:pPr>
        <w:pStyle w:val="Sources"/>
        <w:ind w:left="284" w:hanging="284"/>
        <w:rPr>
          <w:lang w:val="en-US"/>
        </w:rPr>
      </w:pPr>
      <w:r w:rsidRPr="005C3655">
        <w:rPr>
          <w:lang w:val="en-US"/>
        </w:rPr>
        <w:t xml:space="preserve">3. European Union. Regulation (EC) No 1924/2006 of the European Parliament and of the Council of 20 December 2006 on nutrition and health claims made on foods [Internet]. </w:t>
      </w:r>
      <w:r w:rsidRPr="005C3655">
        <w:rPr>
          <w:lang w:val="es-ES"/>
        </w:rPr>
        <w:t xml:space="preserve">OJ L, 32006R1924 Dec 30, 2006. https://eur-lex.europa.eu/eli/reg/2006/1924/oj/eng. </w:t>
      </w:r>
      <w:r w:rsidRPr="005C3655">
        <w:rPr>
          <w:lang w:val="en-US"/>
        </w:rPr>
        <w:t>Accessed 4 Apr 2025</w:t>
      </w:r>
    </w:p>
    <w:p w14:paraId="3D633CBB" w14:textId="77777777" w:rsidR="0091279B" w:rsidRPr="005C3655" w:rsidRDefault="0091279B" w:rsidP="0091279B">
      <w:pPr>
        <w:pStyle w:val="Sources"/>
        <w:ind w:left="284" w:hanging="284"/>
        <w:rPr>
          <w:lang w:val="en-US"/>
        </w:rPr>
      </w:pPr>
      <w:r w:rsidRPr="005C3655">
        <w:rPr>
          <w:lang w:val="en-US"/>
        </w:rPr>
        <w:t xml:space="preserve">4. European Union. Regulation (EC) No 1925/2006 of the European Parliament and of the Council of 20 December 2006 on the addition of vitamins and minerals and of certain other substances to foods [Internet]. </w:t>
      </w:r>
      <w:r w:rsidRPr="005C3655">
        <w:rPr>
          <w:lang w:val="es-ES"/>
        </w:rPr>
        <w:t xml:space="preserve">OJ L, 32006R1925 Dec 30, 2006. https://eur-lex.europa.eu/eli/reg/2006/1925/oj. </w:t>
      </w:r>
      <w:r w:rsidRPr="005C3655">
        <w:rPr>
          <w:lang w:val="en-US"/>
        </w:rPr>
        <w:t>Accessed 3 Apr 2025</w:t>
      </w:r>
    </w:p>
    <w:p w14:paraId="231D9C7D" w14:textId="77777777" w:rsidR="0091279B" w:rsidRPr="005C3655" w:rsidRDefault="0091279B" w:rsidP="0091279B">
      <w:pPr>
        <w:pStyle w:val="Sources"/>
        <w:ind w:left="284" w:hanging="284"/>
        <w:rPr>
          <w:lang w:val="en-US"/>
        </w:rPr>
      </w:pPr>
      <w:r w:rsidRPr="005C3655">
        <w:rPr>
          <w:lang w:val="en-US"/>
        </w:rPr>
        <w:t>5. European Union. Consolidated version of the Treaty on the Functioning of the European Union - PROTOCOLS - Protocol (No 2) on the application of the principles of subsidiarity and proportionality [Internet]. OJ C, 12008E/PRO/02 May 9, 2008. https://eur-lex.europa.eu/legal-content/EN/TXT/?uri=CELEX%3A12008E%2FPRO%2F02. Accessed 15 Nov 2024</w:t>
      </w:r>
    </w:p>
    <w:p w14:paraId="420936FC" w14:textId="77777777" w:rsidR="0091279B" w:rsidRPr="005C3655" w:rsidRDefault="0091279B" w:rsidP="0091279B">
      <w:pPr>
        <w:pStyle w:val="Sources"/>
        <w:ind w:left="284" w:hanging="284"/>
        <w:rPr>
          <w:lang w:val="en-US"/>
        </w:rPr>
      </w:pPr>
      <w:r w:rsidRPr="005C3655">
        <w:rPr>
          <w:lang w:val="en-US"/>
        </w:rPr>
        <w:t>6. European Union. Directive 2008/98/EC of the European Parliament and of the Council of 19 November 2008 on waste and repealing certain Directives (Text with EEA relevance) [Internet]. OJ L, 32008L0098 Nov 22, 2008. https://eur-lex.europa.eu/eli/dir/2008/98/oj/eng. Accessed 4 Apr 2025</w:t>
      </w:r>
    </w:p>
    <w:p w14:paraId="768F37A3" w14:textId="77777777" w:rsidR="0091279B" w:rsidRPr="005C3655" w:rsidRDefault="0091279B" w:rsidP="0091279B">
      <w:pPr>
        <w:pStyle w:val="Sources"/>
        <w:ind w:left="284" w:hanging="284"/>
        <w:rPr>
          <w:lang w:val="en-US"/>
        </w:rPr>
      </w:pPr>
      <w:r w:rsidRPr="005C3655">
        <w:rPr>
          <w:lang w:val="en-US"/>
        </w:rPr>
        <w:t>7. European Union. Directive 2009/128/EC of the European Parliament and of the Council of 21 October 2009 establishing a framework for Community action to achieve the sustainable use of pesticides (Text with EEA relevance) [Internet]. OJ L, 32009L0128 Nov 24, 2009. http://data.europa.eu/eli/dir/2009/128/oj/eng. Accessed 3 Apr 2025</w:t>
      </w:r>
    </w:p>
    <w:p w14:paraId="6F565D1A" w14:textId="77777777" w:rsidR="0091279B" w:rsidRPr="005C3655" w:rsidRDefault="0091279B" w:rsidP="0091279B">
      <w:pPr>
        <w:pStyle w:val="Sources"/>
        <w:ind w:left="284" w:hanging="284"/>
        <w:rPr>
          <w:lang w:val="en-US"/>
        </w:rPr>
      </w:pPr>
      <w:r w:rsidRPr="005C3655">
        <w:rPr>
          <w:lang w:val="en-US"/>
        </w:rPr>
        <w:t xml:space="preserve">8. European Union. Commission Regulation (EU) No 116/2010 of 9 February 2010 amending Regulation (EC) No 1924/2006 of the European Parliament and of the Council </w:t>
      </w:r>
      <w:proofErr w:type="gramStart"/>
      <w:r w:rsidRPr="005C3655">
        <w:rPr>
          <w:lang w:val="en-US"/>
        </w:rPr>
        <w:t>with regard to</w:t>
      </w:r>
      <w:proofErr w:type="gramEnd"/>
      <w:r w:rsidRPr="005C3655">
        <w:rPr>
          <w:lang w:val="en-US"/>
        </w:rPr>
        <w:t xml:space="preserve"> the list of nutrition claims (Text with EEA relevance) [Internet]. OJ L, 32010R0116 Feb 9, 2010. http://data.europa.eu/eli/reg/2010/116(1)/oj/eng. Accessed 3 Apr 2025</w:t>
      </w:r>
    </w:p>
    <w:p w14:paraId="5F3E9612" w14:textId="77777777" w:rsidR="0091279B" w:rsidRPr="005C3655" w:rsidRDefault="0091279B" w:rsidP="0091279B">
      <w:pPr>
        <w:pStyle w:val="Sources"/>
        <w:ind w:left="284" w:hanging="284"/>
        <w:rPr>
          <w:lang w:val="en-US"/>
        </w:rPr>
      </w:pPr>
      <w:r w:rsidRPr="005C3655">
        <w:rPr>
          <w:lang w:val="en-US"/>
        </w:rPr>
        <w:t xml:space="preserve">9. European Union. Directive 2010/13/EU of the European Parliament and of the Council of 10 March 2010 on the coordination of certain provisions laid down by law, regulation or administrative action in Member States concerning the provision of audiovisual media services (Audiovisual Media Services Directive) (Codified version) (Text with EEA relevance) [Internet]. </w:t>
      </w:r>
      <w:r w:rsidRPr="005C3655">
        <w:rPr>
          <w:lang w:val="es-ES"/>
        </w:rPr>
        <w:t xml:space="preserve">OJ L, 32010L0013 Apr 15, 2010. https://eur-lex.europa.eu/eli/dir/2010/13/oj/eng. </w:t>
      </w:r>
      <w:r w:rsidRPr="005C3655">
        <w:rPr>
          <w:lang w:val="en-US"/>
        </w:rPr>
        <w:t>Accessed 3 Apr 2025</w:t>
      </w:r>
    </w:p>
    <w:p w14:paraId="7F101278" w14:textId="77777777" w:rsidR="0091279B" w:rsidRPr="005C3655" w:rsidRDefault="0091279B" w:rsidP="0091279B">
      <w:pPr>
        <w:pStyle w:val="Sources"/>
        <w:ind w:left="284" w:hanging="284"/>
        <w:rPr>
          <w:lang w:val="en-US"/>
        </w:rPr>
      </w:pPr>
      <w:r w:rsidRPr="005C3655">
        <w:rPr>
          <w:lang w:val="en-US"/>
        </w:rPr>
        <w:t xml:space="preserve">10. European Union. Regulation (EU) No 1169/2011 of the European Parliament and of the Council of 25 October 2011 on the provision of food information to consumers, amending Regulations (EC) No 1924/2006 and (EC) No 1925/2006 of the European Parliament and of the Council, and repealing Commission Directive 87/250/EEC, Council Directive 90/496/EEC, Commission Directive 1999/10/EC, Directive 2000/13/EC of the European Parliament and of the Council, Commission Directives 2002/67/EC and 2008/5/EC and Commission Regulation (EC) No 608/2004 Text with EEA relevance [Internet]. </w:t>
      </w:r>
      <w:r w:rsidRPr="005C3655">
        <w:rPr>
          <w:lang w:val="es-ES"/>
        </w:rPr>
        <w:t xml:space="preserve">OJ L, 32011R1169 Nov 22, 2011. http://data.europa.eu/eli/reg/2011/1169/oj. </w:t>
      </w:r>
      <w:r w:rsidRPr="005C3655">
        <w:rPr>
          <w:lang w:val="en-US"/>
        </w:rPr>
        <w:t>Accessed 22 Nov 2023</w:t>
      </w:r>
    </w:p>
    <w:p w14:paraId="26A16EF2" w14:textId="77777777" w:rsidR="0091279B" w:rsidRPr="005C3655" w:rsidRDefault="0091279B" w:rsidP="0091279B">
      <w:pPr>
        <w:pStyle w:val="Sources"/>
        <w:ind w:left="284" w:hanging="284"/>
        <w:rPr>
          <w:lang w:val="en-US"/>
        </w:rPr>
      </w:pPr>
      <w:r w:rsidRPr="005C3655">
        <w:rPr>
          <w:lang w:val="en-US"/>
        </w:rPr>
        <w:t xml:space="preserve">11. European Union. Regulation (EU) No 609/2013 of the European Parliament and of the Council of 12 June 2013 on food intended for infants and young children, food for special medical purposes, and total diet replacement for weight control and repealing Council Directive 92/52/EEC, Commission Directives 96/8/EC, </w:t>
      </w:r>
      <w:r w:rsidRPr="005C3655">
        <w:rPr>
          <w:lang w:val="en-US"/>
        </w:rPr>
        <w:lastRenderedPageBreak/>
        <w:t xml:space="preserve">1999/21/EC, 2006/125/EC and 2006/141/EC, Directive 2009/39/EC of the European Parliament and of the Council and Commission Regulations (EC) No 41/2009 and (EC) No 953/2009 (Text with EEA relevance) [Internet]. </w:t>
      </w:r>
      <w:r w:rsidRPr="005C3655">
        <w:rPr>
          <w:lang w:val="es-ES"/>
        </w:rPr>
        <w:t xml:space="preserve">OJ L, 02013R0609-20241120 June 29, 2013. http://data.europa.eu/eli/reg/2013/609/2024-11-20/eng. </w:t>
      </w:r>
      <w:r w:rsidRPr="005C3655">
        <w:rPr>
          <w:lang w:val="en-US"/>
        </w:rPr>
        <w:t>Accessed 3 Apr 2025</w:t>
      </w:r>
    </w:p>
    <w:p w14:paraId="1A29FC3A" w14:textId="77777777" w:rsidR="0091279B" w:rsidRPr="005C3655" w:rsidRDefault="0091279B" w:rsidP="0091279B">
      <w:pPr>
        <w:pStyle w:val="Sources"/>
        <w:ind w:left="284" w:hanging="284"/>
        <w:rPr>
          <w:lang w:val="en-US"/>
        </w:rPr>
      </w:pPr>
      <w:r w:rsidRPr="005C3655">
        <w:rPr>
          <w:lang w:val="en-US"/>
        </w:rPr>
        <w:t xml:space="preserve">12. European Union. Directive 2014/24/EU of the European Parliament and of the Council of 26 February 2014 on public procurement and repealing Directive 2004/18/EC Text with EEA relevance [Internet]. </w:t>
      </w:r>
      <w:r w:rsidRPr="005C3655">
        <w:rPr>
          <w:lang w:val="es-ES"/>
        </w:rPr>
        <w:t xml:space="preserve">OJ L, 32014L0024 Mar 28, 2014. https://eur-lex.europa.eu/eli/dir/2014/24/oj/eng. </w:t>
      </w:r>
      <w:r w:rsidRPr="005C3655">
        <w:rPr>
          <w:lang w:val="en-US"/>
        </w:rPr>
        <w:t>Accessed 8 Apr 2025</w:t>
      </w:r>
    </w:p>
    <w:p w14:paraId="57BE0D64" w14:textId="77777777" w:rsidR="0091279B" w:rsidRPr="005C3655" w:rsidRDefault="0091279B" w:rsidP="0091279B">
      <w:pPr>
        <w:pStyle w:val="Sources"/>
        <w:ind w:left="284" w:hanging="284"/>
        <w:rPr>
          <w:lang w:val="en-US"/>
        </w:rPr>
      </w:pPr>
      <w:r w:rsidRPr="005C3655">
        <w:rPr>
          <w:lang w:val="en-US"/>
        </w:rPr>
        <w:t xml:space="preserve">13. European Union. Directive 2014/40/EU of the European Parliament and of the Council of 3 April 2014 on the approximation of the laws, regulations and administrative provisions of the Member States concerning the manufacture, presentation and sale of tobacco and related products and repealing Directive 2001/37/EC Text with EEA relevance [Internet]. </w:t>
      </w:r>
      <w:r w:rsidRPr="005C3655">
        <w:rPr>
          <w:lang w:val="es-ES"/>
        </w:rPr>
        <w:t xml:space="preserve">OJ L, 32014L0040 Apr 29, 2014. https://eur-lex.europa.eu/eli/dir/2014/40/oj. </w:t>
      </w:r>
      <w:r w:rsidRPr="005C3655">
        <w:rPr>
          <w:lang w:val="en-US"/>
        </w:rPr>
        <w:t>Accessed 29 Oct 2024</w:t>
      </w:r>
    </w:p>
    <w:p w14:paraId="3114AABE" w14:textId="77777777" w:rsidR="0091279B" w:rsidRPr="005C3655" w:rsidRDefault="0091279B" w:rsidP="0091279B">
      <w:pPr>
        <w:pStyle w:val="Sources"/>
        <w:ind w:left="284" w:hanging="284"/>
        <w:rPr>
          <w:lang w:val="en-US"/>
        </w:rPr>
      </w:pPr>
      <w:r w:rsidRPr="005C3655">
        <w:rPr>
          <w:lang w:val="en-US"/>
        </w:rPr>
        <w:t>14. European Union. Consolidated versions of the Treaty on European Union and the Treaty on the Functioning of the European Union Consolidated version of the Treaty on European Union Consolidated version of the Treaty on the Functioning of the European Union Protocols Annexes to the Treaty on the Functioning of the European Union Declarations annexed to the Final Act of the Intergovernmental Conference which adopted the Treaty of Lisbon, signed on 13 December 2007 Tables of equivalences [Internet]. OJ C, 12016ME/TXT June 7, 2016. https://eur-lex.europa.eu/legal-content/EN/TXT/?uri=celex%3A12016ME%2FTXT. Accessed 28 Oct 2024</w:t>
      </w:r>
    </w:p>
    <w:p w14:paraId="00E706B5" w14:textId="77777777" w:rsidR="0091279B" w:rsidRPr="005C3655" w:rsidRDefault="0091279B" w:rsidP="0091279B">
      <w:pPr>
        <w:pStyle w:val="Sources"/>
        <w:ind w:left="284" w:hanging="284"/>
        <w:rPr>
          <w:lang w:val="en-US"/>
        </w:rPr>
      </w:pPr>
      <w:r w:rsidRPr="005C3655">
        <w:rPr>
          <w:lang w:val="en-US"/>
        </w:rPr>
        <w:t xml:space="preserve">15. European Union. Commission Regulation (EU) 2019/649 of 24 April 2019 amending Annex III to Regulation (EC) No 1925/2006 of the European Parliament and of the Council as regards </w:t>
      </w:r>
      <w:proofErr w:type="spellStart"/>
      <w:r w:rsidRPr="005C3655">
        <w:rPr>
          <w:lang w:val="en-US"/>
        </w:rPr>
        <w:t>trans fat</w:t>
      </w:r>
      <w:proofErr w:type="spellEnd"/>
      <w:r w:rsidRPr="005C3655">
        <w:rPr>
          <w:lang w:val="en-US"/>
        </w:rPr>
        <w:t xml:space="preserve">, other than </w:t>
      </w:r>
      <w:proofErr w:type="spellStart"/>
      <w:r w:rsidRPr="005C3655">
        <w:rPr>
          <w:lang w:val="en-US"/>
        </w:rPr>
        <w:t>trans fat</w:t>
      </w:r>
      <w:proofErr w:type="spellEnd"/>
      <w:r w:rsidRPr="005C3655">
        <w:rPr>
          <w:lang w:val="en-US"/>
        </w:rPr>
        <w:t xml:space="preserve"> naturally occurring in fat of animal origin (Text with EEA relevance.) </w:t>
      </w:r>
      <w:r>
        <w:t xml:space="preserve">[Internet]. OJ L Apr 24, 2019. http://data.europa.eu/eli/reg/2019/649/oj/eng. </w:t>
      </w:r>
      <w:r w:rsidRPr="005C3655">
        <w:rPr>
          <w:lang w:val="en-US"/>
        </w:rPr>
        <w:t>Accessed 29 Apr 2025</w:t>
      </w:r>
    </w:p>
    <w:p w14:paraId="39F8EC66" w14:textId="77777777" w:rsidR="0091279B" w:rsidRPr="005C3655" w:rsidRDefault="0091279B" w:rsidP="0091279B">
      <w:pPr>
        <w:pStyle w:val="Sources"/>
        <w:ind w:left="284" w:hanging="284"/>
        <w:rPr>
          <w:lang w:val="en-US"/>
        </w:rPr>
      </w:pPr>
      <w:r w:rsidRPr="005C3655">
        <w:rPr>
          <w:lang w:val="en-US"/>
        </w:rPr>
        <w:t xml:space="preserve">16. European Union. Interinstitutional Agreement of 20 May 2021 between the European Parliament, the Council of the European Union and the European Commission on a mandatory transparency register [Internet]. </w:t>
      </w:r>
      <w:r w:rsidRPr="005C3655">
        <w:rPr>
          <w:lang w:val="es-ES"/>
        </w:rPr>
        <w:t xml:space="preserve">OJ L, 32021Q0611(01) June 11, 2021. http://data.europa.eu/eli/agree_interinstit/2021/611/oj/eng. </w:t>
      </w:r>
      <w:r w:rsidRPr="005C3655">
        <w:rPr>
          <w:lang w:val="en-US"/>
        </w:rPr>
        <w:t>Accessed 3 Apr 2025</w:t>
      </w:r>
    </w:p>
    <w:p w14:paraId="1D91EA10" w14:textId="77777777" w:rsidR="0091279B" w:rsidRPr="005C3655" w:rsidRDefault="0091279B" w:rsidP="0091279B">
      <w:pPr>
        <w:pStyle w:val="Sources"/>
        <w:ind w:left="284" w:hanging="284"/>
        <w:rPr>
          <w:lang w:val="en-US"/>
        </w:rPr>
      </w:pPr>
      <w:r w:rsidRPr="005C3655">
        <w:rPr>
          <w:lang w:val="en-US"/>
        </w:rPr>
        <w:t>17. European Union. Directive 2005/29/EC of the European Parliament and of the Council of 11 May 2005 concerning unfair business-to-consumer commercial practices in the internal market and amending Council Directive 84/450/EEC, Directives 97/7/EC, 98/27/EC and 2002/65/EC of the European Parliament and of the Council and Regulation (EC) No 2006/2004 of the European Parliament and of the Council (Unfair Commercial Practices Directive) (Text with EEA relevance)Text with EEA relevance [Internet]. OJ L, 02005L0029 May 28, 2022. http://data.europa.eu/eli/dir/2005/29/2022-05-28. Accessed 2 Dec 2025</w:t>
      </w:r>
    </w:p>
    <w:p w14:paraId="01CD2110" w14:textId="77777777" w:rsidR="0091279B" w:rsidRPr="005C3655" w:rsidRDefault="0091279B" w:rsidP="0091279B">
      <w:pPr>
        <w:pStyle w:val="Sources"/>
        <w:ind w:left="284" w:hanging="284"/>
        <w:rPr>
          <w:lang w:val="en-US"/>
        </w:rPr>
      </w:pPr>
      <w:r w:rsidRPr="005C3655">
        <w:rPr>
          <w:lang w:val="en-US"/>
        </w:rPr>
        <w:t>18. Federal Republic of Germany. Basic Law for the Federal Republic of Germany (Grundgesetz) [Internet]. Federal Law Gazette. https://www.gesetze-im-internet.de/englisch_gg/englisch_gg.html. Accessed 3 Apr 2025</w:t>
      </w:r>
    </w:p>
    <w:p w14:paraId="357A0D99" w14:textId="77777777" w:rsidR="0091279B" w:rsidRPr="005C3655" w:rsidRDefault="0091279B" w:rsidP="0091279B">
      <w:pPr>
        <w:pStyle w:val="Sources"/>
        <w:ind w:left="284" w:hanging="284"/>
        <w:rPr>
          <w:lang w:val="en-US"/>
        </w:rPr>
      </w:pPr>
      <w:r w:rsidRPr="005C3655">
        <w:rPr>
          <w:lang w:val="en-US"/>
        </w:rPr>
        <w:t>19. Federal Republic of Germany. Federal Act on Shop Opening Hours (</w:t>
      </w:r>
      <w:proofErr w:type="spellStart"/>
      <w:r w:rsidRPr="005C3655">
        <w:rPr>
          <w:lang w:val="en-US"/>
        </w:rPr>
        <w:t>LadSchlG</w:t>
      </w:r>
      <w:proofErr w:type="spellEnd"/>
      <w:r w:rsidRPr="005C3655">
        <w:rPr>
          <w:lang w:val="en-US"/>
        </w:rPr>
        <w:t xml:space="preserve">) [Internet]. </w:t>
      </w:r>
      <w:proofErr w:type="spellStart"/>
      <w:r w:rsidRPr="005C3655">
        <w:rPr>
          <w:lang w:val="en-US"/>
        </w:rPr>
        <w:t>BGBl</w:t>
      </w:r>
      <w:proofErr w:type="spellEnd"/>
      <w:r w:rsidRPr="005C3655">
        <w:rPr>
          <w:lang w:val="en-US"/>
        </w:rPr>
        <w:t xml:space="preserve"> Nov 28, 1956. https://www.gesetze-im-internet.de/ladschlg/BJNR008750956.html. Accessed 21 May 2025</w:t>
      </w:r>
    </w:p>
    <w:p w14:paraId="26687590" w14:textId="77777777" w:rsidR="0091279B" w:rsidRPr="005C3655" w:rsidRDefault="0091279B" w:rsidP="0091279B">
      <w:pPr>
        <w:pStyle w:val="Sources"/>
        <w:ind w:left="284" w:hanging="284"/>
        <w:rPr>
          <w:lang w:val="en-US"/>
        </w:rPr>
      </w:pPr>
      <w:r w:rsidRPr="005C3655">
        <w:rPr>
          <w:lang w:val="en-US"/>
        </w:rPr>
        <w:t>20. Federal Republic of Germany. Act on Assistance to Avoid and Manage Pregnancy Conflicts (</w:t>
      </w:r>
      <w:proofErr w:type="spellStart"/>
      <w:r w:rsidRPr="005C3655">
        <w:rPr>
          <w:lang w:val="en-US"/>
        </w:rPr>
        <w:t>SchKG</w:t>
      </w:r>
      <w:proofErr w:type="spellEnd"/>
      <w:r w:rsidRPr="005C3655">
        <w:rPr>
          <w:lang w:val="en-US"/>
        </w:rPr>
        <w:t xml:space="preserve">) [Internet]. </w:t>
      </w:r>
      <w:proofErr w:type="spellStart"/>
      <w:r w:rsidRPr="005C3655">
        <w:rPr>
          <w:lang w:val="en-US"/>
        </w:rPr>
        <w:t>BGBl</w:t>
      </w:r>
      <w:proofErr w:type="spellEnd"/>
      <w:r w:rsidRPr="005C3655">
        <w:rPr>
          <w:lang w:val="en-US"/>
        </w:rPr>
        <w:t xml:space="preserve"> July 27, 1992. https://www.gesetze-im-internet.de/beratungsg/BJNR113980992.html. Accessed 4 Apr 2025</w:t>
      </w:r>
    </w:p>
    <w:p w14:paraId="1072CAAA" w14:textId="77777777" w:rsidR="0091279B" w:rsidRPr="005C3655" w:rsidRDefault="0091279B" w:rsidP="0091279B">
      <w:pPr>
        <w:pStyle w:val="Sources"/>
        <w:ind w:left="284" w:hanging="284"/>
        <w:rPr>
          <w:lang w:val="en-US"/>
        </w:rPr>
      </w:pPr>
      <w:r w:rsidRPr="005C3655">
        <w:rPr>
          <w:lang w:val="en-US"/>
        </w:rPr>
        <w:t xml:space="preserve">21. Federal Republic of Germany. Federal Act Governing Access to Information held by the Federal Government (Freedom of Information Act) [Internet]. </w:t>
      </w:r>
      <w:proofErr w:type="spellStart"/>
      <w:r w:rsidRPr="005C3655">
        <w:rPr>
          <w:lang w:val="en-US"/>
        </w:rPr>
        <w:t>BGBl</w:t>
      </w:r>
      <w:proofErr w:type="spellEnd"/>
      <w:r w:rsidRPr="005C3655">
        <w:rPr>
          <w:lang w:val="en-US"/>
        </w:rPr>
        <w:t xml:space="preserve"> Sept 5, 2005. https://www.gesetze-im-internet.de/ifg/BJNR272200005.html. Accessed 3 Apr 2025</w:t>
      </w:r>
    </w:p>
    <w:p w14:paraId="1ED59BD3" w14:textId="77777777" w:rsidR="0091279B" w:rsidRPr="005C3655" w:rsidRDefault="0091279B" w:rsidP="0091279B">
      <w:pPr>
        <w:pStyle w:val="Sources"/>
        <w:ind w:left="284" w:hanging="284"/>
        <w:rPr>
          <w:lang w:val="en-US"/>
        </w:rPr>
      </w:pPr>
      <w:r w:rsidRPr="005C3655">
        <w:rPr>
          <w:lang w:val="en-US"/>
        </w:rPr>
        <w:t xml:space="preserve">22. Federal Republic of Germany. Federal Spatial Planning Act [Internet]. </w:t>
      </w:r>
      <w:proofErr w:type="spellStart"/>
      <w:r w:rsidRPr="005C3655">
        <w:rPr>
          <w:lang w:val="en-US"/>
        </w:rPr>
        <w:t>BGBl</w:t>
      </w:r>
      <w:proofErr w:type="spellEnd"/>
      <w:r w:rsidRPr="005C3655">
        <w:rPr>
          <w:lang w:val="en-US"/>
        </w:rPr>
        <w:t xml:space="preserve"> Dec 22, 2008. https://www.gesetze-im-internet.de/rog_2008/BJNR298610008.html. Accessed 3 Apr 2025</w:t>
      </w:r>
    </w:p>
    <w:p w14:paraId="03C7ACBF" w14:textId="77777777" w:rsidR="0091279B" w:rsidRPr="005C3655" w:rsidRDefault="0091279B" w:rsidP="0091279B">
      <w:pPr>
        <w:pStyle w:val="Sources"/>
        <w:ind w:left="284" w:hanging="284"/>
        <w:rPr>
          <w:lang w:val="en-US"/>
        </w:rPr>
      </w:pPr>
      <w:r w:rsidRPr="005C3655">
        <w:rPr>
          <w:lang w:val="en-US"/>
        </w:rPr>
        <w:lastRenderedPageBreak/>
        <w:t>23. Federal Republic of Germany. Act to Promote the Circular Economy and Ensure Environmentally Sound Waste Management (</w:t>
      </w:r>
      <w:proofErr w:type="spellStart"/>
      <w:r w:rsidRPr="005C3655">
        <w:rPr>
          <w:lang w:val="en-US"/>
        </w:rPr>
        <w:t>KrWG</w:t>
      </w:r>
      <w:proofErr w:type="spellEnd"/>
      <w:r w:rsidRPr="005C3655">
        <w:rPr>
          <w:lang w:val="en-US"/>
        </w:rPr>
        <w:t xml:space="preserve">) [Internet]. </w:t>
      </w:r>
      <w:proofErr w:type="spellStart"/>
      <w:r w:rsidRPr="005C3655">
        <w:rPr>
          <w:lang w:val="en-US"/>
        </w:rPr>
        <w:t>BGBl</w:t>
      </w:r>
      <w:proofErr w:type="spellEnd"/>
      <w:r w:rsidRPr="005C3655">
        <w:rPr>
          <w:lang w:val="en-US"/>
        </w:rPr>
        <w:t xml:space="preserve"> Feb 24, 2012. https://www.gesetze-im-internet.de/krwg/. Accessed 4 Apr 2025</w:t>
      </w:r>
    </w:p>
    <w:p w14:paraId="1E3ACC9E" w14:textId="77777777" w:rsidR="0091279B" w:rsidRPr="005C3655" w:rsidRDefault="0091279B" w:rsidP="0091279B">
      <w:pPr>
        <w:pStyle w:val="Sources"/>
        <w:ind w:left="284" w:hanging="284"/>
        <w:rPr>
          <w:lang w:val="en-US"/>
        </w:rPr>
      </w:pPr>
      <w:r w:rsidRPr="005C3655">
        <w:rPr>
          <w:lang w:val="en-US"/>
        </w:rPr>
        <w:t>24. Federal Republic of Germany. Tobacco Products Act (</w:t>
      </w:r>
      <w:proofErr w:type="spellStart"/>
      <w:r w:rsidRPr="005C3655">
        <w:rPr>
          <w:lang w:val="en-US"/>
        </w:rPr>
        <w:t>TabakerzG</w:t>
      </w:r>
      <w:proofErr w:type="spellEnd"/>
      <w:r w:rsidRPr="005C3655">
        <w:rPr>
          <w:lang w:val="en-US"/>
        </w:rPr>
        <w:t xml:space="preserve">) [Internet]. </w:t>
      </w:r>
      <w:proofErr w:type="spellStart"/>
      <w:r w:rsidRPr="005C3655">
        <w:rPr>
          <w:lang w:val="en-US"/>
        </w:rPr>
        <w:t>BGBl</w:t>
      </w:r>
      <w:proofErr w:type="spellEnd"/>
      <w:r w:rsidRPr="005C3655">
        <w:rPr>
          <w:lang w:val="en-US"/>
        </w:rPr>
        <w:t xml:space="preserve"> Apr 4, 2016. https://www.gesetze-im-internet.de/tabakerzg/. Accessed 3 Apr 2025</w:t>
      </w:r>
    </w:p>
    <w:p w14:paraId="50C889D6" w14:textId="77777777" w:rsidR="0091279B" w:rsidRPr="005C3655" w:rsidRDefault="0091279B" w:rsidP="0091279B">
      <w:pPr>
        <w:pStyle w:val="Sources"/>
        <w:ind w:left="284" w:hanging="284"/>
        <w:rPr>
          <w:lang w:val="en-US"/>
        </w:rPr>
      </w:pPr>
      <w:r w:rsidRPr="005C3655">
        <w:rPr>
          <w:lang w:val="en-US"/>
        </w:rPr>
        <w:t>25. Federal Republic of Germany. Ordinance Implementing Union Regulation on Provisions of Food Information to consumers (</w:t>
      </w:r>
      <w:proofErr w:type="spellStart"/>
      <w:r w:rsidRPr="005C3655">
        <w:rPr>
          <w:lang w:val="en-US"/>
        </w:rPr>
        <w:t>Lebensmittelinformations-Durchführungsverordnung</w:t>
      </w:r>
      <w:proofErr w:type="spellEnd"/>
      <w:r w:rsidRPr="005C3655">
        <w:rPr>
          <w:lang w:val="en-US"/>
        </w:rPr>
        <w:t xml:space="preserve"> - LMIDV) [Internet]. </w:t>
      </w:r>
      <w:proofErr w:type="spellStart"/>
      <w:r w:rsidRPr="005C3655">
        <w:rPr>
          <w:lang w:val="en-US"/>
        </w:rPr>
        <w:t>BGBl</w:t>
      </w:r>
      <w:proofErr w:type="spellEnd"/>
      <w:r w:rsidRPr="005C3655">
        <w:rPr>
          <w:lang w:val="en-US"/>
        </w:rPr>
        <w:t xml:space="preserve"> July 5, 2017. https://www.gesetze-im-internet.de/lmidv/BJNR227210017.html. Accessed 27 Nov 2023</w:t>
      </w:r>
    </w:p>
    <w:p w14:paraId="385CB8AD" w14:textId="77777777" w:rsidR="0091279B" w:rsidRPr="005C3655" w:rsidRDefault="0091279B" w:rsidP="0091279B">
      <w:pPr>
        <w:pStyle w:val="Sources"/>
        <w:ind w:left="284" w:hanging="284"/>
        <w:rPr>
          <w:lang w:val="en-US"/>
        </w:rPr>
      </w:pPr>
      <w:r w:rsidRPr="005C3655">
        <w:rPr>
          <w:lang w:val="en-US"/>
        </w:rPr>
        <w:t xml:space="preserve">26. Federal Republic of Germany. Social Code – Book XIV: Social Compensation [Internet]. </w:t>
      </w:r>
      <w:proofErr w:type="spellStart"/>
      <w:r w:rsidRPr="005C3655">
        <w:rPr>
          <w:lang w:val="en-US"/>
        </w:rPr>
        <w:t>BGBl</w:t>
      </w:r>
      <w:proofErr w:type="spellEnd"/>
      <w:r w:rsidRPr="005C3655">
        <w:rPr>
          <w:lang w:val="en-US"/>
        </w:rPr>
        <w:t xml:space="preserve"> Dec 12, 2019. https://www.gesetze-im-internet.de/sgb_14/BJNR265210019.html. Accessed 3 Apr 2025</w:t>
      </w:r>
    </w:p>
    <w:p w14:paraId="582587D5" w14:textId="77777777" w:rsidR="0091279B" w:rsidRPr="005C3655" w:rsidRDefault="0091279B" w:rsidP="0091279B">
      <w:pPr>
        <w:pStyle w:val="Sources"/>
        <w:ind w:left="284" w:hanging="284"/>
        <w:rPr>
          <w:lang w:val="en-US"/>
        </w:rPr>
      </w:pPr>
      <w:r w:rsidRPr="005C3655">
        <w:rPr>
          <w:lang w:val="en-US"/>
        </w:rPr>
        <w:t xml:space="preserve">27. Federal Republic of Germany. Act Introducing a Lobbying Register for the Representation of Special Interests vis-à-vis the German Bundestag and the Federal Government (Lobbying Register Act – </w:t>
      </w:r>
      <w:proofErr w:type="spellStart"/>
      <w:r w:rsidRPr="005C3655">
        <w:rPr>
          <w:lang w:val="en-US"/>
        </w:rPr>
        <w:t>LobbyRG</w:t>
      </w:r>
      <w:proofErr w:type="spellEnd"/>
      <w:r w:rsidRPr="005C3655">
        <w:rPr>
          <w:lang w:val="en-US"/>
        </w:rPr>
        <w:t xml:space="preserve">)​ [Internet]. </w:t>
      </w:r>
      <w:proofErr w:type="spellStart"/>
      <w:r w:rsidRPr="005C3655">
        <w:rPr>
          <w:lang w:val="en-US"/>
        </w:rPr>
        <w:t>BGBl</w:t>
      </w:r>
      <w:proofErr w:type="spellEnd"/>
      <w:r w:rsidRPr="005C3655">
        <w:rPr>
          <w:lang w:val="en-US"/>
        </w:rPr>
        <w:t xml:space="preserve"> Apr 16, 2021. https://www.gesetze-im-internet.de/lobbyrg/. Accessed 27 Mar 2025</w:t>
      </w:r>
    </w:p>
    <w:p w14:paraId="32D8DF0E" w14:textId="77777777" w:rsidR="0091279B" w:rsidRPr="005C3655" w:rsidRDefault="0091279B" w:rsidP="0091279B">
      <w:pPr>
        <w:pStyle w:val="Sources"/>
        <w:ind w:left="284" w:hanging="284"/>
        <w:rPr>
          <w:lang w:val="en-US"/>
        </w:rPr>
      </w:pPr>
      <w:r w:rsidRPr="005C3655">
        <w:rPr>
          <w:lang w:val="en-US"/>
        </w:rPr>
        <w:t>28. Federal Republic of Germany. Directive on Canteens in Federal Agencies (</w:t>
      </w:r>
      <w:proofErr w:type="spellStart"/>
      <w:r w:rsidRPr="005C3655">
        <w:rPr>
          <w:lang w:val="en-US"/>
        </w:rPr>
        <w:t>Kantinenrichtlinien</w:t>
      </w:r>
      <w:proofErr w:type="spellEnd"/>
      <w:r w:rsidRPr="005C3655">
        <w:rPr>
          <w:lang w:val="en-US"/>
        </w:rPr>
        <w:t xml:space="preserve">) [Internet]. </w:t>
      </w:r>
      <w:proofErr w:type="spellStart"/>
      <w:r w:rsidRPr="005C3655">
        <w:rPr>
          <w:lang w:val="en-US"/>
        </w:rPr>
        <w:t>GMBl</w:t>
      </w:r>
      <w:proofErr w:type="spellEnd"/>
      <w:r w:rsidRPr="005C3655">
        <w:rPr>
          <w:lang w:val="en-US"/>
        </w:rPr>
        <w:t xml:space="preserve"> June 6, 2023. https://www.verwaltungsvorschriften-im-internet.de/bsvwvbund_07071954_DIII52133214.htm. Accessed 28 Nov 2025</w:t>
      </w:r>
    </w:p>
    <w:p w14:paraId="44F1EC69" w14:textId="77777777" w:rsidR="0091279B" w:rsidRPr="005C3655" w:rsidRDefault="0091279B" w:rsidP="0091279B">
      <w:pPr>
        <w:pStyle w:val="Sources"/>
        <w:ind w:left="284" w:hanging="284"/>
        <w:rPr>
          <w:lang w:val="en-US"/>
        </w:rPr>
      </w:pPr>
      <w:r w:rsidRPr="005C3655">
        <w:rPr>
          <w:lang w:val="en-US"/>
        </w:rPr>
        <w:t>29. Free and Hanseatic City of Hamburg. Hamburg Senate Act (</w:t>
      </w:r>
      <w:proofErr w:type="spellStart"/>
      <w:r w:rsidRPr="005C3655">
        <w:rPr>
          <w:lang w:val="en-US"/>
        </w:rPr>
        <w:t>SenG</w:t>
      </w:r>
      <w:proofErr w:type="spellEnd"/>
      <w:r w:rsidRPr="005C3655">
        <w:rPr>
          <w:lang w:val="en-US"/>
        </w:rPr>
        <w:t xml:space="preserve"> HA) [Internet]. </w:t>
      </w:r>
      <w:proofErr w:type="spellStart"/>
      <w:r w:rsidRPr="005C3655">
        <w:rPr>
          <w:lang w:val="en-US"/>
        </w:rPr>
        <w:t>HmbGVBl</w:t>
      </w:r>
      <w:proofErr w:type="spellEnd"/>
      <w:r w:rsidRPr="005C3655">
        <w:rPr>
          <w:lang w:val="en-US"/>
        </w:rPr>
        <w:t>, 1103–1 Feb 18, 1971. https://www.landesrecht-hamburg.de/bsha/document/jlr-SenGHA1971V7P9a. Accessed 4 Apr 2025</w:t>
      </w:r>
    </w:p>
    <w:p w14:paraId="10074732" w14:textId="77777777" w:rsidR="0091279B" w:rsidRPr="005C3655" w:rsidRDefault="0091279B" w:rsidP="0091279B">
      <w:pPr>
        <w:pStyle w:val="Sources"/>
        <w:ind w:left="284" w:hanging="284"/>
        <w:rPr>
          <w:lang w:val="en-US"/>
        </w:rPr>
      </w:pPr>
      <w:r w:rsidRPr="005C3655">
        <w:rPr>
          <w:lang w:val="en-US"/>
        </w:rPr>
        <w:t xml:space="preserve">30. Free and Hanseatic City of Hamburg. Regulation on Advertising, Sponsorship and Other Commercial Activities in Public Schools [Internet]. </w:t>
      </w:r>
      <w:proofErr w:type="spellStart"/>
      <w:r>
        <w:t>MBlSchul</w:t>
      </w:r>
      <w:proofErr w:type="spellEnd"/>
      <w:r>
        <w:t xml:space="preserve">, 223 </w:t>
      </w:r>
      <w:proofErr w:type="spellStart"/>
      <w:r>
        <w:t>Dec</w:t>
      </w:r>
      <w:proofErr w:type="spellEnd"/>
      <w:r>
        <w:t xml:space="preserve"> 1, 1998. https://www.landesrecht-hamburg.de/bsha/document/VVHA-VVHA000000116. </w:t>
      </w:r>
      <w:r w:rsidRPr="005C3655">
        <w:rPr>
          <w:lang w:val="en-US"/>
        </w:rPr>
        <w:t>Accessed 27 Nov 2025</w:t>
      </w:r>
    </w:p>
    <w:p w14:paraId="024314D9" w14:textId="77777777" w:rsidR="0091279B" w:rsidRPr="005C3655" w:rsidRDefault="0091279B" w:rsidP="0091279B">
      <w:pPr>
        <w:pStyle w:val="Sources"/>
        <w:ind w:left="284" w:hanging="284"/>
        <w:rPr>
          <w:lang w:val="en-US"/>
        </w:rPr>
      </w:pPr>
      <w:r w:rsidRPr="005C3655">
        <w:rPr>
          <w:lang w:val="en-US"/>
        </w:rPr>
        <w:t>31. Free and Hanseatic City of Hamburg. Hamburg Building Code (</w:t>
      </w:r>
      <w:proofErr w:type="spellStart"/>
      <w:r w:rsidRPr="005C3655">
        <w:rPr>
          <w:lang w:val="en-US"/>
        </w:rPr>
        <w:t>HBauO</w:t>
      </w:r>
      <w:proofErr w:type="spellEnd"/>
      <w:r w:rsidRPr="005C3655">
        <w:rPr>
          <w:lang w:val="en-US"/>
        </w:rPr>
        <w:t xml:space="preserve">) [Internet]. </w:t>
      </w:r>
      <w:proofErr w:type="spellStart"/>
      <w:r w:rsidRPr="005C3655">
        <w:rPr>
          <w:lang w:val="en-US"/>
        </w:rPr>
        <w:t>HmbGVBl</w:t>
      </w:r>
      <w:proofErr w:type="spellEnd"/>
      <w:r w:rsidRPr="005C3655">
        <w:rPr>
          <w:lang w:val="en-US"/>
        </w:rPr>
        <w:t>, 2131–1 Apr 1, 2006. https://www.landesrecht-hamburg.de/bsha/document/jlr-BauOHA2005rahmen. Accessed 3 Apr 2025</w:t>
      </w:r>
    </w:p>
    <w:p w14:paraId="6283677A" w14:textId="77777777" w:rsidR="0091279B" w:rsidRPr="005C3655" w:rsidRDefault="0091279B" w:rsidP="0091279B">
      <w:pPr>
        <w:pStyle w:val="Sources"/>
        <w:ind w:left="284" w:hanging="284"/>
        <w:rPr>
          <w:lang w:val="en-US"/>
        </w:rPr>
      </w:pPr>
      <w:r w:rsidRPr="005C3655">
        <w:rPr>
          <w:lang w:val="en-US"/>
        </w:rPr>
        <w:t>32. Free and Hanseatic City of Hamburg. Hamburg Civil Servants Act (</w:t>
      </w:r>
      <w:proofErr w:type="spellStart"/>
      <w:r w:rsidRPr="005C3655">
        <w:rPr>
          <w:lang w:val="en-US"/>
        </w:rPr>
        <w:t>HmbBG</w:t>
      </w:r>
      <w:proofErr w:type="spellEnd"/>
      <w:r w:rsidRPr="005C3655">
        <w:rPr>
          <w:lang w:val="en-US"/>
        </w:rPr>
        <w:t xml:space="preserve">) [Internet]. </w:t>
      </w:r>
      <w:proofErr w:type="spellStart"/>
      <w:r w:rsidRPr="005C3655">
        <w:rPr>
          <w:lang w:val="en-US"/>
        </w:rPr>
        <w:t>HmbGVBl</w:t>
      </w:r>
      <w:proofErr w:type="spellEnd"/>
      <w:r w:rsidRPr="005C3655">
        <w:rPr>
          <w:lang w:val="en-US"/>
        </w:rPr>
        <w:t>, 2030–1 Dec 15, 2009. https://www.landesrecht-hamburg.de/bsha/document/jlr-BGHA2009rahmen</w:t>
      </w:r>
    </w:p>
    <w:p w14:paraId="66259853" w14:textId="77777777" w:rsidR="0091279B" w:rsidRPr="005C3655" w:rsidRDefault="0091279B" w:rsidP="0091279B">
      <w:pPr>
        <w:pStyle w:val="Sources"/>
        <w:ind w:left="284" w:hanging="284"/>
        <w:rPr>
          <w:lang w:val="en-US"/>
        </w:rPr>
      </w:pPr>
      <w:r w:rsidRPr="005C3655">
        <w:rPr>
          <w:lang w:val="en-US"/>
        </w:rPr>
        <w:t>33. Free Hanseatic City of Bremen. Bremen Restaurant Code (</w:t>
      </w:r>
      <w:proofErr w:type="spellStart"/>
      <w:r w:rsidRPr="005C3655">
        <w:rPr>
          <w:lang w:val="en-US"/>
        </w:rPr>
        <w:t>BremGastG</w:t>
      </w:r>
      <w:proofErr w:type="spellEnd"/>
      <w:r w:rsidRPr="005C3655">
        <w:rPr>
          <w:lang w:val="en-US"/>
        </w:rPr>
        <w:t xml:space="preserve">) [Internet]. </w:t>
      </w:r>
      <w:proofErr w:type="spellStart"/>
      <w:r w:rsidRPr="005C3655">
        <w:rPr>
          <w:lang w:val="en-US"/>
        </w:rPr>
        <w:t>Brem.GBl</w:t>
      </w:r>
      <w:proofErr w:type="spellEnd"/>
      <w:r w:rsidRPr="005C3655">
        <w:rPr>
          <w:lang w:val="en-US"/>
        </w:rPr>
        <w:t xml:space="preserve"> Mar 6, 2009. https://www.transparenz.bremen.de/metainformationen/bremisches-gaststaettengesetz-bremgastg-vom-24-februar-2009-181676?asl=bremen203_tpgesetz.c.55340.de&amp;template=20_gp_ifg_meta_detail_d. Accessed 3 Apr 2025</w:t>
      </w:r>
    </w:p>
    <w:p w14:paraId="4B51934D" w14:textId="77777777" w:rsidR="0091279B" w:rsidRPr="005C3655" w:rsidRDefault="0091279B" w:rsidP="0091279B">
      <w:pPr>
        <w:pStyle w:val="Sources"/>
        <w:ind w:left="284" w:hanging="284"/>
        <w:rPr>
          <w:lang w:val="en-US"/>
        </w:rPr>
      </w:pPr>
      <w:r w:rsidRPr="005C3655">
        <w:rPr>
          <w:lang w:val="en-US"/>
        </w:rPr>
        <w:t>34. Free State of Bavaria. Bavarian Waste Management Act (</w:t>
      </w:r>
      <w:proofErr w:type="spellStart"/>
      <w:r w:rsidRPr="005C3655">
        <w:rPr>
          <w:lang w:val="en-US"/>
        </w:rPr>
        <w:t>BayAbfG</w:t>
      </w:r>
      <w:proofErr w:type="spellEnd"/>
      <w:r w:rsidRPr="005C3655">
        <w:rPr>
          <w:lang w:val="en-US"/>
        </w:rPr>
        <w:t xml:space="preserve">) [Internet]. </w:t>
      </w:r>
      <w:proofErr w:type="spellStart"/>
      <w:r w:rsidRPr="005C3655">
        <w:rPr>
          <w:lang w:val="en-US"/>
        </w:rPr>
        <w:t>GVBl</w:t>
      </w:r>
      <w:proofErr w:type="spellEnd"/>
      <w:r w:rsidRPr="005C3655">
        <w:rPr>
          <w:lang w:val="en-US"/>
        </w:rPr>
        <w:t xml:space="preserve">, </w:t>
      </w:r>
      <w:proofErr w:type="spellStart"/>
      <w:r w:rsidRPr="005C3655">
        <w:rPr>
          <w:lang w:val="en-US"/>
        </w:rPr>
        <w:t>BayRS</w:t>
      </w:r>
      <w:proofErr w:type="spellEnd"/>
      <w:r w:rsidRPr="005C3655">
        <w:rPr>
          <w:lang w:val="en-US"/>
        </w:rPr>
        <w:t xml:space="preserve"> 2129-2-1-U Aug 9, 1996. https://www.gesetze-bayern.de/Content/Document/BayAbfAlG. Accessed 4 Apr 2025</w:t>
      </w:r>
    </w:p>
    <w:p w14:paraId="138CC113" w14:textId="77777777" w:rsidR="0091279B" w:rsidRPr="005C3655" w:rsidRDefault="0091279B" w:rsidP="0091279B">
      <w:pPr>
        <w:pStyle w:val="Sources"/>
        <w:ind w:left="284" w:hanging="284"/>
        <w:rPr>
          <w:lang w:val="en-US"/>
        </w:rPr>
      </w:pPr>
      <w:r w:rsidRPr="005C3655">
        <w:rPr>
          <w:lang w:val="en-US"/>
        </w:rPr>
        <w:t xml:space="preserve">35. Free State of Bavaria. Interstate Treaty on the Protection of Human Dignity and the Protection of Minors in Broadcasting and Telemedia (Interstate Treaty on the Protection of Minors – </w:t>
      </w:r>
      <w:proofErr w:type="spellStart"/>
      <w:r w:rsidRPr="005C3655">
        <w:rPr>
          <w:lang w:val="en-US"/>
        </w:rPr>
        <w:t>JMStV</w:t>
      </w:r>
      <w:proofErr w:type="spellEnd"/>
      <w:r w:rsidRPr="005C3655">
        <w:rPr>
          <w:lang w:val="en-US"/>
        </w:rPr>
        <w:t xml:space="preserve">) [Internet]. </w:t>
      </w:r>
      <w:proofErr w:type="spellStart"/>
      <w:r w:rsidRPr="005C3655">
        <w:rPr>
          <w:lang w:val="en-US"/>
        </w:rPr>
        <w:t>GVBl</w:t>
      </w:r>
      <w:proofErr w:type="spellEnd"/>
      <w:r w:rsidRPr="005C3655">
        <w:rPr>
          <w:lang w:val="en-US"/>
        </w:rPr>
        <w:t xml:space="preserve">, </w:t>
      </w:r>
      <w:proofErr w:type="spellStart"/>
      <w:r w:rsidRPr="005C3655">
        <w:rPr>
          <w:lang w:val="en-US"/>
        </w:rPr>
        <w:t>BayRS</w:t>
      </w:r>
      <w:proofErr w:type="spellEnd"/>
      <w:r w:rsidRPr="005C3655">
        <w:rPr>
          <w:lang w:val="en-US"/>
        </w:rPr>
        <w:t xml:space="preserve"> 02-21-S Sept 13, 2002. https://www.gesetze-bayern.de/Content/Document/JMStV. Accessed 27 Nov 2023</w:t>
      </w:r>
    </w:p>
    <w:p w14:paraId="19D7B00D" w14:textId="77777777" w:rsidR="0091279B" w:rsidRPr="005C3655" w:rsidRDefault="0091279B" w:rsidP="0091279B">
      <w:pPr>
        <w:pStyle w:val="Sources"/>
        <w:ind w:left="284" w:hanging="284"/>
        <w:rPr>
          <w:lang w:val="en-US"/>
        </w:rPr>
      </w:pPr>
      <w:r w:rsidRPr="005C3655">
        <w:rPr>
          <w:lang w:val="en-US"/>
        </w:rPr>
        <w:t xml:space="preserve">36. Free State of Bavaria. Bavarian Health Protection Act (GSG) [Internet]. </w:t>
      </w:r>
      <w:proofErr w:type="spellStart"/>
      <w:r w:rsidRPr="005C3655">
        <w:rPr>
          <w:lang w:val="en-US"/>
        </w:rPr>
        <w:t>GVBl</w:t>
      </w:r>
      <w:proofErr w:type="spellEnd"/>
      <w:r w:rsidRPr="005C3655">
        <w:rPr>
          <w:lang w:val="en-US"/>
        </w:rPr>
        <w:t xml:space="preserve">, </w:t>
      </w:r>
      <w:proofErr w:type="spellStart"/>
      <w:r w:rsidRPr="005C3655">
        <w:rPr>
          <w:lang w:val="en-US"/>
        </w:rPr>
        <w:t>BayRS</w:t>
      </w:r>
      <w:proofErr w:type="spellEnd"/>
      <w:r w:rsidRPr="005C3655">
        <w:rPr>
          <w:lang w:val="en-US"/>
        </w:rPr>
        <w:t xml:space="preserve"> 2126-3-G July 23, 2010. https://www.gesetze-bayern.de/Content/Document/BayGSG/true. Accessed 8 Apr 2025</w:t>
      </w:r>
    </w:p>
    <w:p w14:paraId="02899467" w14:textId="77777777" w:rsidR="0091279B" w:rsidRPr="005C3655" w:rsidRDefault="0091279B" w:rsidP="0091279B">
      <w:pPr>
        <w:pStyle w:val="Sources"/>
        <w:ind w:left="284" w:hanging="284"/>
        <w:rPr>
          <w:lang w:val="en-US"/>
        </w:rPr>
      </w:pPr>
      <w:r w:rsidRPr="005C3655">
        <w:rPr>
          <w:lang w:val="en-US"/>
        </w:rPr>
        <w:t>37. Free State of Bavaria. Interstate Media Treaty (</w:t>
      </w:r>
      <w:proofErr w:type="spellStart"/>
      <w:r w:rsidRPr="005C3655">
        <w:rPr>
          <w:lang w:val="en-US"/>
        </w:rPr>
        <w:t>Medienstaatsvertrag</w:t>
      </w:r>
      <w:proofErr w:type="spellEnd"/>
      <w:r w:rsidRPr="005C3655">
        <w:rPr>
          <w:lang w:val="en-US"/>
        </w:rPr>
        <w:t xml:space="preserve"> </w:t>
      </w:r>
      <w:proofErr w:type="spellStart"/>
      <w:r w:rsidRPr="005C3655">
        <w:rPr>
          <w:lang w:val="en-US"/>
        </w:rPr>
        <w:t>MStV</w:t>
      </w:r>
      <w:proofErr w:type="spellEnd"/>
      <w:r w:rsidRPr="005C3655">
        <w:rPr>
          <w:lang w:val="en-US"/>
        </w:rPr>
        <w:t xml:space="preserve">) [Internet]. </w:t>
      </w:r>
      <w:proofErr w:type="spellStart"/>
      <w:r w:rsidRPr="005C3655">
        <w:rPr>
          <w:lang w:val="en-US"/>
        </w:rPr>
        <w:t>GVBl</w:t>
      </w:r>
      <w:proofErr w:type="spellEnd"/>
      <w:r w:rsidRPr="005C3655">
        <w:rPr>
          <w:lang w:val="en-US"/>
        </w:rPr>
        <w:t xml:space="preserve">, </w:t>
      </w:r>
      <w:proofErr w:type="spellStart"/>
      <w:r w:rsidRPr="005C3655">
        <w:rPr>
          <w:lang w:val="en-US"/>
        </w:rPr>
        <w:t>BayRS</w:t>
      </w:r>
      <w:proofErr w:type="spellEnd"/>
      <w:r w:rsidRPr="005C3655">
        <w:rPr>
          <w:lang w:val="en-US"/>
        </w:rPr>
        <w:t xml:space="preserve"> 02-33-S Apr 23, </w:t>
      </w:r>
      <w:proofErr w:type="gramStart"/>
      <w:r w:rsidRPr="005C3655">
        <w:rPr>
          <w:lang w:val="en-US"/>
        </w:rPr>
        <w:t>2020</w:t>
      </w:r>
      <w:proofErr w:type="gramEnd"/>
      <w:r w:rsidRPr="005C3655">
        <w:rPr>
          <w:lang w:val="en-US"/>
        </w:rPr>
        <w:t xml:space="preserve"> p. S. 450, 451, 2021. https://www.gesetze-bayern.de/Content/Document/MStV. Accessed 27 Nov 2023</w:t>
      </w:r>
    </w:p>
    <w:p w14:paraId="730EF74D" w14:textId="77777777" w:rsidR="0091279B" w:rsidRPr="005C3655" w:rsidRDefault="0091279B" w:rsidP="0091279B">
      <w:pPr>
        <w:pStyle w:val="Sources"/>
        <w:ind w:left="284" w:hanging="284"/>
        <w:rPr>
          <w:lang w:val="en-US"/>
        </w:rPr>
      </w:pPr>
      <w:r w:rsidRPr="005C3655">
        <w:rPr>
          <w:lang w:val="en-US"/>
        </w:rPr>
        <w:t>38. Free State of Bavaria. Bavarian Lobbying Register Act (</w:t>
      </w:r>
      <w:proofErr w:type="spellStart"/>
      <w:r w:rsidRPr="005C3655">
        <w:rPr>
          <w:lang w:val="en-US"/>
        </w:rPr>
        <w:t>BayLobbyRG</w:t>
      </w:r>
      <w:proofErr w:type="spellEnd"/>
      <w:r w:rsidRPr="005C3655">
        <w:rPr>
          <w:lang w:val="en-US"/>
        </w:rPr>
        <w:t xml:space="preserve">) [Internet]. </w:t>
      </w:r>
      <w:proofErr w:type="spellStart"/>
      <w:r w:rsidRPr="005C3655">
        <w:rPr>
          <w:lang w:val="en-US"/>
        </w:rPr>
        <w:t>GVBl</w:t>
      </w:r>
      <w:proofErr w:type="spellEnd"/>
      <w:r w:rsidRPr="005C3655">
        <w:rPr>
          <w:lang w:val="en-US"/>
        </w:rPr>
        <w:t xml:space="preserve">, </w:t>
      </w:r>
      <w:proofErr w:type="spellStart"/>
      <w:r w:rsidRPr="005C3655">
        <w:rPr>
          <w:lang w:val="en-US"/>
        </w:rPr>
        <w:t>BayRS</w:t>
      </w:r>
      <w:proofErr w:type="spellEnd"/>
      <w:r w:rsidRPr="005C3655">
        <w:rPr>
          <w:lang w:val="en-US"/>
        </w:rPr>
        <w:t xml:space="preserve"> 1100-7-I July 6, 2021. https://www.gesetze-bayern.de/Content/Document/BayLobbyRG/true. Accessed 4 Apr 2025</w:t>
      </w:r>
    </w:p>
    <w:p w14:paraId="2032348C" w14:textId="77777777" w:rsidR="0091279B" w:rsidRPr="005C3655" w:rsidRDefault="0091279B" w:rsidP="0091279B">
      <w:pPr>
        <w:pStyle w:val="Sources"/>
        <w:ind w:left="284" w:hanging="284"/>
        <w:rPr>
          <w:lang w:val="en-US"/>
        </w:rPr>
      </w:pPr>
      <w:r w:rsidRPr="005C3655">
        <w:rPr>
          <w:lang w:val="en-US"/>
        </w:rPr>
        <w:t>39. Free State of Saxony. Municipal Code for the Free State of Saxony (</w:t>
      </w:r>
      <w:proofErr w:type="spellStart"/>
      <w:r w:rsidRPr="005C3655">
        <w:rPr>
          <w:lang w:val="en-US"/>
        </w:rPr>
        <w:t>SächsGemO</w:t>
      </w:r>
      <w:proofErr w:type="spellEnd"/>
      <w:r w:rsidRPr="005C3655">
        <w:rPr>
          <w:lang w:val="en-US"/>
        </w:rPr>
        <w:t xml:space="preserve">) [Internet]. </w:t>
      </w:r>
      <w:proofErr w:type="spellStart"/>
      <w:r>
        <w:t>SächsGVBl</w:t>
      </w:r>
      <w:proofErr w:type="spellEnd"/>
      <w:r>
        <w:t xml:space="preserve">, 230–1 June 29, 2024. https://www.revosax.sachsen.de/vorschrift/2754-Saechsische-Gemeindeordnung#x1. </w:t>
      </w:r>
      <w:r w:rsidRPr="005C3655">
        <w:rPr>
          <w:lang w:val="en-US"/>
        </w:rPr>
        <w:t>Accessed 4 Apr 2025</w:t>
      </w:r>
    </w:p>
    <w:p w14:paraId="411694BC" w14:textId="77777777" w:rsidR="0091279B" w:rsidRPr="005C3655" w:rsidRDefault="0091279B" w:rsidP="0091279B">
      <w:pPr>
        <w:pStyle w:val="Sources"/>
        <w:ind w:left="284" w:hanging="284"/>
        <w:rPr>
          <w:lang w:val="en-US"/>
        </w:rPr>
      </w:pPr>
      <w:r w:rsidRPr="005C3655">
        <w:rPr>
          <w:lang w:val="en-US"/>
        </w:rPr>
        <w:t>40. Free State of Thuringia. Restaurant Code Thuringia (</w:t>
      </w:r>
      <w:proofErr w:type="spellStart"/>
      <w:r w:rsidRPr="005C3655">
        <w:rPr>
          <w:lang w:val="en-US"/>
        </w:rPr>
        <w:t>ThürGastG</w:t>
      </w:r>
      <w:proofErr w:type="spellEnd"/>
      <w:r w:rsidRPr="005C3655">
        <w:rPr>
          <w:lang w:val="en-US"/>
        </w:rPr>
        <w:t xml:space="preserve">) [Internet]. </w:t>
      </w:r>
      <w:r w:rsidRPr="005C3655">
        <w:rPr>
          <w:lang w:val="es-ES"/>
        </w:rPr>
        <w:t xml:space="preserve">GVBl, 711–1 Dec 1, 2008. https://www.landesrecht.thueringen.de/bsth/document/jlr-GastGTHrahmen. </w:t>
      </w:r>
      <w:r w:rsidRPr="005C3655">
        <w:rPr>
          <w:lang w:val="en-US"/>
        </w:rPr>
        <w:t>Accessed 4 Apr 2025</w:t>
      </w:r>
    </w:p>
    <w:p w14:paraId="1A54BAC7" w14:textId="77777777" w:rsidR="0091279B" w:rsidRPr="005C3655" w:rsidRDefault="0091279B" w:rsidP="0091279B">
      <w:pPr>
        <w:pStyle w:val="Sources"/>
        <w:ind w:left="284" w:hanging="284"/>
        <w:rPr>
          <w:lang w:val="en-US"/>
        </w:rPr>
      </w:pPr>
      <w:r w:rsidRPr="005C3655">
        <w:rPr>
          <w:lang w:val="en-US"/>
        </w:rPr>
        <w:lastRenderedPageBreak/>
        <w:t xml:space="preserve">41. </w:t>
      </w:r>
      <w:proofErr w:type="spellStart"/>
      <w:r w:rsidRPr="005C3655">
        <w:rPr>
          <w:lang w:val="en-US"/>
        </w:rPr>
        <w:t>Friedrichshain</w:t>
      </w:r>
      <w:proofErr w:type="spellEnd"/>
      <w:r w:rsidRPr="005C3655">
        <w:rPr>
          <w:lang w:val="en-US"/>
        </w:rPr>
        <w:t xml:space="preserve">-Kreuzberg District Administration (Berlin). Initiative against misogynistic, sexist, and discriminatory advertising. </w:t>
      </w:r>
      <w:proofErr w:type="spellStart"/>
      <w:r w:rsidRPr="005C3655">
        <w:rPr>
          <w:lang w:val="en-US"/>
        </w:rPr>
        <w:t>Drucksache</w:t>
      </w:r>
      <w:proofErr w:type="spellEnd"/>
      <w:r w:rsidRPr="005C3655">
        <w:rPr>
          <w:lang w:val="en-US"/>
        </w:rPr>
        <w:t xml:space="preserve"> DS 1013-01/IV Feb 26, 2014. </w:t>
      </w:r>
    </w:p>
    <w:p w14:paraId="3F8E2CE6" w14:textId="77777777" w:rsidR="0091279B" w:rsidRPr="005C3655" w:rsidRDefault="0091279B" w:rsidP="0091279B">
      <w:pPr>
        <w:pStyle w:val="Sources"/>
        <w:ind w:left="284" w:hanging="284"/>
        <w:rPr>
          <w:lang w:val="en-US"/>
        </w:rPr>
      </w:pPr>
      <w:r w:rsidRPr="005C3655">
        <w:rPr>
          <w:lang w:val="en-US"/>
        </w:rPr>
        <w:t>42. GGL – Joint Gambling Authority of the Federal States. Interstate Treaty on Gambling (</w:t>
      </w:r>
      <w:proofErr w:type="spellStart"/>
      <w:r w:rsidRPr="005C3655">
        <w:rPr>
          <w:lang w:val="en-US"/>
        </w:rPr>
        <w:t>GlüStV</w:t>
      </w:r>
      <w:proofErr w:type="spellEnd"/>
      <w:r w:rsidRPr="005C3655">
        <w:rPr>
          <w:lang w:val="en-US"/>
        </w:rPr>
        <w:t>) [Internet]. Oct 29, 2020. https://gluecksspiel-behoerde.de/de/fuer-gluecksspielanbieter/gesetzliche-regelungen. Accessed 4 Apr 2025</w:t>
      </w:r>
    </w:p>
    <w:p w14:paraId="4C5D4DC5" w14:textId="77777777" w:rsidR="0091279B" w:rsidRPr="005C3655" w:rsidRDefault="0091279B" w:rsidP="0091279B">
      <w:pPr>
        <w:pStyle w:val="Sources"/>
        <w:ind w:left="284" w:hanging="284"/>
        <w:rPr>
          <w:lang w:val="es-ES"/>
        </w:rPr>
      </w:pPr>
      <w:r w:rsidRPr="005C3655">
        <w:rPr>
          <w:lang w:val="en-US"/>
        </w:rPr>
        <w:t>43. State of Baden-Württemberg. Shop Opening Hours Act Baden-Württemberg (</w:t>
      </w:r>
      <w:proofErr w:type="spellStart"/>
      <w:r w:rsidRPr="005C3655">
        <w:rPr>
          <w:lang w:val="en-US"/>
        </w:rPr>
        <w:t>LadÖG</w:t>
      </w:r>
      <w:proofErr w:type="spellEnd"/>
      <w:r w:rsidRPr="005C3655">
        <w:rPr>
          <w:lang w:val="en-US"/>
        </w:rPr>
        <w:t xml:space="preserve">) [Internet]. </w:t>
      </w:r>
      <w:r w:rsidRPr="005C3655">
        <w:rPr>
          <w:lang w:val="es-ES"/>
        </w:rPr>
        <w:t>GBl, 8050 Mar 6, 2007. https://www.landesrecht-bw.de/bsbw/document/jlr-L%C3%96GBWrahmen. Accessed 4 Apr 2025</w:t>
      </w:r>
    </w:p>
    <w:p w14:paraId="327D4CB8" w14:textId="77777777" w:rsidR="0091279B" w:rsidRPr="005C3655" w:rsidRDefault="0091279B" w:rsidP="0091279B">
      <w:pPr>
        <w:pStyle w:val="Sources"/>
        <w:ind w:left="284" w:hanging="284"/>
        <w:rPr>
          <w:lang w:val="en-US"/>
        </w:rPr>
      </w:pPr>
      <w:r w:rsidRPr="005C3655">
        <w:rPr>
          <w:lang w:val="es-ES"/>
        </w:rPr>
        <w:t xml:space="preserve">44. State of Baden-Württemberg. Restaurant Code Baden-Württemberg (LGastG) [Internet]. GBl, 7130 Nov 10, 2009. https://www.landesrecht-bw.de/bsbw/document/jlr-GastGBW2009pP1. </w:t>
      </w:r>
      <w:r w:rsidRPr="005C3655">
        <w:rPr>
          <w:lang w:val="en-US"/>
        </w:rPr>
        <w:t>Accessed 4 Apr 2025</w:t>
      </w:r>
    </w:p>
    <w:p w14:paraId="0BF4F3A2" w14:textId="77777777" w:rsidR="0091279B" w:rsidRPr="005C3655" w:rsidRDefault="0091279B" w:rsidP="0091279B">
      <w:pPr>
        <w:pStyle w:val="Sources"/>
        <w:ind w:left="284" w:hanging="284"/>
        <w:rPr>
          <w:lang w:val="en-US"/>
        </w:rPr>
      </w:pPr>
      <w:r w:rsidRPr="005C3655">
        <w:rPr>
          <w:lang w:val="en-US"/>
        </w:rPr>
        <w:t xml:space="preserve">45. State of Baden-Württemberg. Act to Improve Agricultural Structures in Baden-Württemberg [Internet]. </w:t>
      </w:r>
      <w:proofErr w:type="spellStart"/>
      <w:r w:rsidRPr="005C3655">
        <w:rPr>
          <w:lang w:val="en-US"/>
        </w:rPr>
        <w:t>GBl</w:t>
      </w:r>
      <w:proofErr w:type="spellEnd"/>
      <w:r w:rsidRPr="005C3655">
        <w:rPr>
          <w:lang w:val="en-US"/>
        </w:rPr>
        <w:t>, 781 July 1, 2010. https://www.landesrecht-bw.de/bsbw/document/jlr-AgrStrVerbGBW2009rahmen/part/X. Accessed 12 Apr 2024</w:t>
      </w:r>
    </w:p>
    <w:p w14:paraId="4F333796" w14:textId="77777777" w:rsidR="0091279B" w:rsidRPr="005C3655" w:rsidRDefault="0091279B" w:rsidP="0091279B">
      <w:pPr>
        <w:pStyle w:val="Sources"/>
        <w:ind w:left="284" w:hanging="284"/>
        <w:rPr>
          <w:lang w:val="en-US"/>
        </w:rPr>
      </w:pPr>
      <w:r w:rsidRPr="005C3655">
        <w:rPr>
          <w:lang w:val="en-US"/>
        </w:rPr>
        <w:t>46. State of Baden-Württemberg. Gambling Act Baden-Württemberg (</w:t>
      </w:r>
      <w:proofErr w:type="spellStart"/>
      <w:r w:rsidRPr="005C3655">
        <w:rPr>
          <w:lang w:val="en-US"/>
        </w:rPr>
        <w:t>LGlüG</w:t>
      </w:r>
      <w:proofErr w:type="spellEnd"/>
      <w:r w:rsidRPr="005C3655">
        <w:rPr>
          <w:lang w:val="en-US"/>
        </w:rPr>
        <w:t xml:space="preserve">) [Internet]. </w:t>
      </w:r>
      <w:proofErr w:type="spellStart"/>
      <w:r w:rsidRPr="005C3655">
        <w:rPr>
          <w:lang w:val="en-US"/>
        </w:rPr>
        <w:t>GBl</w:t>
      </w:r>
      <w:proofErr w:type="spellEnd"/>
      <w:r w:rsidRPr="005C3655">
        <w:rPr>
          <w:lang w:val="en-US"/>
        </w:rPr>
        <w:t>, 2186 Nov 29, 2012. https://www.landesrecht-bw.de/bsbw/document/jlr-GlSpielGBWrahmen. Accessed 16 Dec 2024</w:t>
      </w:r>
    </w:p>
    <w:p w14:paraId="7AE855FF" w14:textId="77777777" w:rsidR="0091279B" w:rsidRPr="005C3655" w:rsidRDefault="0091279B" w:rsidP="0091279B">
      <w:pPr>
        <w:pStyle w:val="Sources"/>
        <w:ind w:left="284" w:hanging="284"/>
        <w:rPr>
          <w:lang w:val="en-US"/>
        </w:rPr>
      </w:pPr>
      <w:r w:rsidRPr="005C3655">
        <w:rPr>
          <w:lang w:val="en-US"/>
        </w:rPr>
        <w:t>47. State of Baden-Württemberg. Act on the Prevention of Alcohol-Related Disturbances to Public Security [Internet]. GBI, 631 Dec 7, 2017. https://doi.org/10.5771/9783415071100</w:t>
      </w:r>
    </w:p>
    <w:p w14:paraId="3E38160B" w14:textId="77777777" w:rsidR="0091279B" w:rsidRPr="005C3655" w:rsidRDefault="0091279B" w:rsidP="0091279B">
      <w:pPr>
        <w:pStyle w:val="Sources"/>
        <w:ind w:left="284" w:hanging="284"/>
        <w:rPr>
          <w:lang w:val="en-US"/>
        </w:rPr>
      </w:pPr>
      <w:r w:rsidRPr="005C3655">
        <w:rPr>
          <w:lang w:val="en-US"/>
        </w:rPr>
        <w:t xml:space="preserve">48. State of Baden-Württemberg. Transparency Register Act (TRegG) [Internet]. </w:t>
      </w:r>
      <w:proofErr w:type="spellStart"/>
      <w:r w:rsidRPr="005C3655">
        <w:rPr>
          <w:lang w:val="en-US"/>
        </w:rPr>
        <w:t>GBl</w:t>
      </w:r>
      <w:proofErr w:type="spellEnd"/>
      <w:r w:rsidRPr="005C3655">
        <w:rPr>
          <w:lang w:val="en-US"/>
        </w:rPr>
        <w:t xml:space="preserve"> May 1, 2021. https://www.landtag-bw.de/files/live/sites/LTBW/files/dokumente/WP16/Drucksachen/9000/16_9883_D.pdf. Accessed 8 Jan 2024</w:t>
      </w:r>
    </w:p>
    <w:p w14:paraId="08B267F6" w14:textId="77777777" w:rsidR="0091279B" w:rsidRPr="005C3655" w:rsidRDefault="0091279B" w:rsidP="0091279B">
      <w:pPr>
        <w:pStyle w:val="Sources"/>
        <w:ind w:left="284" w:hanging="284"/>
        <w:rPr>
          <w:lang w:val="en-US"/>
        </w:rPr>
      </w:pPr>
      <w:r w:rsidRPr="005C3655">
        <w:rPr>
          <w:lang w:val="en-US"/>
        </w:rPr>
        <w:t>49. State of Berlin. Berlin School Act (</w:t>
      </w:r>
      <w:proofErr w:type="spellStart"/>
      <w:r w:rsidRPr="005C3655">
        <w:rPr>
          <w:lang w:val="en-US"/>
        </w:rPr>
        <w:t>SchulG</w:t>
      </w:r>
      <w:proofErr w:type="spellEnd"/>
      <w:r w:rsidRPr="005C3655">
        <w:rPr>
          <w:lang w:val="en-US"/>
        </w:rPr>
        <w:t xml:space="preserve">) [Internet]. </w:t>
      </w:r>
      <w:proofErr w:type="spellStart"/>
      <w:r w:rsidRPr="005C3655">
        <w:rPr>
          <w:lang w:val="en-US"/>
        </w:rPr>
        <w:t>GVBl</w:t>
      </w:r>
      <w:proofErr w:type="spellEnd"/>
      <w:r w:rsidRPr="005C3655">
        <w:rPr>
          <w:lang w:val="en-US"/>
        </w:rPr>
        <w:t>, 2230–1 Jan 26, 2004. https://gesetze.berlin.de/bsbe/document/jlr-SchulGBEV34IVZ. Accessed 4 Apr 2025</w:t>
      </w:r>
    </w:p>
    <w:p w14:paraId="3F4AF22D" w14:textId="77777777" w:rsidR="0091279B" w:rsidRPr="005C3655" w:rsidRDefault="0091279B" w:rsidP="0091279B">
      <w:pPr>
        <w:pStyle w:val="Sources"/>
        <w:ind w:left="284" w:hanging="284"/>
        <w:rPr>
          <w:lang w:val="en-US"/>
        </w:rPr>
      </w:pPr>
      <w:r w:rsidRPr="005C3655">
        <w:rPr>
          <w:lang w:val="en-US"/>
        </w:rPr>
        <w:t>50. State of Berlin. Act on Protection from the Hazards of Passive Smoking in Public (</w:t>
      </w:r>
      <w:proofErr w:type="spellStart"/>
      <w:r w:rsidRPr="005C3655">
        <w:rPr>
          <w:lang w:val="en-US"/>
        </w:rPr>
        <w:t>Nichtraucherschutzgesetz</w:t>
      </w:r>
      <w:proofErr w:type="spellEnd"/>
      <w:r w:rsidRPr="005C3655">
        <w:rPr>
          <w:lang w:val="en-US"/>
        </w:rPr>
        <w:t xml:space="preserve"> - NRSG) [Internet]. </w:t>
      </w:r>
      <w:proofErr w:type="spellStart"/>
      <w:r w:rsidRPr="005C3655">
        <w:rPr>
          <w:lang w:val="en-US"/>
        </w:rPr>
        <w:t>GVBl</w:t>
      </w:r>
      <w:proofErr w:type="spellEnd"/>
      <w:r w:rsidRPr="005C3655">
        <w:rPr>
          <w:lang w:val="en-US"/>
        </w:rPr>
        <w:t>, 2127–18 Jan 1, 2008. https://gesetze.berlin.de/bsbe/document/jlr-NRauchSchGBErahmen. Accessed 27 Nov 2025</w:t>
      </w:r>
    </w:p>
    <w:p w14:paraId="39398FD3" w14:textId="77777777" w:rsidR="0091279B" w:rsidRPr="005C3655" w:rsidRDefault="0091279B" w:rsidP="0091279B">
      <w:pPr>
        <w:pStyle w:val="Sources"/>
        <w:ind w:left="284" w:hanging="284"/>
        <w:rPr>
          <w:lang w:val="en-US"/>
        </w:rPr>
      </w:pPr>
      <w:r w:rsidRPr="005C3655">
        <w:rPr>
          <w:lang w:val="en-US"/>
        </w:rPr>
        <w:t>51. State of Brandenburg. Brandenburg School Act (</w:t>
      </w:r>
      <w:proofErr w:type="spellStart"/>
      <w:r w:rsidRPr="005C3655">
        <w:rPr>
          <w:lang w:val="en-US"/>
        </w:rPr>
        <w:t>BbgSchulG</w:t>
      </w:r>
      <w:proofErr w:type="spellEnd"/>
      <w:r w:rsidRPr="005C3655">
        <w:rPr>
          <w:lang w:val="en-US"/>
        </w:rPr>
        <w:t xml:space="preserve">) [Internet]. </w:t>
      </w:r>
      <w:proofErr w:type="spellStart"/>
      <w:r w:rsidRPr="005C3655">
        <w:rPr>
          <w:lang w:val="en-US"/>
        </w:rPr>
        <w:t>GVBl</w:t>
      </w:r>
      <w:proofErr w:type="spellEnd"/>
      <w:r w:rsidRPr="005C3655">
        <w:rPr>
          <w:lang w:val="en-US"/>
        </w:rPr>
        <w:t xml:space="preserve"> Aug 2, 2002. https://bravors.brandenburg.de/gesetze/bbgschulg/21. Accessed 3 Apr 2025</w:t>
      </w:r>
    </w:p>
    <w:p w14:paraId="704F6592" w14:textId="77777777" w:rsidR="0091279B" w:rsidRPr="005C3655" w:rsidRDefault="0091279B" w:rsidP="0091279B">
      <w:pPr>
        <w:pStyle w:val="Sources"/>
        <w:ind w:left="284" w:hanging="284"/>
        <w:rPr>
          <w:lang w:val="en-US"/>
        </w:rPr>
      </w:pPr>
      <w:r w:rsidRPr="005C3655">
        <w:rPr>
          <w:lang w:val="en-US"/>
        </w:rPr>
        <w:t>52. State of Brandenburg. Brandenburg Restaurant Code (</w:t>
      </w:r>
      <w:proofErr w:type="spellStart"/>
      <w:r w:rsidRPr="005C3655">
        <w:rPr>
          <w:lang w:val="en-US"/>
        </w:rPr>
        <w:t>BbgGastG</w:t>
      </w:r>
      <w:proofErr w:type="spellEnd"/>
      <w:r w:rsidRPr="005C3655">
        <w:rPr>
          <w:lang w:val="en-US"/>
        </w:rPr>
        <w:t xml:space="preserve">) [Internet]. </w:t>
      </w:r>
      <w:proofErr w:type="spellStart"/>
      <w:r w:rsidRPr="005C3655">
        <w:rPr>
          <w:lang w:val="en-US"/>
        </w:rPr>
        <w:t>GVBl</w:t>
      </w:r>
      <w:proofErr w:type="spellEnd"/>
      <w:r w:rsidRPr="005C3655">
        <w:rPr>
          <w:lang w:val="en-US"/>
        </w:rPr>
        <w:t xml:space="preserve"> Oct 2, 2008. https://bravors.brandenburg.de/de/gesetze-213965. Accessed 3 Apr 2025</w:t>
      </w:r>
    </w:p>
    <w:p w14:paraId="30F87CAA" w14:textId="77777777" w:rsidR="0091279B" w:rsidRPr="005C3655" w:rsidRDefault="0091279B" w:rsidP="0091279B">
      <w:pPr>
        <w:pStyle w:val="Sources"/>
        <w:ind w:left="284" w:hanging="284"/>
        <w:rPr>
          <w:lang w:val="en-US"/>
        </w:rPr>
      </w:pPr>
      <w:r w:rsidRPr="005C3655">
        <w:rPr>
          <w:lang w:val="en-US"/>
        </w:rPr>
        <w:t>53. State of Brandenburg. Act on the Legal Status of Members of the State Government of Brandenburg (</w:t>
      </w:r>
      <w:proofErr w:type="spellStart"/>
      <w:r w:rsidRPr="005C3655">
        <w:rPr>
          <w:lang w:val="en-US"/>
        </w:rPr>
        <w:t>BbgMinG</w:t>
      </w:r>
      <w:proofErr w:type="spellEnd"/>
      <w:r w:rsidRPr="005C3655">
        <w:rPr>
          <w:lang w:val="en-US"/>
        </w:rPr>
        <w:t xml:space="preserve">) [Internet]. </w:t>
      </w:r>
      <w:proofErr w:type="spellStart"/>
      <w:r w:rsidRPr="005C3655">
        <w:rPr>
          <w:lang w:val="en-US"/>
        </w:rPr>
        <w:t>GVBl</w:t>
      </w:r>
      <w:proofErr w:type="spellEnd"/>
      <w:r w:rsidRPr="005C3655">
        <w:rPr>
          <w:lang w:val="en-US"/>
        </w:rPr>
        <w:t xml:space="preserve"> Mar 14, 2014. https://bravors.brandenburg.de/gesetze/bbgming. Accessed 3 Apr 2025</w:t>
      </w:r>
    </w:p>
    <w:p w14:paraId="47D34B84" w14:textId="77777777" w:rsidR="0091279B" w:rsidRPr="005C3655" w:rsidRDefault="0091279B" w:rsidP="0091279B">
      <w:pPr>
        <w:pStyle w:val="Sources"/>
        <w:ind w:left="284" w:hanging="284"/>
        <w:rPr>
          <w:lang w:val="en-US"/>
        </w:rPr>
      </w:pPr>
      <w:r w:rsidRPr="005C3655">
        <w:rPr>
          <w:lang w:val="en-US"/>
        </w:rPr>
        <w:t xml:space="preserve">54. State of Brandenburg. Directive on Building Planning Law and Spatial Planning Assessment of Large-Scale Retail </w:t>
      </w:r>
      <w:proofErr w:type="gramStart"/>
      <w:r w:rsidRPr="005C3655">
        <w:rPr>
          <w:lang w:val="en-US"/>
        </w:rPr>
        <w:t>Projects(</w:t>
      </w:r>
      <w:proofErr w:type="spellStart"/>
      <w:proofErr w:type="gramEnd"/>
      <w:r w:rsidRPr="005C3655">
        <w:rPr>
          <w:lang w:val="en-US"/>
        </w:rPr>
        <w:t>Einzelhandelserlass</w:t>
      </w:r>
      <w:proofErr w:type="spellEnd"/>
      <w:r w:rsidRPr="005C3655">
        <w:rPr>
          <w:lang w:val="en-US"/>
        </w:rPr>
        <w:t>) [Internet]. ABl June 17, 2014. https://bravors.brandenburg.de/de/verwaltungsvorschriften-221302. Accessed 10 Apr 2024</w:t>
      </w:r>
    </w:p>
    <w:p w14:paraId="1004E4EB" w14:textId="77777777" w:rsidR="0091279B" w:rsidRPr="005C3655" w:rsidRDefault="0091279B" w:rsidP="0091279B">
      <w:pPr>
        <w:pStyle w:val="Sources"/>
        <w:ind w:left="284" w:hanging="284"/>
        <w:rPr>
          <w:lang w:val="en-US"/>
        </w:rPr>
      </w:pPr>
      <w:r w:rsidRPr="005C3655">
        <w:rPr>
          <w:lang w:val="en-US"/>
        </w:rPr>
        <w:t xml:space="preserve">55. State of Brandenburg. Act on the Legal Status of Members of the Landtag of Brandenburg (BbgAbgG) [Internet]. </w:t>
      </w:r>
      <w:proofErr w:type="spellStart"/>
      <w:r w:rsidRPr="005C3655">
        <w:rPr>
          <w:lang w:val="en-US"/>
        </w:rPr>
        <w:t>GVBl</w:t>
      </w:r>
      <w:proofErr w:type="spellEnd"/>
      <w:r w:rsidRPr="005C3655">
        <w:rPr>
          <w:lang w:val="en-US"/>
        </w:rPr>
        <w:t xml:space="preserve"> Dec 2, 2019. https://bravors.brandenburg.de/gesetze/abgg. Accessed 3 Apr 2025</w:t>
      </w:r>
    </w:p>
    <w:p w14:paraId="26CEB64F" w14:textId="77777777" w:rsidR="0091279B" w:rsidRPr="005C3655" w:rsidRDefault="0091279B" w:rsidP="0091279B">
      <w:pPr>
        <w:pStyle w:val="Sources"/>
        <w:ind w:left="284" w:hanging="284"/>
        <w:rPr>
          <w:lang w:val="en-US"/>
        </w:rPr>
      </w:pPr>
      <w:r>
        <w:t xml:space="preserve">56. State of Brandenburg. Interstate Media Treaty (Medienstaatsvertrag MStV) [Internet]. </w:t>
      </w:r>
      <w:proofErr w:type="spellStart"/>
      <w:r w:rsidRPr="005C3655">
        <w:rPr>
          <w:lang w:val="en-US"/>
        </w:rPr>
        <w:t>GVBl</w:t>
      </w:r>
      <w:proofErr w:type="spellEnd"/>
      <w:r w:rsidRPr="005C3655">
        <w:rPr>
          <w:lang w:val="en-US"/>
        </w:rPr>
        <w:t xml:space="preserve"> Apr 28, 2020. https://bravors.brandenburg.de/vertraege/mstv/2. Accessed 4 Apr 2025</w:t>
      </w:r>
    </w:p>
    <w:p w14:paraId="6334AB3F" w14:textId="77777777" w:rsidR="0091279B" w:rsidRPr="005C3655" w:rsidRDefault="0091279B" w:rsidP="0091279B">
      <w:pPr>
        <w:pStyle w:val="Sources"/>
        <w:ind w:left="284" w:hanging="284"/>
        <w:rPr>
          <w:lang w:val="en-US"/>
        </w:rPr>
      </w:pPr>
      <w:r w:rsidRPr="005C3655">
        <w:rPr>
          <w:lang w:val="en-US"/>
        </w:rPr>
        <w:t>57. State of Hesse. Restaurant Code Hesse (</w:t>
      </w:r>
      <w:proofErr w:type="spellStart"/>
      <w:r w:rsidRPr="005C3655">
        <w:rPr>
          <w:lang w:val="en-US"/>
        </w:rPr>
        <w:t>HGastG</w:t>
      </w:r>
      <w:proofErr w:type="spellEnd"/>
      <w:r w:rsidRPr="005C3655">
        <w:rPr>
          <w:lang w:val="en-US"/>
        </w:rPr>
        <w:t xml:space="preserve">) [Internet]. </w:t>
      </w:r>
      <w:proofErr w:type="spellStart"/>
      <w:r w:rsidRPr="005C3655">
        <w:rPr>
          <w:lang w:val="en-US"/>
        </w:rPr>
        <w:t>GVBl</w:t>
      </w:r>
      <w:proofErr w:type="spellEnd"/>
      <w:r w:rsidRPr="005C3655">
        <w:rPr>
          <w:lang w:val="en-US"/>
        </w:rPr>
        <w:t>, 512–87 May 1, 2012. https://www.rv.hessenrecht.hessen.de/bshe/document/jlr-GastGHEpP1. Accessed 3 Apr 2025</w:t>
      </w:r>
    </w:p>
    <w:p w14:paraId="769A72B7" w14:textId="77777777" w:rsidR="0091279B" w:rsidRPr="005C3655" w:rsidRDefault="0091279B" w:rsidP="0091279B">
      <w:pPr>
        <w:pStyle w:val="Sources"/>
        <w:ind w:left="284" w:hanging="284"/>
        <w:rPr>
          <w:lang w:val="en-US"/>
        </w:rPr>
      </w:pPr>
      <w:r w:rsidRPr="005C3655">
        <w:rPr>
          <w:lang w:val="en-US"/>
        </w:rPr>
        <w:t>58. State of Lower Saxony. Lower Saxony Restaurant Code (</w:t>
      </w:r>
      <w:proofErr w:type="spellStart"/>
      <w:r w:rsidRPr="005C3655">
        <w:rPr>
          <w:lang w:val="en-US"/>
        </w:rPr>
        <w:t>NGastG</w:t>
      </w:r>
      <w:proofErr w:type="spellEnd"/>
      <w:r w:rsidRPr="005C3655">
        <w:rPr>
          <w:lang w:val="en-US"/>
        </w:rPr>
        <w:t xml:space="preserve">) [Internet]. </w:t>
      </w:r>
      <w:proofErr w:type="spellStart"/>
      <w:r w:rsidRPr="005C3655">
        <w:rPr>
          <w:lang w:val="en-US"/>
        </w:rPr>
        <w:t>GVBl</w:t>
      </w:r>
      <w:proofErr w:type="spellEnd"/>
      <w:r w:rsidRPr="005C3655">
        <w:rPr>
          <w:lang w:val="en-US"/>
        </w:rPr>
        <w:t>, 71080 Nov 10, 2011. https://voris.wolterskluwer-online.de/browse/document/27d36d5c-a5ce-3db4-b72d-d7407e0f6aa8. Accessed 4 Apr 2025</w:t>
      </w:r>
    </w:p>
    <w:p w14:paraId="1E2FC6BA" w14:textId="77777777" w:rsidR="0091279B" w:rsidRPr="005C3655" w:rsidRDefault="0091279B" w:rsidP="0091279B">
      <w:pPr>
        <w:pStyle w:val="Sources"/>
        <w:ind w:left="284" w:hanging="284"/>
        <w:rPr>
          <w:lang w:val="en-US"/>
        </w:rPr>
      </w:pPr>
      <w:r w:rsidRPr="005C3655">
        <w:rPr>
          <w:lang w:val="en-US"/>
        </w:rPr>
        <w:lastRenderedPageBreak/>
        <w:t xml:space="preserve">59. State of North Rhine-Westphalia. North Rhine-Westphalia Act on the Enforcement of Food, Feed and Consumer Goods Law (LFBRVG NRW) [Internet]. </w:t>
      </w:r>
      <w:r w:rsidRPr="005C3655">
        <w:rPr>
          <w:lang w:val="es-ES"/>
        </w:rPr>
        <w:t xml:space="preserve">GV NW Mar 19, 1985. https://recht.nrw.de/lmi/owa/br_text_anzeigen?v_id=10000000000000000142. </w:t>
      </w:r>
      <w:r w:rsidRPr="005C3655">
        <w:rPr>
          <w:lang w:val="en-US"/>
        </w:rPr>
        <w:t>Accessed 4 Apr 2025</w:t>
      </w:r>
    </w:p>
    <w:p w14:paraId="29E784CB" w14:textId="77777777" w:rsidR="0091279B" w:rsidRPr="005C3655" w:rsidRDefault="0091279B" w:rsidP="0091279B">
      <w:pPr>
        <w:pStyle w:val="Sources"/>
        <w:ind w:left="284" w:hanging="284"/>
        <w:rPr>
          <w:lang w:val="en-US"/>
        </w:rPr>
      </w:pPr>
      <w:r w:rsidRPr="005C3655">
        <w:rPr>
          <w:lang w:val="en-US"/>
        </w:rPr>
        <w:t>60. State of North Rhine-Westphalia. Circular Economy Act North Rhine-</w:t>
      </w:r>
      <w:proofErr w:type="gramStart"/>
      <w:r w:rsidRPr="005C3655">
        <w:rPr>
          <w:lang w:val="en-US"/>
        </w:rPr>
        <w:t>Westphalia  (</w:t>
      </w:r>
      <w:proofErr w:type="spellStart"/>
      <w:proofErr w:type="gramEnd"/>
      <w:r w:rsidRPr="005C3655">
        <w:rPr>
          <w:lang w:val="en-US"/>
        </w:rPr>
        <w:t>LKrWG</w:t>
      </w:r>
      <w:proofErr w:type="spellEnd"/>
      <w:r w:rsidRPr="005C3655">
        <w:rPr>
          <w:lang w:val="en-US"/>
        </w:rPr>
        <w:t>) [Internet]. GV. NW. June 21, 1988. https://recht.nrw.de/lmi/owa/br_text_anzeigen?v_id=10000000000000000534. Accessed 11 Apr 2024</w:t>
      </w:r>
    </w:p>
    <w:p w14:paraId="31DE3491" w14:textId="77777777" w:rsidR="0091279B" w:rsidRPr="005C3655" w:rsidRDefault="0091279B" w:rsidP="0091279B">
      <w:pPr>
        <w:pStyle w:val="Sources"/>
        <w:ind w:left="284" w:hanging="284"/>
        <w:rPr>
          <w:lang w:val="en-US"/>
        </w:rPr>
      </w:pPr>
      <w:r w:rsidRPr="005C3655">
        <w:rPr>
          <w:lang w:val="en-US"/>
        </w:rPr>
        <w:t>61. State of North Rhine-Westphalia. Municipal Code for the State of North Rhine-Westphalia (GO NRW) [Internet]. GV. NW. Oct 17, 1994. https://recht.nrw.de/lmi/owa/br_bes_text?sg=0&amp;menu=1&amp;bes_id=6784&amp;aufgehoben=N&amp;anw_nr=2. Accessed 4 Apr 2025</w:t>
      </w:r>
    </w:p>
    <w:p w14:paraId="349369D4" w14:textId="77777777" w:rsidR="0091279B" w:rsidRPr="005C3655" w:rsidRDefault="0091279B" w:rsidP="0091279B">
      <w:pPr>
        <w:pStyle w:val="Sources"/>
        <w:ind w:left="284" w:hanging="284"/>
        <w:rPr>
          <w:lang w:val="en-US"/>
        </w:rPr>
      </w:pPr>
      <w:r w:rsidRPr="005C3655">
        <w:rPr>
          <w:lang w:val="en-US"/>
        </w:rPr>
        <w:t>62. State of North Rhine-Westphalia. North Rhine-Westphalia School Act (</w:t>
      </w:r>
      <w:proofErr w:type="spellStart"/>
      <w:r w:rsidRPr="005C3655">
        <w:rPr>
          <w:lang w:val="en-US"/>
        </w:rPr>
        <w:t>SchulG</w:t>
      </w:r>
      <w:proofErr w:type="spellEnd"/>
      <w:r w:rsidRPr="005C3655">
        <w:rPr>
          <w:lang w:val="en-US"/>
        </w:rPr>
        <w:t xml:space="preserve"> NRW) [Internet]. GV NRW Aug 1, 2005. https://recht.nrw.de/lmi/owa/br_text_anzeigen?v_id=10000000000000000524. Accessed 4 Apr 2025</w:t>
      </w:r>
    </w:p>
    <w:p w14:paraId="164FCAFA" w14:textId="77777777" w:rsidR="0091279B" w:rsidRPr="005C3655" w:rsidRDefault="0091279B" w:rsidP="0091279B">
      <w:pPr>
        <w:pStyle w:val="Sources"/>
        <w:ind w:left="284" w:hanging="284"/>
        <w:rPr>
          <w:lang w:val="en-US"/>
        </w:rPr>
      </w:pPr>
      <w:r w:rsidRPr="005C3655">
        <w:rPr>
          <w:lang w:val="en-US"/>
        </w:rPr>
        <w:t>63. State of North Rhine-Westphalia. North Rhine-Westphalia Shop Opening Hours Act (LÖG NRW) [Internet]. GV NRW Nov 21, 2006. https://recht.nrw.de/lmi/owa/br_text_anzeigen?v_id=10000000000000000525. Accessed 8 Apr 2025</w:t>
      </w:r>
    </w:p>
    <w:p w14:paraId="0E2A8DF3" w14:textId="77777777" w:rsidR="0091279B" w:rsidRPr="005C3655" w:rsidRDefault="0091279B" w:rsidP="0091279B">
      <w:pPr>
        <w:pStyle w:val="Sources"/>
        <w:ind w:left="284" w:hanging="284"/>
        <w:rPr>
          <w:lang w:val="en-US"/>
        </w:rPr>
      </w:pPr>
      <w:r w:rsidRPr="005C3655">
        <w:rPr>
          <w:lang w:val="en-US"/>
        </w:rPr>
        <w:t>64. State of North Rhine-Westphalia. North Rhine-Westphalia Act Implementing the Interstate Treaty on Gambling (</w:t>
      </w:r>
      <w:proofErr w:type="spellStart"/>
      <w:r w:rsidRPr="005C3655">
        <w:rPr>
          <w:lang w:val="en-US"/>
        </w:rPr>
        <w:t>GlüStV</w:t>
      </w:r>
      <w:proofErr w:type="spellEnd"/>
      <w:r w:rsidRPr="005C3655">
        <w:rPr>
          <w:lang w:val="en-US"/>
        </w:rPr>
        <w:t xml:space="preserve"> NRW) [Internet]. GV NRW Nov 13, 2012. https://recht.nrw.de/lmi/owa/br_text_anzeigen?v_id=10000000000000000145. Accessed 3 Apr 2025</w:t>
      </w:r>
    </w:p>
    <w:p w14:paraId="11944E70" w14:textId="77777777" w:rsidR="0091279B" w:rsidRPr="005C3655" w:rsidRDefault="0091279B" w:rsidP="0091279B">
      <w:pPr>
        <w:pStyle w:val="Sources"/>
        <w:ind w:left="284" w:hanging="284"/>
        <w:rPr>
          <w:lang w:val="en-US"/>
        </w:rPr>
      </w:pPr>
      <w:r w:rsidRPr="005C3655">
        <w:rPr>
          <w:lang w:val="en-US"/>
        </w:rPr>
        <w:t>65. State of North Rhine-Westphalia. Regulation for Canteens at State Agencies (</w:t>
      </w:r>
      <w:proofErr w:type="spellStart"/>
      <w:r w:rsidRPr="005C3655">
        <w:rPr>
          <w:lang w:val="en-US"/>
        </w:rPr>
        <w:t>Kantinenrichtlinien</w:t>
      </w:r>
      <w:proofErr w:type="spellEnd"/>
      <w:r w:rsidRPr="005C3655">
        <w:rPr>
          <w:lang w:val="en-US"/>
        </w:rPr>
        <w:t xml:space="preserve">) [Internet]. </w:t>
      </w:r>
      <w:proofErr w:type="spellStart"/>
      <w:r w:rsidRPr="005C3655">
        <w:rPr>
          <w:lang w:val="en-US"/>
        </w:rPr>
        <w:t>MBl</w:t>
      </w:r>
      <w:proofErr w:type="spellEnd"/>
      <w:r w:rsidRPr="005C3655">
        <w:rPr>
          <w:lang w:val="en-US"/>
        </w:rPr>
        <w:t>., B 3115-0.3-IV A 2 v. Jan 15, 2015. https://recht.nrw.de/lmi/owa/br_text_anzeigen?v_id=10000000000000000056. Accessed 12 Dec 2023</w:t>
      </w:r>
    </w:p>
    <w:p w14:paraId="0191EA25" w14:textId="77777777" w:rsidR="0091279B" w:rsidRPr="005C3655" w:rsidRDefault="0091279B" w:rsidP="0091279B">
      <w:pPr>
        <w:pStyle w:val="Sources"/>
        <w:ind w:left="284" w:hanging="284"/>
        <w:rPr>
          <w:lang w:val="en-US"/>
        </w:rPr>
      </w:pPr>
      <w:r w:rsidRPr="005C3655">
        <w:rPr>
          <w:lang w:val="en-US"/>
        </w:rPr>
        <w:t>66. State of North Rhine-Westphalia. Public Health Service Act North Rhine-Westphalia (ÖGDG NRW) [Internet]. GV. NRW. June 10, 2025. https://recht.nrw.de/lmi/owa/br_bes_text?sg=0&amp;menu=0&amp;anw_nr=2&amp;gld_nr=%200&amp;ugl_nr=0&amp;val=55312&amp;ver=0&amp;aufgehoben=N&amp;keyword=&amp;bes_id=55312&amp;show_preview=1&amp;typ=Kopf. Accessed 28 Nov 2025</w:t>
      </w:r>
    </w:p>
    <w:p w14:paraId="55D03D8B" w14:textId="77777777" w:rsidR="0091279B" w:rsidRPr="005C3655" w:rsidRDefault="0091279B" w:rsidP="0091279B">
      <w:pPr>
        <w:pStyle w:val="Sources"/>
        <w:ind w:left="284" w:hanging="284"/>
        <w:rPr>
          <w:lang w:val="en-US"/>
        </w:rPr>
      </w:pPr>
      <w:r w:rsidRPr="005C3655">
        <w:rPr>
          <w:lang w:val="en-US"/>
        </w:rPr>
        <w:t>67. State of Saarland. Saarland Restaurant Code (</w:t>
      </w:r>
      <w:proofErr w:type="spellStart"/>
      <w:r w:rsidRPr="005C3655">
        <w:rPr>
          <w:lang w:val="en-US"/>
        </w:rPr>
        <w:t>SGastG</w:t>
      </w:r>
      <w:proofErr w:type="spellEnd"/>
      <w:r w:rsidRPr="005C3655">
        <w:rPr>
          <w:lang w:val="en-US"/>
        </w:rPr>
        <w:t xml:space="preserve">) [Internet]. </w:t>
      </w:r>
      <w:r>
        <w:t xml:space="preserve">Amtsblatt I, 7103–1 Apr 13, 2011. https://recht.saarland.de/bssl/document/jlr-GastGSLrahmen. </w:t>
      </w:r>
      <w:r w:rsidRPr="005C3655">
        <w:rPr>
          <w:lang w:val="en-US"/>
        </w:rPr>
        <w:t>Accessed 4 Apr 2025</w:t>
      </w:r>
    </w:p>
    <w:p w14:paraId="30D5EEDD" w14:textId="77777777" w:rsidR="0091279B" w:rsidRPr="005C3655" w:rsidRDefault="0091279B" w:rsidP="0091279B">
      <w:pPr>
        <w:pStyle w:val="Sources"/>
        <w:ind w:left="284" w:hanging="284"/>
        <w:rPr>
          <w:lang w:val="en-US"/>
        </w:rPr>
      </w:pPr>
      <w:r w:rsidRPr="005C3655">
        <w:rPr>
          <w:lang w:val="en-US"/>
        </w:rPr>
        <w:t>68. State of Saxony-Anhalt. Saxony-Anhalt Restaurant Code (</w:t>
      </w:r>
      <w:proofErr w:type="spellStart"/>
      <w:r w:rsidRPr="005C3655">
        <w:rPr>
          <w:lang w:val="en-US"/>
        </w:rPr>
        <w:t>GastG</w:t>
      </w:r>
      <w:proofErr w:type="spellEnd"/>
      <w:r w:rsidRPr="005C3655">
        <w:rPr>
          <w:lang w:val="en-US"/>
        </w:rPr>
        <w:t xml:space="preserve"> LSA) [Internet]. </w:t>
      </w:r>
      <w:r>
        <w:t xml:space="preserve">GVBl, 7130.3 Aug 7, 2014. https://www.landesrecht.sachsen-anhalt.de/bsst/document/jlr-GastGSTrahmen. </w:t>
      </w:r>
      <w:r w:rsidRPr="005C3655">
        <w:rPr>
          <w:lang w:val="en-US"/>
        </w:rPr>
        <w:t>Accessed 3 Apr 2025</w:t>
      </w:r>
    </w:p>
    <w:p w14:paraId="1A3972C6" w14:textId="77777777" w:rsidR="0091279B" w:rsidRPr="005C3655" w:rsidRDefault="0091279B" w:rsidP="0091279B">
      <w:pPr>
        <w:pStyle w:val="Sources"/>
        <w:ind w:left="284" w:hanging="284"/>
        <w:rPr>
          <w:lang w:val="en-US"/>
        </w:rPr>
      </w:pPr>
      <w:r w:rsidRPr="005C3655">
        <w:rPr>
          <w:lang w:val="en-US"/>
        </w:rPr>
        <w:t>69. State of Schleswig-Holstein. Schleswig-Holstein Ministerial Status Act (</w:t>
      </w:r>
      <w:proofErr w:type="spellStart"/>
      <w:r w:rsidRPr="005C3655">
        <w:rPr>
          <w:lang w:val="en-US"/>
        </w:rPr>
        <w:t>MinG</w:t>
      </w:r>
      <w:proofErr w:type="spellEnd"/>
      <w:r w:rsidRPr="005C3655">
        <w:rPr>
          <w:lang w:val="en-US"/>
        </w:rPr>
        <w:t xml:space="preserve"> SH) [Internet]. </w:t>
      </w:r>
      <w:proofErr w:type="spellStart"/>
      <w:r w:rsidRPr="005C3655">
        <w:rPr>
          <w:lang w:val="en-US"/>
        </w:rPr>
        <w:t>GVOBl</w:t>
      </w:r>
      <w:proofErr w:type="spellEnd"/>
      <w:r w:rsidRPr="005C3655">
        <w:rPr>
          <w:lang w:val="en-US"/>
        </w:rPr>
        <w:t>, 1103–1 Oct 1, 1990. https://www.gesetze-rechtsprechung.sh.juris.de/bssh/document/jlr-MinGSHrahmen. Accessed 4 Apr 2025</w:t>
      </w:r>
    </w:p>
    <w:p w14:paraId="28F4CB48" w14:textId="77777777" w:rsidR="0091279B" w:rsidRPr="005C3655" w:rsidRDefault="0091279B" w:rsidP="0091279B">
      <w:pPr>
        <w:pStyle w:val="Sources"/>
        <w:ind w:left="284" w:hanging="284"/>
        <w:rPr>
          <w:lang w:val="en-US"/>
        </w:rPr>
      </w:pPr>
      <w:r w:rsidRPr="005C3655">
        <w:rPr>
          <w:lang w:val="en-US"/>
        </w:rPr>
        <w:t xml:space="preserve">70. State of Schleswig-Holstein. Schleswig-Holstein Members of Parliament Act (SH </w:t>
      </w:r>
      <w:proofErr w:type="spellStart"/>
      <w:r w:rsidRPr="005C3655">
        <w:rPr>
          <w:lang w:val="en-US"/>
        </w:rPr>
        <w:t>AbgG</w:t>
      </w:r>
      <w:proofErr w:type="spellEnd"/>
      <w:r w:rsidRPr="005C3655">
        <w:rPr>
          <w:lang w:val="en-US"/>
        </w:rPr>
        <w:t xml:space="preserve">) [Internet]. </w:t>
      </w:r>
      <w:proofErr w:type="spellStart"/>
      <w:r w:rsidRPr="005C3655">
        <w:rPr>
          <w:lang w:val="en-US"/>
        </w:rPr>
        <w:t>GVOBl</w:t>
      </w:r>
      <w:proofErr w:type="spellEnd"/>
      <w:r w:rsidRPr="005C3655">
        <w:rPr>
          <w:lang w:val="en-US"/>
        </w:rPr>
        <w:t>, 1101–5 Feb 13, 1991. https://www.gesetze-rechtsprechung.sh.juris.de/bssh/document/jlr-AbgGSHV23P57. Accessed 4 Apr 2025</w:t>
      </w:r>
    </w:p>
    <w:p w14:paraId="588AE8D2" w14:textId="52274938" w:rsidR="00531BD0" w:rsidRPr="005C3655" w:rsidRDefault="0091279B" w:rsidP="0091279B">
      <w:pPr>
        <w:pStyle w:val="Sources"/>
        <w:ind w:left="284" w:hanging="284"/>
        <w:rPr>
          <w:lang w:val="es-ES"/>
        </w:rPr>
      </w:pPr>
      <w:r w:rsidRPr="005C3655">
        <w:rPr>
          <w:lang w:val="en-US"/>
        </w:rPr>
        <w:t xml:space="preserve">71. State of Schleswig-Holstein. Schleswig-Holstein Civil Servants Act (LBG) [Internet]. </w:t>
      </w:r>
      <w:r w:rsidRPr="005C3655">
        <w:rPr>
          <w:lang w:val="es-ES"/>
        </w:rPr>
        <w:t>GVOBl, 2030–16 Apr 1, 2009. https://www.gesetze-rechtsprechung.sh.juris.de/bssh/document/jlr-BGSH2009rahmen</w:t>
      </w:r>
    </w:p>
    <w:p w14:paraId="021D691B" w14:textId="2638E133" w:rsidR="006D05B0" w:rsidRDefault="006D05B0" w:rsidP="00E75743">
      <w:pPr>
        <w:pStyle w:val="berschrift2"/>
      </w:pPr>
      <w:bookmarkStart w:id="25" w:name="_Toc221783968"/>
      <w:r>
        <w:t>Judicial decisions</w:t>
      </w:r>
      <w:bookmarkEnd w:id="25"/>
    </w:p>
    <w:p w14:paraId="0EC6EB98" w14:textId="77777777" w:rsidR="00531BD0" w:rsidRPr="005C3655" w:rsidRDefault="00531BD0" w:rsidP="00531BD0">
      <w:pPr>
        <w:pStyle w:val="Sources"/>
        <w:rPr>
          <w:lang w:val="en-US"/>
        </w:rPr>
      </w:pPr>
      <w:r w:rsidRPr="005C3655">
        <w:rPr>
          <w:lang w:val="en-US"/>
        </w:rPr>
        <w:t xml:space="preserve">1. Proceedings on the Constitutional Complaint 1. directly against the judgment of the Federal Administrative Court of 24 May 2023 – </w:t>
      </w:r>
      <w:proofErr w:type="spellStart"/>
      <w:r w:rsidRPr="005C3655">
        <w:rPr>
          <w:lang w:val="en-US"/>
        </w:rPr>
        <w:t>BVerwG</w:t>
      </w:r>
      <w:proofErr w:type="spellEnd"/>
      <w:r w:rsidRPr="005C3655">
        <w:rPr>
          <w:lang w:val="en-US"/>
        </w:rPr>
        <w:t xml:space="preserve"> 9 CN 1.22 –, and 2. indirectly against the Statute of the University City of Tübingen on the Levy of a Packaging Tax (</w:t>
      </w:r>
      <w:proofErr w:type="spellStart"/>
      <w:r w:rsidRPr="005C3655">
        <w:rPr>
          <w:lang w:val="en-US"/>
        </w:rPr>
        <w:t>Verpackungssteuersatzung</w:t>
      </w:r>
      <w:proofErr w:type="spellEnd"/>
      <w:r w:rsidRPr="005C3655">
        <w:rPr>
          <w:lang w:val="en-US"/>
        </w:rPr>
        <w:t xml:space="preserve">) of 30 January 2020, as amended by the Statute of the University City of Tübingen Amending the Statute on the Levy of a Packaging Tax of 27 July 2020 [Internet]. </w:t>
      </w:r>
      <w:proofErr w:type="spellStart"/>
      <w:r w:rsidRPr="005C3655">
        <w:rPr>
          <w:lang w:val="en-US"/>
        </w:rPr>
        <w:t>BvR</w:t>
      </w:r>
      <w:proofErr w:type="spellEnd"/>
      <w:r w:rsidRPr="005C3655">
        <w:rPr>
          <w:lang w:val="en-US"/>
        </w:rPr>
        <w:t>. 2024 [cited 2025 Apr 4]. https://www.bundesverfassungsgericht.de/SharedDocs/Entscheidungen/DE/2024/11/rs20241127_1bvr172623.html. Accessed 4 Apr 2025</w:t>
      </w:r>
    </w:p>
    <w:p w14:paraId="0048E949" w14:textId="77777777" w:rsidR="00531BD0" w:rsidRPr="005C3655" w:rsidRDefault="00531BD0" w:rsidP="00531BD0">
      <w:pPr>
        <w:pStyle w:val="Sources"/>
        <w:rPr>
          <w:lang w:val="en-US"/>
        </w:rPr>
      </w:pPr>
      <w:r w:rsidRPr="005C3655">
        <w:rPr>
          <w:lang w:val="en-US"/>
        </w:rPr>
        <w:lastRenderedPageBreak/>
        <w:t xml:space="preserve">2. Proceedings on the Constitutional Review whether the Nuclear Fuel Tax Act of 8 December 2010 (Federal Law Gazette I p. 1804) is incompatible with the Basic Law and therefore invalid [Internet]. </w:t>
      </w:r>
      <w:proofErr w:type="spellStart"/>
      <w:r w:rsidRPr="005C3655">
        <w:rPr>
          <w:lang w:val="en-US"/>
        </w:rPr>
        <w:t>BvL</w:t>
      </w:r>
      <w:proofErr w:type="spellEnd"/>
      <w:r w:rsidRPr="005C3655">
        <w:rPr>
          <w:lang w:val="en-US"/>
        </w:rPr>
        <w:t>. 2017 [cited 2024 Nov 26]. https://www.bundesverfassungsgericht.de/SharedDocs/Pressemitteilungen/DE/2017/bvg17-042.html. Accessed 26 Nov 2024</w:t>
      </w:r>
    </w:p>
    <w:p w14:paraId="082A3871" w14:textId="77777777" w:rsidR="00531BD0" w:rsidRPr="005C3655" w:rsidRDefault="00531BD0" w:rsidP="00531BD0">
      <w:pPr>
        <w:pStyle w:val="Sources"/>
        <w:rPr>
          <w:lang w:val="en-US"/>
        </w:rPr>
      </w:pPr>
      <w:r w:rsidRPr="005C3655">
        <w:rPr>
          <w:lang w:val="en-US"/>
        </w:rPr>
        <w:t>3. Proceedings on the Constitutional Complaint against Article 1(1) of the Act to Avert Alcohol-Related Disturbances of Public Security and Order during Night-Time Hours and to Protect against Alcohol-Related Health Hazards (</w:t>
      </w:r>
      <w:proofErr w:type="spellStart"/>
      <w:r w:rsidRPr="005C3655">
        <w:rPr>
          <w:lang w:val="en-US"/>
        </w:rPr>
        <w:t>Alkoholverkaufsverbotsgesetz</w:t>
      </w:r>
      <w:proofErr w:type="spellEnd"/>
      <w:r w:rsidRPr="005C3655">
        <w:rPr>
          <w:lang w:val="en-US"/>
        </w:rPr>
        <w:t>) of the Land of Baden-Württemberg of 10 November 2009 (</w:t>
      </w:r>
      <w:proofErr w:type="spellStart"/>
      <w:r w:rsidRPr="005C3655">
        <w:rPr>
          <w:lang w:val="en-US"/>
        </w:rPr>
        <w:t>GBl</w:t>
      </w:r>
      <w:proofErr w:type="spellEnd"/>
      <w:r w:rsidRPr="005C3655">
        <w:rPr>
          <w:lang w:val="en-US"/>
        </w:rPr>
        <w:t xml:space="preserve">. BW p. 628) [Internet]. </w:t>
      </w:r>
      <w:proofErr w:type="spellStart"/>
      <w:r w:rsidRPr="005C3655">
        <w:rPr>
          <w:lang w:val="en-US"/>
        </w:rPr>
        <w:t>BvR</w:t>
      </w:r>
      <w:proofErr w:type="spellEnd"/>
      <w:r w:rsidRPr="005C3655">
        <w:rPr>
          <w:lang w:val="en-US"/>
        </w:rPr>
        <w:t>. 2010 [cited 2025 Apr 4]. https://www.bundesverfassungsgericht.de/SharedDocs/Entscheidungen/DE/2010/09/rk20100929_1bvr178910.html. Accessed 4 Apr 2025</w:t>
      </w:r>
    </w:p>
    <w:p w14:paraId="338D4822" w14:textId="56C3ECE4" w:rsidR="006F464F" w:rsidRPr="006F464F" w:rsidRDefault="00531BD0" w:rsidP="00531BD0">
      <w:pPr>
        <w:pStyle w:val="Sources"/>
      </w:pPr>
      <w:r w:rsidRPr="005C3655">
        <w:rPr>
          <w:lang w:val="en-US"/>
        </w:rPr>
        <w:t xml:space="preserve">4. Judgment of the Court of 5 October 2000. - Federal Republic of Germany v European Parliament and Council of the European Union. - Directive 98/43/EC - Advertising and sponsorship of tobacco products - Legal basis - Article 100a of the EC Treaty (now, after amendment, Article 95 EC). - Case C-376/98 [Internet]. 2000 [cited 2025 Nov 27]. https://eur-lex.europa.eu/legal-content/EN/TXT/?uri=celex:61998CJ0376. </w:t>
      </w:r>
      <w:proofErr w:type="spellStart"/>
      <w:r>
        <w:t>Accessed</w:t>
      </w:r>
      <w:proofErr w:type="spellEnd"/>
      <w:r>
        <w:t xml:space="preserve"> 27 Nov 2025</w:t>
      </w:r>
    </w:p>
    <w:p w14:paraId="37282C8F" w14:textId="77777777" w:rsidR="006D05B0" w:rsidRPr="006F464F" w:rsidRDefault="006D05B0" w:rsidP="00E75743">
      <w:pPr>
        <w:pStyle w:val="berschrift2"/>
      </w:pPr>
      <w:bookmarkStart w:id="26" w:name="_Toc221783969"/>
      <w:r w:rsidRPr="006F464F">
        <w:t>Legal assessments</w:t>
      </w:r>
      <w:bookmarkEnd w:id="26"/>
    </w:p>
    <w:p w14:paraId="1157D52C" w14:textId="78B3D288" w:rsidR="00531BD0" w:rsidRDefault="00531BD0" w:rsidP="00531BD0">
      <w:pPr>
        <w:pStyle w:val="Sources"/>
      </w:pPr>
      <w:r>
        <w:t>1. Borwieck K. Rechtsgutachten zur Frage der Verfassungsmäßigkeit eines Gesetzes zum Schutz von Kindern vor Werbung für Lebensmittel mit hohem Zucker-, Fett- oder Salzgehalt (Kinder-Lebensmittel-Werbegesetz – KLWG) [Internet]. GEULEN &amp; KLINGER Rechtsanwälte; 2023 June. https://www.foodwatch.org/fileadmin/-DE/Themen/Kinderernaehrung/Dokumente/2023-06-14_Gutachten_Kindermarketing_Lebensmittel_Gesetz_Borwieck.pdf. Accessed 28 Nov 2023</w:t>
      </w:r>
    </w:p>
    <w:p w14:paraId="7199B513" w14:textId="77777777" w:rsidR="00531BD0" w:rsidRDefault="00531BD0" w:rsidP="00531BD0">
      <w:pPr>
        <w:pStyle w:val="Sources"/>
      </w:pPr>
      <w:r>
        <w:t>2. Degenhart ProfDrC. Verfassungsfragen marktbezogener Kommunikation: Werbeverbote für Tabakprodukte [Internet]. Universität Leipzig; 2015. https://www.bmel.de/SharedDocs/Downloads/DE/Glaeserne-Gesetze/Stellungnahmen/2-gesetz-aenderung-tabakerzeugnisgesetz_FAW-RG-Degenhart.pdf?__blob=publicationFile&amp;v=3. Accessed 27 Nov 2023</w:t>
      </w:r>
    </w:p>
    <w:p w14:paraId="30C48DAB" w14:textId="77777777" w:rsidR="00531BD0" w:rsidRDefault="00531BD0" w:rsidP="00531BD0">
      <w:pPr>
        <w:pStyle w:val="Sources"/>
      </w:pPr>
      <w:r>
        <w:t>3. Research Services of the Federal Parliament. Zuständigkeiten von Bund, Ländern und der EU im Medien und Telekommunikationsrecht [Internet]. Berlin: Deutscher Bundestag; 2007 Mar. https://www.bundestag.de/resource/blob/414758/56625ce3f32429cedc2ca5def04f87a1/wd-10-029-07-pdf-data.pdf. Accessed 27 Nov 2023</w:t>
      </w:r>
    </w:p>
    <w:p w14:paraId="7F7BA505" w14:textId="77777777" w:rsidR="00531BD0" w:rsidRDefault="00531BD0" w:rsidP="00531BD0">
      <w:pPr>
        <w:pStyle w:val="Sources"/>
      </w:pPr>
      <w:r w:rsidRPr="005C3655">
        <w:rPr>
          <w:lang w:val="en-US"/>
        </w:rPr>
        <w:t xml:space="preserve">4. Research Services of the Federal Parliament. </w:t>
      </w:r>
      <w:r>
        <w:t>Medienregulierung in Deutschland und Kanada [Internet]. Berlin: Deutscher Bundestag; 2015. Report No.: WD 10-3000-057/15. https://www.bundestag.de/resource/blob/416426/21c4f613adab817cca9e55bd0fd24c4d/WD-10-057-15-pdf-data.pdf. Accessed 23 Apr 2024</w:t>
      </w:r>
    </w:p>
    <w:p w14:paraId="4576B118" w14:textId="77777777" w:rsidR="00531BD0" w:rsidRDefault="00531BD0" w:rsidP="00531BD0">
      <w:pPr>
        <w:pStyle w:val="Sources"/>
      </w:pPr>
      <w:r w:rsidRPr="005C3655">
        <w:rPr>
          <w:lang w:val="en-US"/>
        </w:rPr>
        <w:t xml:space="preserve">5. Research Services of the Federal Parliament. </w:t>
      </w:r>
      <w:r>
        <w:t>Kurzinformation - Gesetzgebungskompetenz zur Regulierung politischer Werbung im Internet [Internet]. Berlin: Deutscher Bundestag; 2018 Apr. Report No.: WD 3-3000-113/18. https://www.bundestag.de/resource/blob/560934/2d1bc1b0cbf1b264b7ed65d2895dda5f/WD-3-113-18-pdf-data.pdf. Accessed 27 Nov 2023</w:t>
      </w:r>
    </w:p>
    <w:p w14:paraId="7574BE5B" w14:textId="77777777" w:rsidR="00531BD0" w:rsidRDefault="00531BD0" w:rsidP="00531BD0">
      <w:pPr>
        <w:pStyle w:val="Sources"/>
      </w:pPr>
      <w:r w:rsidRPr="005C3655">
        <w:rPr>
          <w:lang w:val="en-US"/>
        </w:rPr>
        <w:t xml:space="preserve">6. Research Services of the Federal Parliament. </w:t>
      </w:r>
      <w:r>
        <w:t>Zur Frage der Gesetzgebungskompetenz des Bundes für den Öffentlichen Gesundheitsdienst [Internet]. Berlin: Deutscher Bundestag; 2019 July. Report No.: WD 9-3000-043/19. https://www.bundestag.de/resource/blob/657236/c82ba2db1cd763e2f46439828d73c4e0/WD-9-043-19-pdf-data.pdf. Accessed 6 Feb 2024</w:t>
      </w:r>
    </w:p>
    <w:p w14:paraId="1AB7A4B1" w14:textId="77777777" w:rsidR="00531BD0" w:rsidRDefault="00531BD0" w:rsidP="00531BD0">
      <w:pPr>
        <w:pStyle w:val="Sources"/>
      </w:pPr>
      <w:r w:rsidRPr="005C3655">
        <w:rPr>
          <w:lang w:val="en-US"/>
        </w:rPr>
        <w:t xml:space="preserve">7. Research Services of the Federal Parliament. </w:t>
      </w:r>
      <w:r>
        <w:t>Die Auswirkung der Grundfläche von Einzelhandelsbetrieben auf deren baurechtliche Genehmigungsfähigkeit im unbeplanten Außenbereich [Internet]. Berlin: Deutscher Bundestag; 2020. Report No.: WD 7-3000-084/20. https://www.bundestag.de/resource/blob/709638/a03828fa88c53607632adc5aa2d53b86/WD-7-084-20-pdf.pdf. Accessed 10 Apr 2024</w:t>
      </w:r>
    </w:p>
    <w:p w14:paraId="1235E8E7" w14:textId="77777777" w:rsidR="00531BD0" w:rsidRDefault="00531BD0" w:rsidP="00531BD0">
      <w:pPr>
        <w:pStyle w:val="Sources"/>
      </w:pPr>
      <w:r w:rsidRPr="005C3655">
        <w:rPr>
          <w:lang w:val="en-US"/>
        </w:rPr>
        <w:lastRenderedPageBreak/>
        <w:t xml:space="preserve">8. Research Services of the Federal Parliament. </w:t>
      </w:r>
      <w:r>
        <w:t>Sachstand I Werbeverbot für alkoholhaltige Getränke Die Verfassungsmäßigkeit eines umfassenden Werbeverbotes für alkoholhaltige Getränke [Internet]. Berlin: Deutscher Bundestag; 2021 Mar. Report No.: WD 10-3000-002/21. https://www.bundestag.de/resource/blob/840012/d518ec24e66f2ece527ff92fb10c85ff/WD-10-002-21-pdf-data.pdf. Accessed 8 Apr 2024</w:t>
      </w:r>
    </w:p>
    <w:p w14:paraId="3934AE26" w14:textId="77777777" w:rsidR="00531BD0" w:rsidRDefault="00531BD0" w:rsidP="00531BD0">
      <w:pPr>
        <w:pStyle w:val="Sources"/>
      </w:pPr>
      <w:r w:rsidRPr="005C3655">
        <w:rPr>
          <w:lang w:val="en-US"/>
        </w:rPr>
        <w:t xml:space="preserve">9. Research Services of the Federal Parliament. </w:t>
      </w:r>
      <w:r>
        <w:t>Ladenöffnung an Sonntagen in Deutschland und ausgewählten europäischen Ländern [Internet]. Berlin: Deutscher Bundestag; 2021 Oct. Report No.: WD 6-3000-055/21. https://www.bundestag.de/resource/blob/867568/eaecdbb5cb4cbf234a15f6e5394e0615/WD-6-055-21-pdf-data.pdf. Accessed 13 Dec 2023</w:t>
      </w:r>
    </w:p>
    <w:p w14:paraId="3509C58A" w14:textId="77777777" w:rsidR="00531BD0" w:rsidRPr="005C3655" w:rsidRDefault="00531BD0" w:rsidP="00531BD0">
      <w:pPr>
        <w:pStyle w:val="Sources"/>
        <w:rPr>
          <w:lang w:val="en-US"/>
        </w:rPr>
      </w:pPr>
      <w:r w:rsidRPr="005C3655">
        <w:rPr>
          <w:lang w:val="en-US"/>
        </w:rPr>
        <w:t xml:space="preserve">10. Research Services of the Federal Parliament. </w:t>
      </w:r>
      <w:r>
        <w:t xml:space="preserve">Jugendschutz im Internet - Zum rechtlichen Rahmen des Jugendmedienschutzes und zur politischen Diskussion in Deutschland. </w:t>
      </w:r>
      <w:r w:rsidRPr="005C3655">
        <w:rPr>
          <w:lang w:val="en-US"/>
        </w:rPr>
        <w:t xml:space="preserve">Berlin: Deutscher Bundestag; 2022. Report No.: WD 10-012/22. </w:t>
      </w:r>
    </w:p>
    <w:p w14:paraId="52EC21E3" w14:textId="77777777" w:rsidR="00531BD0" w:rsidRDefault="00531BD0" w:rsidP="00531BD0">
      <w:pPr>
        <w:pStyle w:val="Sources"/>
      </w:pPr>
      <w:r w:rsidRPr="005C3655">
        <w:rPr>
          <w:lang w:val="en-US"/>
        </w:rPr>
        <w:t xml:space="preserve">11. Research Services of the Federal Parliament. </w:t>
      </w:r>
      <w:r>
        <w:t>Steuerkompetenzen von Bund und Ländern - Verfassungsrechtliche Regelung der Gesetzgebungs-, Ertragsund Verwaltungskompetenzen für Steuern [Internet]. Berlin: Wissenschaftliche Dienste Deutscher Bundestag; 2022 p. 14. https://www.bundestag.de/resource/blob/886622/2d86e5c3efa84a48dcccda0d9ee61347/WD-4-020-22-pdf-data.pdf. Accessed 1 Nov 2023</w:t>
      </w:r>
    </w:p>
    <w:p w14:paraId="47DCEABD" w14:textId="77777777" w:rsidR="00531BD0" w:rsidRPr="005C3655" w:rsidRDefault="00531BD0" w:rsidP="00531BD0">
      <w:pPr>
        <w:pStyle w:val="Sources"/>
        <w:rPr>
          <w:lang w:val="en-US"/>
        </w:rPr>
      </w:pPr>
      <w:r w:rsidRPr="005C3655">
        <w:rPr>
          <w:lang w:val="en-US"/>
        </w:rPr>
        <w:t xml:space="preserve">12. Research Services of the Federal Parliament. </w:t>
      </w:r>
      <w:r>
        <w:t xml:space="preserve">Verbot für an Kinder gerichtete Lebensmittelwerbung - Verfassungsrechtlicher Rahmen. </w:t>
      </w:r>
      <w:r w:rsidRPr="005C3655">
        <w:rPr>
          <w:lang w:val="en-US"/>
        </w:rPr>
        <w:t xml:space="preserve">Berlin: Deutscher Bundestag; 2023. Report No.: WD 3-3000-098/23. </w:t>
      </w:r>
    </w:p>
    <w:p w14:paraId="58DEA6DE" w14:textId="0126365F" w:rsidR="006F464F" w:rsidRPr="006F464F" w:rsidRDefault="00531BD0" w:rsidP="00531BD0">
      <w:pPr>
        <w:pStyle w:val="Sources"/>
      </w:pPr>
      <w:r w:rsidRPr="005C3655">
        <w:rPr>
          <w:lang w:val="en-US"/>
        </w:rPr>
        <w:t xml:space="preserve">13. Research Services of the Federal Parliament. </w:t>
      </w:r>
      <w:r>
        <w:t>Grundzüge der kommunalen Selbstverwaltung in Deutschland und der Schweiz. Berlin: Deutscher Bundestag; 2023 May. Report No.: WD 3-3000-050/23.</w:t>
      </w:r>
    </w:p>
    <w:p w14:paraId="1B423242" w14:textId="77777777" w:rsidR="006D05B0" w:rsidRPr="006F464F" w:rsidRDefault="006D05B0" w:rsidP="00E75743">
      <w:pPr>
        <w:pStyle w:val="berschrift2"/>
      </w:pPr>
      <w:bookmarkStart w:id="27" w:name="_Toc221783970"/>
      <w:r w:rsidRPr="006F464F">
        <w:t>Government documents and communications</w:t>
      </w:r>
      <w:bookmarkEnd w:id="27"/>
    </w:p>
    <w:p w14:paraId="1C75AA26" w14:textId="2722E084" w:rsidR="006F464F" w:rsidRPr="006F464F" w:rsidRDefault="006F464F" w:rsidP="001E40B4">
      <w:r w:rsidRPr="006F464F">
        <w:t>European Union</w:t>
      </w:r>
    </w:p>
    <w:p w14:paraId="25756513" w14:textId="77777777" w:rsidR="00531BD0" w:rsidRPr="005C3655" w:rsidRDefault="00531BD0" w:rsidP="00531BD0">
      <w:pPr>
        <w:pStyle w:val="Sources"/>
        <w:rPr>
          <w:lang w:val="en-US"/>
        </w:rPr>
      </w:pPr>
      <w:r w:rsidRPr="005C3655">
        <w:rPr>
          <w:lang w:val="en-US"/>
        </w:rPr>
        <w:t xml:space="preserve">1. European Commission. White Paper on a Strategy for Europe on Nutrition, Overweight and Obesity related health issues [Internet]. Brussels, Belgium: European Commission; 2007 May. Report No.: </w:t>
      </w:r>
      <w:proofErr w:type="gramStart"/>
      <w:r w:rsidRPr="005C3655">
        <w:rPr>
          <w:lang w:val="en-US"/>
        </w:rPr>
        <w:t>COM(</w:t>
      </w:r>
      <w:proofErr w:type="gramEnd"/>
      <w:r w:rsidRPr="005C3655">
        <w:rPr>
          <w:lang w:val="en-US"/>
        </w:rPr>
        <w:t>2007) 279 final. https://ec.europa.eu/health/archive/ph_determinants/life_style/nutrition/documents/nutrition_wp_en.pdf. Accessed 2 Dec 2025</w:t>
      </w:r>
    </w:p>
    <w:p w14:paraId="23B35E20" w14:textId="77777777" w:rsidR="00531BD0" w:rsidRPr="005C3655" w:rsidRDefault="00531BD0" w:rsidP="00531BD0">
      <w:pPr>
        <w:pStyle w:val="Sources"/>
        <w:rPr>
          <w:lang w:val="en-US"/>
        </w:rPr>
      </w:pPr>
      <w:r w:rsidRPr="005C3655">
        <w:rPr>
          <w:lang w:val="en-US"/>
        </w:rPr>
        <w:t>2. European Commission. Commission clarifies local measures involve no state aid [Internet]. European Commission. 2016 [cited 2025 Nov 28]. https://ec.europa.eu/commission/presscorner/detail/de/ip_16_3141. Accessed 28 Nov 2025</w:t>
      </w:r>
    </w:p>
    <w:p w14:paraId="332EAB65" w14:textId="77777777" w:rsidR="00531BD0" w:rsidRPr="005C3655" w:rsidRDefault="00531BD0" w:rsidP="00531BD0">
      <w:pPr>
        <w:pStyle w:val="Sources"/>
        <w:rPr>
          <w:lang w:val="en-US"/>
        </w:rPr>
      </w:pPr>
      <w:r w:rsidRPr="005C3655">
        <w:rPr>
          <w:lang w:val="en-US"/>
        </w:rPr>
        <w:t>3. European Commission. Farm to Fork Strategy [Internet]. 2020. https://food.ec.europa.eu/system/files/2020-05/f2f_action-plan_2020_strategy-info_en.pdf. Accessed 27 Mar 2025</w:t>
      </w:r>
    </w:p>
    <w:p w14:paraId="20721D42" w14:textId="77777777" w:rsidR="00531BD0" w:rsidRPr="005C3655" w:rsidRDefault="00531BD0" w:rsidP="00531BD0">
      <w:pPr>
        <w:pStyle w:val="Sources"/>
        <w:rPr>
          <w:lang w:val="en-US"/>
        </w:rPr>
      </w:pPr>
      <w:r w:rsidRPr="005C3655">
        <w:rPr>
          <w:lang w:val="en-US"/>
        </w:rPr>
        <w:t>4. European Commission. Areas of EU action [Internet]. European Commission. 2025 [cited 2025 Nov 28]. https://commission.europa.eu/about/role/law/areas-eu-action_en. Accessed 28 Nov 2025</w:t>
      </w:r>
    </w:p>
    <w:p w14:paraId="54D91F1A" w14:textId="77777777" w:rsidR="00531BD0" w:rsidRPr="005C3655" w:rsidRDefault="00531BD0" w:rsidP="00531BD0">
      <w:pPr>
        <w:pStyle w:val="Sources"/>
        <w:rPr>
          <w:lang w:val="en-US"/>
        </w:rPr>
      </w:pPr>
      <w:r w:rsidRPr="005C3655">
        <w:rPr>
          <w:lang w:val="en-US"/>
        </w:rPr>
        <w:t>5. European Committee of the Regions. Division of Powers [Internet]. 2024 [cited 2024 Nov 11]. https://portal.cor.europa.eu/divisionpowers/Pages/Decentralization-Index.aspx. Accessed 11 Nov 2024</w:t>
      </w:r>
    </w:p>
    <w:p w14:paraId="288B1624" w14:textId="77777777" w:rsidR="00531BD0" w:rsidRPr="005C3655" w:rsidRDefault="00531BD0" w:rsidP="00531BD0">
      <w:pPr>
        <w:pStyle w:val="Sources"/>
        <w:rPr>
          <w:lang w:val="en-US"/>
        </w:rPr>
      </w:pPr>
      <w:r w:rsidRPr="005C3655">
        <w:rPr>
          <w:lang w:val="en-US"/>
        </w:rPr>
        <w:t xml:space="preserve">6. European Parliament. Parliamentary question | Answer for question E-003413/22 | Answer given by </w:t>
      </w:r>
      <w:proofErr w:type="spellStart"/>
      <w:r w:rsidRPr="005C3655">
        <w:rPr>
          <w:lang w:val="en-US"/>
        </w:rPr>
        <w:t>Ms</w:t>
      </w:r>
      <w:proofErr w:type="spellEnd"/>
      <w:r w:rsidRPr="005C3655">
        <w:rPr>
          <w:lang w:val="en-US"/>
        </w:rPr>
        <w:t xml:space="preserve"> Kyriakides on behalf of the European Commission [Internet]. 2022 [cited 2025 Apr 8]. https://www.europarl.europa.eu/doceo/document/E-9-2022-003413-ASW_EN.html. Accessed 8 Apr 2025</w:t>
      </w:r>
    </w:p>
    <w:p w14:paraId="7ADD39EB" w14:textId="77777777" w:rsidR="00531BD0" w:rsidRPr="005C3655" w:rsidRDefault="00531BD0" w:rsidP="00531BD0">
      <w:pPr>
        <w:pStyle w:val="Sources"/>
        <w:rPr>
          <w:lang w:val="en-US"/>
        </w:rPr>
      </w:pPr>
      <w:r w:rsidRPr="005C3655">
        <w:rPr>
          <w:lang w:val="en-US"/>
        </w:rPr>
        <w:t>7. European Parliament. Audiovisual and media policy | Fact Sheets on the European Union [Internet]. 2025 [cited 2025 Nov 28]. https://www.europarl.europa.eu/factsheets/en/sheet/138/audiovisuelle-politik-und-medienpolitik. Accessed 28 Nov 2025</w:t>
      </w:r>
    </w:p>
    <w:p w14:paraId="573DD358" w14:textId="1403DA38" w:rsidR="008D5D86" w:rsidRPr="005C3655" w:rsidRDefault="00531BD0" w:rsidP="00531BD0">
      <w:pPr>
        <w:pStyle w:val="Sources"/>
        <w:rPr>
          <w:lang w:val="en-US"/>
        </w:rPr>
      </w:pPr>
      <w:r w:rsidRPr="005C3655">
        <w:rPr>
          <w:lang w:val="en-US"/>
        </w:rPr>
        <w:t>8. European Union. Trade policy and agreements – EU action [Internet]. 2025 [cited 2025 Nov 28]. https://european-union.europa.eu/priorities-and-actions/actions-topic/trade_en. Accessed 28 Nov 2025</w:t>
      </w:r>
    </w:p>
    <w:p w14:paraId="13BBE323" w14:textId="0433F0CC" w:rsidR="006F464F" w:rsidRPr="006F464F" w:rsidRDefault="006F464F" w:rsidP="00E30A0D">
      <w:pPr>
        <w:spacing w:before="240"/>
      </w:pPr>
      <w:r>
        <w:lastRenderedPageBreak/>
        <w:t xml:space="preserve">Federal government </w:t>
      </w:r>
    </w:p>
    <w:p w14:paraId="4F4F30F0" w14:textId="77777777" w:rsidR="00531BD0" w:rsidRPr="005C3655" w:rsidRDefault="00531BD0" w:rsidP="00531BD0">
      <w:pPr>
        <w:pStyle w:val="Sources"/>
        <w:rPr>
          <w:lang w:val="en-US"/>
        </w:rPr>
      </w:pPr>
      <w:r w:rsidRPr="005C3655">
        <w:rPr>
          <w:lang w:val="en-US"/>
        </w:rPr>
        <w:t>1. Bundesrat (Federal Council). Bundesrat - A constitutional body within a federal system [Internet]. [cited 2025 Nov 28]. https://www.bundesrat.de/EN/funktionen-en/funktion-en/funktion-en-node.html. Accessed 28 Nov 2025</w:t>
      </w:r>
    </w:p>
    <w:p w14:paraId="2C154992" w14:textId="77777777" w:rsidR="00531BD0" w:rsidRPr="005C3655" w:rsidRDefault="00531BD0" w:rsidP="00531BD0">
      <w:pPr>
        <w:pStyle w:val="Sources"/>
        <w:rPr>
          <w:lang w:val="en-US"/>
        </w:rPr>
      </w:pPr>
      <w:r>
        <w:t xml:space="preserve">2. Bundesrat (Federal Council). Die Ausschüsse des Bundesrates [Internet]. </w:t>
      </w:r>
      <w:r w:rsidRPr="005C3655">
        <w:rPr>
          <w:lang w:val="en-US"/>
        </w:rPr>
        <w:t>[cited 2024 Apr 12]. https://www.bundesrat.de/DE/bundesrat/ausschuesse/ausschuesse-node.html. Accessed 12 Apr 2024</w:t>
      </w:r>
    </w:p>
    <w:p w14:paraId="47B42C79" w14:textId="77777777" w:rsidR="00531BD0" w:rsidRPr="005C3655" w:rsidRDefault="00531BD0" w:rsidP="00531BD0">
      <w:pPr>
        <w:pStyle w:val="Sources"/>
        <w:rPr>
          <w:lang w:val="en-US"/>
        </w:rPr>
      </w:pPr>
      <w:r>
        <w:t xml:space="preserve">3. Bundesrat (Federal Council). Zustimmungs- und Einspruchsgesetze [Internet]. </w:t>
      </w:r>
      <w:r w:rsidRPr="005C3655">
        <w:rPr>
          <w:lang w:val="en-US"/>
        </w:rPr>
        <w:t>2023 [cited 2023 Nov 22]. https://www.bundesrat.de/DE/aufgaben/gesetzgebung/zust-einspr/zust-einspr.html. Accessed 22 Nov 2023</w:t>
      </w:r>
    </w:p>
    <w:p w14:paraId="661AEDE7" w14:textId="77777777" w:rsidR="00531BD0" w:rsidRPr="005C3655" w:rsidRDefault="00531BD0" w:rsidP="00531BD0">
      <w:pPr>
        <w:pStyle w:val="Sources"/>
        <w:rPr>
          <w:lang w:val="en-US"/>
        </w:rPr>
      </w:pPr>
      <w:r>
        <w:t xml:space="preserve">4. Bundesregierung (Federal Government). Freihandelsabkommen CETA: Wirtschaftsbeziehungen mit Kanada ausbauen [Internet]. Die Bundesregierung informiert. 2023 [cited 2024 Jan 8]. //www.bundesregierung.de/breg-de/bundesregierung/bundesministerien/bundesministerium-fuer-wirtschaft-und-klimaschutz/ceta-ratifizierung-2059226. </w:t>
      </w:r>
      <w:r w:rsidRPr="005C3655">
        <w:rPr>
          <w:lang w:val="en-US"/>
        </w:rPr>
        <w:t>Accessed 8 Jan 2024</w:t>
      </w:r>
    </w:p>
    <w:p w14:paraId="3225AFDA" w14:textId="77777777" w:rsidR="00531BD0" w:rsidRPr="005C3655" w:rsidRDefault="00531BD0" w:rsidP="00531BD0">
      <w:pPr>
        <w:pStyle w:val="Sources"/>
        <w:rPr>
          <w:lang w:val="en-US"/>
        </w:rPr>
      </w:pPr>
      <w:r w:rsidRPr="005C3655">
        <w:rPr>
          <w:lang w:val="en-US"/>
        </w:rPr>
        <w:t xml:space="preserve">5. Federal Ministry for Housing, Urban Development and Building (BMWSB). </w:t>
      </w:r>
      <w:r>
        <w:t xml:space="preserve">Raumordnung und -entwicklung: Was ist das eigentlich? [Internet]. [cited 2024 Apr 10]. https://www.bmwsb.bund.de/Webs/BMWSB/DE/themen/raumentwicklung/was-ist-das/was-ist-das.html;jsessionid=278DE02AC7D62AC4DBDAD7B78DADEF49.live881?nn=17168850. </w:t>
      </w:r>
      <w:r w:rsidRPr="005C3655">
        <w:rPr>
          <w:lang w:val="en-US"/>
        </w:rPr>
        <w:t>Accessed 10 Apr 2024</w:t>
      </w:r>
    </w:p>
    <w:p w14:paraId="6AD81E7A" w14:textId="77777777" w:rsidR="00531BD0" w:rsidRPr="005C3655" w:rsidRDefault="00531BD0" w:rsidP="00531BD0">
      <w:pPr>
        <w:pStyle w:val="Sources"/>
        <w:rPr>
          <w:lang w:val="en-US"/>
        </w:rPr>
      </w:pPr>
      <w:r w:rsidRPr="005C3655">
        <w:rPr>
          <w:lang w:val="en-US"/>
        </w:rPr>
        <w:t xml:space="preserve">6. Federal Ministry of Agriculture, Food and Regional Identity (BMLEH). </w:t>
      </w:r>
      <w:proofErr w:type="spellStart"/>
      <w:r w:rsidRPr="005C3655">
        <w:rPr>
          <w:lang w:val="en-US"/>
        </w:rPr>
        <w:t>Kompass</w:t>
      </w:r>
      <w:proofErr w:type="spellEnd"/>
      <w:r w:rsidRPr="005C3655">
        <w:rPr>
          <w:lang w:val="en-US"/>
        </w:rPr>
        <w:t xml:space="preserve"> Ernährung [Internet]. 2025 [cited 2025 July 3]. https://www.bmel.de/DE/service/publikationen/kompass-ernaehrung/kompass-ernaehrung.html. Accessed 3 July 2025</w:t>
      </w:r>
    </w:p>
    <w:p w14:paraId="001617D3" w14:textId="77777777" w:rsidR="00531BD0" w:rsidRDefault="00531BD0" w:rsidP="00531BD0">
      <w:pPr>
        <w:pStyle w:val="Sources"/>
      </w:pPr>
      <w:r w:rsidRPr="005C3655">
        <w:rPr>
          <w:lang w:val="en-US"/>
        </w:rPr>
        <w:t xml:space="preserve">7. Federal Ministry of Agriculture, Food and Regional Identity (BMLEH). </w:t>
      </w:r>
      <w:r>
        <w:t>Nationale Strategie zur Reduzierung der Lebensmittelverschwendung [Internet]. 2025 [cited 2025 May 27]. https://www.bmel.de/DE/themen/ernaehrung/lebensmittelverschwendung/strategie-lebensmittelverschwendung.html. Accessed 27 May 2025</w:t>
      </w:r>
    </w:p>
    <w:p w14:paraId="6A9CA389" w14:textId="77777777" w:rsidR="00531BD0" w:rsidRDefault="00531BD0" w:rsidP="00531BD0">
      <w:pPr>
        <w:pStyle w:val="Sources"/>
      </w:pPr>
      <w:r w:rsidRPr="005C3655">
        <w:rPr>
          <w:lang w:val="en-US"/>
        </w:rPr>
        <w:t xml:space="preserve">8. Federal Ministry of Finance (BMF). 28. </w:t>
      </w:r>
      <w:r>
        <w:t>Subventionsbericht des Bundes 2019 - 2022. 2022 [cited 2023 Dec 8]; https://www.bundesfinanzministerium.de/Content/DE/Downloads/Broschueren_Bestellservice/28-subventionsbericht.pdf?__blob=publicationFile&amp;v=6. Accessed 8 Dec 2023</w:t>
      </w:r>
    </w:p>
    <w:p w14:paraId="163AAD38" w14:textId="77777777" w:rsidR="00531BD0" w:rsidRPr="005C3655" w:rsidRDefault="00531BD0" w:rsidP="00531BD0">
      <w:pPr>
        <w:pStyle w:val="Sources"/>
        <w:rPr>
          <w:lang w:val="en-US"/>
        </w:rPr>
      </w:pPr>
      <w:r>
        <w:t xml:space="preserve">9. Federal Ministry of Food and Agriculture (BMEL). Die wichtigsten rechtlichen Regelungen im Pflanzenschutz [Internet]. </w:t>
      </w:r>
      <w:r w:rsidRPr="005C3655">
        <w:rPr>
          <w:lang w:val="en-US"/>
        </w:rPr>
        <w:t>2019 [cited 2024 Mar 20]. https://www.bmel.de/DE/themen/landwirtschaft/pflanzenbau/pflanzenschutz/rechtliche-regelungen.html. Accessed 20 Mar 2024</w:t>
      </w:r>
    </w:p>
    <w:p w14:paraId="6413F46A" w14:textId="77777777" w:rsidR="00531BD0" w:rsidRPr="005C3655" w:rsidRDefault="00531BD0" w:rsidP="00531BD0">
      <w:pPr>
        <w:pStyle w:val="Sources"/>
        <w:rPr>
          <w:lang w:val="en-US"/>
        </w:rPr>
      </w:pPr>
      <w:r w:rsidRPr="005C3655">
        <w:rPr>
          <w:lang w:val="en-US"/>
        </w:rPr>
        <w:t xml:space="preserve">10. Federal Ministry of Food and Agriculture (BMEL). </w:t>
      </w:r>
      <w:r>
        <w:t xml:space="preserve">Nutri-Score-Kennzeichnung in Brüssel zur Notifizierung [Internet]. </w:t>
      </w:r>
      <w:r w:rsidRPr="005C3655">
        <w:rPr>
          <w:lang w:val="en-US"/>
        </w:rPr>
        <w:t>BMEL. 2020 [cited 2023 Nov 27]. https://www.bmel.de/SharedDocs/Pressemitteilungen/DE/2020/048-nutri-score-notifizierung.html. Accessed 27 Nov 2023</w:t>
      </w:r>
    </w:p>
    <w:p w14:paraId="6C9473C0" w14:textId="77777777" w:rsidR="00531BD0" w:rsidRDefault="00531BD0" w:rsidP="00531BD0">
      <w:pPr>
        <w:pStyle w:val="Sources"/>
      </w:pPr>
      <w:r w:rsidRPr="005C3655">
        <w:rPr>
          <w:lang w:val="en-US"/>
        </w:rPr>
        <w:t xml:space="preserve">11. Federal Ministry of Food and Agriculture (BMEL). </w:t>
      </w:r>
      <w:r>
        <w:t xml:space="preserve">Nationale Reduktions- und Innovationsstrategie für Zucker, Fette und Salz in Fertigprodukten - Zwischenbericht. Berlin; 2020 Dec. </w:t>
      </w:r>
    </w:p>
    <w:p w14:paraId="16298683" w14:textId="77777777" w:rsidR="00531BD0" w:rsidRDefault="00531BD0" w:rsidP="00531BD0">
      <w:pPr>
        <w:pStyle w:val="Sources"/>
      </w:pPr>
      <w:r>
        <w:t xml:space="preserve">12. Federal Ministry of Food and Agriculture (BMEL). Deutschland, wie es isst · Der BMEL-Ernährungsreport 2021. 2021; </w:t>
      </w:r>
    </w:p>
    <w:p w14:paraId="521A0982" w14:textId="77777777" w:rsidR="00531BD0" w:rsidRDefault="00531BD0" w:rsidP="00531BD0">
      <w:pPr>
        <w:pStyle w:val="Sources"/>
      </w:pPr>
      <w:r>
        <w:t>13. Federal Ministry of Food and Agriculture (BMEL). Lebensmittelsicherheit verstehen [Internet]. Berlin: Bundesministerium für Ernährung und Landwirtschaft; 2021 Jan. https://www.bmel.de/SharedDocs/Downloads/DE/Broschueren/Lebensmittelsicherheit-verstehen.pdf?__blob=publicationFile&amp;v=8</w:t>
      </w:r>
    </w:p>
    <w:p w14:paraId="4BEBA9BA" w14:textId="77777777" w:rsidR="00531BD0" w:rsidRPr="005C3655" w:rsidRDefault="00531BD0" w:rsidP="00531BD0">
      <w:pPr>
        <w:pStyle w:val="Sources"/>
        <w:rPr>
          <w:lang w:val="en-US"/>
        </w:rPr>
      </w:pPr>
      <w:r w:rsidRPr="005C3655">
        <w:rPr>
          <w:lang w:val="en-US"/>
        </w:rPr>
        <w:t xml:space="preserve">14. Federal Ministry of Food and Agriculture (BMEL). </w:t>
      </w:r>
      <w:r>
        <w:t xml:space="preserve">Gute Nachrichten aus Brüssel: Gesetzentwurf zur Tierhaltungskennzeichnung von EU-Kommission geprüft [Internet]. </w:t>
      </w:r>
      <w:r w:rsidRPr="005C3655">
        <w:rPr>
          <w:lang w:val="en-US"/>
        </w:rPr>
        <w:t xml:space="preserve">2023 [cited 2024 Mar 21]. </w:t>
      </w:r>
      <w:r w:rsidRPr="005C3655">
        <w:rPr>
          <w:lang w:val="en-US"/>
        </w:rPr>
        <w:lastRenderedPageBreak/>
        <w:t>https://www.bmel.de/SharedDocs/Meldungen/DE/Presse/2023/230125-tierhaltungskennzeichnung.html. Accessed 21 Mar 2024</w:t>
      </w:r>
    </w:p>
    <w:p w14:paraId="2ADB14D2" w14:textId="77777777" w:rsidR="00531BD0" w:rsidRPr="005C3655" w:rsidRDefault="00531BD0" w:rsidP="00531BD0">
      <w:pPr>
        <w:pStyle w:val="Sources"/>
        <w:rPr>
          <w:lang w:val="en-US"/>
        </w:rPr>
      </w:pPr>
      <w:r w:rsidRPr="005C3655">
        <w:rPr>
          <w:lang w:val="en-US"/>
        </w:rPr>
        <w:t xml:space="preserve">15. Federal Ministry of Food and Agriculture (BMEL). </w:t>
      </w:r>
      <w:r>
        <w:t xml:space="preserve">Özdemir stellt Gesetzesvorhaben für mehr Kinderschutz in der Werbung vor [Internet]. </w:t>
      </w:r>
      <w:r w:rsidRPr="005C3655">
        <w:rPr>
          <w:lang w:val="en-US"/>
        </w:rPr>
        <w:t>2023 [cited 2024 Nov 26]. https://www.bmel.de/SharedDocs/Pressemitteilungen/DE/2023/024-lebensmittelwerbung-kinder.html. Accessed 26 Nov 2024</w:t>
      </w:r>
    </w:p>
    <w:p w14:paraId="31BA845F" w14:textId="77777777" w:rsidR="00531BD0" w:rsidRDefault="00531BD0" w:rsidP="00531BD0">
      <w:pPr>
        <w:pStyle w:val="Sources"/>
      </w:pPr>
      <w:r w:rsidRPr="005C3655">
        <w:rPr>
          <w:lang w:val="en-US"/>
        </w:rPr>
        <w:t xml:space="preserve">16. Federal Ministry of Food and Agriculture (BMEL). </w:t>
      </w:r>
      <w:r>
        <w:t xml:space="preserve">Der Nutri-Score-Algorithmus </w:t>
      </w:r>
      <w:proofErr w:type="spellStart"/>
      <w:r>
        <w:t>entwicklet</w:t>
      </w:r>
      <w:proofErr w:type="spellEnd"/>
      <w:r>
        <w:t xml:space="preserve"> sich weiter - für gesündere Ernährungsentscheidungen [Internet]. </w:t>
      </w:r>
      <w:r w:rsidRPr="005C3655">
        <w:rPr>
          <w:lang w:val="en-US"/>
        </w:rPr>
        <w:t xml:space="preserve">2023 [cited 2025 May 20]. https://www.bmel.de/SharedDocs/Downloads/DE/_Ernaehrung/Lebensmittel-Kennzeichnung/pm-nutriscor-weiterentwicklung-laender.pdf?__blob=publicationFile&amp;v=2. </w:t>
      </w:r>
      <w:proofErr w:type="spellStart"/>
      <w:r>
        <w:t>Accessed</w:t>
      </w:r>
      <w:proofErr w:type="spellEnd"/>
      <w:r>
        <w:t xml:space="preserve"> 20 May 2025</w:t>
      </w:r>
    </w:p>
    <w:p w14:paraId="5B75004F" w14:textId="77777777" w:rsidR="00531BD0" w:rsidRPr="005C3655" w:rsidRDefault="00531BD0" w:rsidP="00531BD0">
      <w:pPr>
        <w:pStyle w:val="Sources"/>
        <w:rPr>
          <w:lang w:val="en-US"/>
        </w:rPr>
      </w:pPr>
      <w:r>
        <w:t xml:space="preserve">17. Federal Ministry of Food and Agriculture (BMEL). Lebensmittelabfälle in Deutschland: Aktuelle Zahlen zur Höhe der Lebensmittelabfälle nach Sektoren [Internet]. </w:t>
      </w:r>
      <w:r w:rsidRPr="005C3655">
        <w:rPr>
          <w:lang w:val="en-US"/>
        </w:rPr>
        <w:t>2023 [cited 2024 Apr 30]. https://www.bmel.de/DE/themen/ernaehrung/lebensmittelverschwendung/studie-lebensmittelabfaelle-deutschland.html. Accessed 30 Apr 2024</w:t>
      </w:r>
    </w:p>
    <w:p w14:paraId="3299C1B3" w14:textId="77777777" w:rsidR="00531BD0" w:rsidRPr="005C3655" w:rsidRDefault="00531BD0" w:rsidP="00531BD0">
      <w:pPr>
        <w:pStyle w:val="Sources"/>
        <w:rPr>
          <w:lang w:val="en-US"/>
        </w:rPr>
      </w:pPr>
      <w:r w:rsidRPr="005C3655">
        <w:rPr>
          <w:lang w:val="en-US"/>
        </w:rPr>
        <w:t xml:space="preserve">18. Federal Ministry of Food and Agriculture (BMEL). </w:t>
      </w:r>
      <w:r>
        <w:t xml:space="preserve">Landwirtschaftliches Bodenmarktrecht in Deutschland [Internet]. </w:t>
      </w:r>
      <w:r w:rsidRPr="005C3655">
        <w:rPr>
          <w:lang w:val="en-US"/>
        </w:rPr>
        <w:t>2023 [cited 2024 Apr 12]. https://www.bmel.de/DE/themen/landwirtschaft/flaechennutzung-und-bodenmarkt/bodenrecht-landwirtschaft.html. Accessed 12 Apr 2024</w:t>
      </w:r>
    </w:p>
    <w:p w14:paraId="4FA8B230" w14:textId="77777777" w:rsidR="00531BD0" w:rsidRPr="005C3655" w:rsidRDefault="00531BD0" w:rsidP="00531BD0">
      <w:pPr>
        <w:pStyle w:val="Sources"/>
        <w:rPr>
          <w:lang w:val="en-US"/>
        </w:rPr>
      </w:pPr>
      <w:r w:rsidRPr="005C3655">
        <w:rPr>
          <w:lang w:val="en-US"/>
        </w:rPr>
        <w:t xml:space="preserve">19. Federal Ministry of Food and Agriculture (BMEL). </w:t>
      </w:r>
      <w:r>
        <w:t xml:space="preserve">Weg frei: Die Tierhaltungskennzeichnung kommt [Internet]. </w:t>
      </w:r>
      <w:r w:rsidRPr="005C3655">
        <w:rPr>
          <w:lang w:val="en-US"/>
        </w:rPr>
        <w:t>2023 [cited 2024 Mar 21]. https://www.bmel.de/DE/themen/tiere/tierschutz/tierhaltungskennzeichnung/tierhaltungskennzeichnung.html. Accessed 21 Mar 2024</w:t>
      </w:r>
    </w:p>
    <w:p w14:paraId="15C8C431" w14:textId="77777777" w:rsidR="00531BD0" w:rsidRDefault="00531BD0" w:rsidP="00531BD0">
      <w:pPr>
        <w:pStyle w:val="Sources"/>
      </w:pPr>
      <w:r w:rsidRPr="005C3655">
        <w:rPr>
          <w:lang w:val="en-US"/>
        </w:rPr>
        <w:t xml:space="preserve">20. Federal Ministry of Food and Agriculture (BMEL). </w:t>
      </w:r>
      <w:r>
        <w:t>Eiweißpflanzenstrategie des BMEL [Internet]. 2023 [cited 2024 Apr 11]. https://www.bmel.de/DE/themen/landwirtschaft/pflanzenbau/ackerbau/eiweisspflanzenstrategie.html. Accessed 11 Apr 2024</w:t>
      </w:r>
    </w:p>
    <w:p w14:paraId="521B3CBA" w14:textId="77777777" w:rsidR="00531BD0" w:rsidRPr="005C3655" w:rsidRDefault="00531BD0" w:rsidP="00531BD0">
      <w:pPr>
        <w:pStyle w:val="Sources"/>
        <w:rPr>
          <w:lang w:val="en-US"/>
        </w:rPr>
      </w:pPr>
      <w:r w:rsidRPr="005C3655">
        <w:rPr>
          <w:lang w:val="en-US"/>
        </w:rPr>
        <w:t>21. Federal Ministry of Food and Agriculture (BMEL). Das EU-</w:t>
      </w:r>
      <w:proofErr w:type="spellStart"/>
      <w:r w:rsidRPr="005C3655">
        <w:rPr>
          <w:lang w:val="en-US"/>
        </w:rPr>
        <w:t>Schulprogramm</w:t>
      </w:r>
      <w:proofErr w:type="spellEnd"/>
      <w:r w:rsidRPr="005C3655">
        <w:rPr>
          <w:lang w:val="en-US"/>
        </w:rPr>
        <w:t xml:space="preserve"> [Internet]. 2023 [cited 2024 Mar 19]. https://www.bmel.de/DE/themen/ernaehrung/gesunde-ernaehrung/kita-und-schule/schulobst.html. Accessed 19 Mar 2024</w:t>
      </w:r>
    </w:p>
    <w:p w14:paraId="79F59CDC" w14:textId="77777777" w:rsidR="00531BD0" w:rsidRPr="005C3655" w:rsidRDefault="00531BD0" w:rsidP="00531BD0">
      <w:pPr>
        <w:pStyle w:val="Sources"/>
        <w:rPr>
          <w:lang w:val="en-US"/>
        </w:rPr>
      </w:pPr>
      <w:r w:rsidRPr="005C3655">
        <w:rPr>
          <w:lang w:val="en-US"/>
        </w:rPr>
        <w:t xml:space="preserve">22. Federal Ministry of Food and Agriculture (BMEL). </w:t>
      </w:r>
      <w:r>
        <w:t xml:space="preserve">EU-weit einheitliche Lebensmittel-Kennzeichnung [Internet]. </w:t>
      </w:r>
      <w:r w:rsidRPr="005C3655">
        <w:rPr>
          <w:lang w:val="en-US"/>
        </w:rPr>
        <w:t>2023 [cited 2024 Feb 8]. https://www.bmel.de/DE/themen/ernaehrung/lebensmittel-kennzeichnung/pflichtangaben/lebensmittelkennzeichnung-wichtigsten-vorgaben-lmiv.html. Accessed 8 Feb 2024</w:t>
      </w:r>
    </w:p>
    <w:p w14:paraId="5E8F9656" w14:textId="77777777" w:rsidR="00531BD0" w:rsidRPr="005C3655" w:rsidRDefault="00531BD0" w:rsidP="00531BD0">
      <w:pPr>
        <w:pStyle w:val="Sources"/>
        <w:rPr>
          <w:lang w:val="en-US"/>
        </w:rPr>
      </w:pPr>
      <w:r w:rsidRPr="005C3655">
        <w:rPr>
          <w:lang w:val="en-US"/>
        </w:rPr>
        <w:t xml:space="preserve">23. Federal Ministry of Food and Agriculture (BMEL). </w:t>
      </w:r>
      <w:r>
        <w:t xml:space="preserve">GAP-Strategieplan für die Bundesrepublik Deutschland [Internet]. </w:t>
      </w:r>
      <w:r w:rsidRPr="005C3655">
        <w:rPr>
          <w:lang w:val="en-US"/>
        </w:rPr>
        <w:t>2023 [cited 2024 Feb 6]. https://www.bmel.de/DE/themen/landwirtschaft/eu-agrarpolitik-und-foerderung/gap/gap-strategieplan.html. Accessed 6 Feb 2024</w:t>
      </w:r>
    </w:p>
    <w:p w14:paraId="4587492B" w14:textId="77777777" w:rsidR="00531BD0" w:rsidRDefault="00531BD0" w:rsidP="00531BD0">
      <w:pPr>
        <w:pStyle w:val="Sources"/>
      </w:pPr>
      <w:r w:rsidRPr="005C3655">
        <w:rPr>
          <w:lang w:val="en-US"/>
        </w:rPr>
        <w:t xml:space="preserve">24. Federal Ministry of Food and Agriculture (BMEL). </w:t>
      </w:r>
      <w:r>
        <w:t xml:space="preserve">Gutes Essen für Deutschland Ernährungsstrategie der Bundesregierung. Berlin; 2024. </w:t>
      </w:r>
    </w:p>
    <w:p w14:paraId="720ECDFC" w14:textId="77777777" w:rsidR="00531BD0" w:rsidRPr="005C3655" w:rsidRDefault="00531BD0" w:rsidP="00531BD0">
      <w:pPr>
        <w:pStyle w:val="Sources"/>
        <w:rPr>
          <w:lang w:val="en-US"/>
        </w:rPr>
      </w:pPr>
      <w:r>
        <w:t xml:space="preserve">25. Federal Ministry of Food and Agriculture (BMEL). Nationale Reduktions- und Innovationsstrategie für Zucker, Fette und Salz in Fertigprodukten – Zweiter Zwischenbericht. </w:t>
      </w:r>
      <w:r w:rsidRPr="005C3655">
        <w:rPr>
          <w:lang w:val="en-US"/>
        </w:rPr>
        <w:t xml:space="preserve">Bonn: BMEL; 2024 Apr. </w:t>
      </w:r>
    </w:p>
    <w:p w14:paraId="3D0134CF" w14:textId="77777777" w:rsidR="00531BD0" w:rsidRPr="005C3655" w:rsidRDefault="00531BD0" w:rsidP="00531BD0">
      <w:pPr>
        <w:pStyle w:val="Sources"/>
        <w:rPr>
          <w:lang w:val="en-US"/>
        </w:rPr>
      </w:pPr>
      <w:r w:rsidRPr="005C3655">
        <w:rPr>
          <w:lang w:val="en-US"/>
        </w:rPr>
        <w:t>26. Federal Ministry of Food and Agriculture (BMEL). Das EU-</w:t>
      </w:r>
      <w:proofErr w:type="spellStart"/>
      <w:r w:rsidRPr="005C3655">
        <w:rPr>
          <w:lang w:val="en-US"/>
        </w:rPr>
        <w:t>Schulprogramm</w:t>
      </w:r>
      <w:proofErr w:type="spellEnd"/>
      <w:r w:rsidRPr="005C3655">
        <w:rPr>
          <w:lang w:val="en-US"/>
        </w:rPr>
        <w:t xml:space="preserve"> [Internet]. BMEL. 2024 [cited 2025 Apr 30]. https://www.bmel.de/DE/themen/ernaehrung/gesunde-ernaehrung/kita-und-schule/schulobst.html. Accessed 30 Apr 2025</w:t>
      </w:r>
    </w:p>
    <w:p w14:paraId="7253B134" w14:textId="77777777" w:rsidR="00531BD0" w:rsidRPr="005C3655" w:rsidRDefault="00531BD0" w:rsidP="00531BD0">
      <w:pPr>
        <w:pStyle w:val="Sources"/>
        <w:rPr>
          <w:lang w:val="en-US"/>
        </w:rPr>
      </w:pPr>
      <w:r w:rsidRPr="005C3655">
        <w:rPr>
          <w:lang w:val="en-US"/>
        </w:rPr>
        <w:t xml:space="preserve">27. Federal Ministry of Food and Agriculture (BMEL), Federal Ministry of Health (BMG). </w:t>
      </w:r>
      <w:r>
        <w:t xml:space="preserve">IN FORM I Deutschlands Initiative für gesunde Ernährung und mehr Bewegung I Nationaler Aktionsplan zur Prävention von Fehlernährung, Bewegungsmangel, Übergewicht und damit zusammenhängenden Krankheiten [Internet]. </w:t>
      </w:r>
      <w:r w:rsidRPr="005C3655">
        <w:rPr>
          <w:lang w:val="en-US"/>
        </w:rPr>
        <w:t>2009. https://www.bundesgesundheitsministerium.de/fileadmin/Dateien/5_Publikationen/Praevention/Broschueren/IN</w:t>
      </w:r>
      <w:r w:rsidRPr="005C3655">
        <w:rPr>
          <w:lang w:val="en-US"/>
        </w:rPr>
        <w:lastRenderedPageBreak/>
        <w:t>_FORM_Nationaler_Aktionsplan_zur_Praevention_von_Fehlernaehrung__Bewegungsmangel__UEbergewicht_und_damit_zusammenhaengenden_Krankheiten.pdf. Accessed 10 Jan 2024</w:t>
      </w:r>
    </w:p>
    <w:p w14:paraId="0FC20716" w14:textId="77777777" w:rsidR="00531BD0" w:rsidRDefault="00531BD0" w:rsidP="00531BD0">
      <w:pPr>
        <w:pStyle w:val="Sources"/>
      </w:pPr>
      <w:r w:rsidRPr="005C3655">
        <w:rPr>
          <w:lang w:val="en-US"/>
        </w:rPr>
        <w:t xml:space="preserve">28. Federal Ministry of Food and Agriculture (BMEL), Federal Ministry of Health (BMG). </w:t>
      </w:r>
      <w:r>
        <w:t xml:space="preserve">Abschlussbericht der Evaluation des Nationalen Aktionsplans IN FORM. Bonn; 2019 Oct. </w:t>
      </w:r>
    </w:p>
    <w:p w14:paraId="21969FC0" w14:textId="77777777" w:rsidR="00531BD0" w:rsidRPr="005C3655" w:rsidRDefault="00531BD0" w:rsidP="00531BD0">
      <w:pPr>
        <w:pStyle w:val="Sources"/>
        <w:rPr>
          <w:lang w:val="en-US"/>
        </w:rPr>
      </w:pPr>
      <w:r w:rsidRPr="005C3655">
        <w:rPr>
          <w:lang w:val="en-US"/>
        </w:rPr>
        <w:t xml:space="preserve">29. Federal Ministry of Food and Agriculture (BMEL), Federal Ministry of Health (BMG). </w:t>
      </w:r>
      <w:r>
        <w:t xml:space="preserve">Aktionsplan „Weiterentwicklung IN FORM - Schwerpunkte des Nationalen Aktionsplans zur Prävention von Fehlernährung, Bewegungsmangel, Übergewicht und damit zusammenhängenden Krankheiten ab 2021“. </w:t>
      </w:r>
      <w:r w:rsidRPr="005C3655">
        <w:rPr>
          <w:lang w:val="en-US"/>
        </w:rPr>
        <w:t xml:space="preserve">2021 June. </w:t>
      </w:r>
    </w:p>
    <w:p w14:paraId="2A7B4A8A" w14:textId="77777777" w:rsidR="00531BD0" w:rsidRPr="005C3655" w:rsidRDefault="00531BD0" w:rsidP="00531BD0">
      <w:pPr>
        <w:pStyle w:val="Sources"/>
        <w:rPr>
          <w:lang w:val="en-US"/>
        </w:rPr>
      </w:pPr>
      <w:r w:rsidRPr="005C3655">
        <w:rPr>
          <w:lang w:val="en-US"/>
        </w:rPr>
        <w:t>30. Federal Ministry of Justice and Consumer Protection (BMJV). Der Bund und die Länder [Internet]. 2023 [cited 2023 Nov 21]. https://www.bmj.de/DE/rechtsstaat_kompakt/grundgesetz/aufgaben/aufgaben_node.html. Accessed 21 Nov 2023</w:t>
      </w:r>
    </w:p>
    <w:p w14:paraId="56E7560A" w14:textId="77777777" w:rsidR="00531BD0" w:rsidRPr="005C3655" w:rsidRDefault="00531BD0" w:rsidP="00531BD0">
      <w:pPr>
        <w:pStyle w:val="Sources"/>
        <w:rPr>
          <w:lang w:val="en-US"/>
        </w:rPr>
      </w:pPr>
      <w:r w:rsidRPr="005C3655">
        <w:rPr>
          <w:lang w:val="en-US"/>
        </w:rPr>
        <w:t xml:space="preserve">31. Federal Ministry of </w:t>
      </w:r>
      <w:proofErr w:type="spellStart"/>
      <w:r w:rsidRPr="005C3655">
        <w:rPr>
          <w:lang w:val="en-US"/>
        </w:rPr>
        <w:t>Labour</w:t>
      </w:r>
      <w:proofErr w:type="spellEnd"/>
      <w:r w:rsidRPr="005C3655">
        <w:rPr>
          <w:lang w:val="en-US"/>
        </w:rPr>
        <w:t xml:space="preserve"> and Social Affairs (BMAS). </w:t>
      </w:r>
      <w:r>
        <w:t xml:space="preserve">Die Leistungen des Bildungspakets [Internet]. </w:t>
      </w:r>
      <w:r w:rsidRPr="005C3655">
        <w:rPr>
          <w:lang w:val="en-US"/>
        </w:rPr>
        <w:t>2024 [cited 2025 May 27]. https://www.bmas.de/DE/Arbeit/Grundsicherung-Buergergeld/Bildungspaket/Leistungen/leistungen-bildungspaket_art.html. Accessed 27 May 2025</w:t>
      </w:r>
    </w:p>
    <w:p w14:paraId="03DCA989" w14:textId="77777777" w:rsidR="00531BD0" w:rsidRDefault="00531BD0" w:rsidP="00531BD0">
      <w:pPr>
        <w:pStyle w:val="Sources"/>
      </w:pPr>
      <w:r w:rsidRPr="005C3655">
        <w:rPr>
          <w:lang w:val="en-US"/>
        </w:rPr>
        <w:t xml:space="preserve">32. Federal Ministry of the Interior (BMI). </w:t>
      </w:r>
      <w:r>
        <w:t>Föderalismus und Kommunalwesen [Internet]. 2023 [cited 2023 Nov 21]. https://www.bmi.bund.de/DE/themen/verfassung/staatliche-ordnung/foederalismus-und-kommunalwesen/foederalismus-und-kommunalwesen-artikel.html;jsessionid=8F3740B5472D1F4E576B54EB2AE65FA9.live882?nn=9394326. Accessed 21 Nov 2023</w:t>
      </w:r>
    </w:p>
    <w:p w14:paraId="43608F76" w14:textId="77777777" w:rsidR="00531BD0" w:rsidRDefault="00531BD0" w:rsidP="00531BD0">
      <w:pPr>
        <w:pStyle w:val="Sources"/>
      </w:pPr>
      <w:r>
        <w:t>33. German Bundestag. Bund und Länder: Zuständigkeiten [Internet]. 2024. [cited 2024 Mar 12]. https://webarchiv.bundestag.de/archive/2006/0606/parlament/funktion/gesetzgebung/bund.html#. Accessed 12 Mar 2024</w:t>
      </w:r>
    </w:p>
    <w:p w14:paraId="6A6C7F86" w14:textId="77777777" w:rsidR="00531BD0" w:rsidRDefault="00531BD0" w:rsidP="00531BD0">
      <w:pPr>
        <w:pStyle w:val="Sources"/>
      </w:pPr>
      <w:r>
        <w:t>34. German Bundestag. Bildung ist vor allem Ländersache [Internet]. Parlamentsnachrichten. 2018 [cited 2023 Dec 12]. https://www.bundestag.de/webarchiv/presse/hib/2018_01/541178-541178. Accessed 12 Dec 2023</w:t>
      </w:r>
    </w:p>
    <w:p w14:paraId="5F6539D4" w14:textId="77777777" w:rsidR="00531BD0" w:rsidRDefault="00531BD0" w:rsidP="00531BD0">
      <w:pPr>
        <w:pStyle w:val="Sources"/>
      </w:pPr>
      <w:r>
        <w:t xml:space="preserve">35. German Bundestag. Stichwort Gesetzgebung I Von der Idee zum Gesetz. Berlin: Deutscher Bundestag; 2019 Jan. </w:t>
      </w:r>
    </w:p>
    <w:p w14:paraId="49686769" w14:textId="77777777" w:rsidR="00531BD0" w:rsidRDefault="00531BD0" w:rsidP="00531BD0">
      <w:pPr>
        <w:pStyle w:val="Sources"/>
      </w:pPr>
      <w:r>
        <w:t xml:space="preserve">36. German Bundestag. DIP - Gesetz zur Zusammenführung von Krebsregisterdaten [Internet]. </w:t>
      </w:r>
      <w:r w:rsidRPr="005C3655">
        <w:rPr>
          <w:lang w:val="en-US"/>
        </w:rPr>
        <w:t xml:space="preserve">2021 [cited 2024 Mar 19]. https://dip.bundestag.de/vorgang/gesetz-zur-zusammenf%C3%BChrung-von-krebsregisterdaten/273932. </w:t>
      </w:r>
      <w:proofErr w:type="spellStart"/>
      <w:r>
        <w:t>Accessed</w:t>
      </w:r>
      <w:proofErr w:type="spellEnd"/>
      <w:r>
        <w:t xml:space="preserve"> 19 Mar 2024</w:t>
      </w:r>
    </w:p>
    <w:p w14:paraId="4554087A" w14:textId="77777777" w:rsidR="00531BD0" w:rsidRDefault="00531BD0" w:rsidP="00531BD0">
      <w:pPr>
        <w:pStyle w:val="Sources"/>
      </w:pPr>
      <w:r>
        <w:t xml:space="preserve">37. German Bundestag. Gesetzgebungszuständigkeiten von Bund und Ländern [Internet]. </w:t>
      </w:r>
      <w:r w:rsidRPr="005C3655">
        <w:rPr>
          <w:lang w:val="en-US"/>
        </w:rPr>
        <w:t xml:space="preserve">2023 [cited 2023 Nov 21]. https://www.bundestag.de/parlament/aufgaben/gesetzgebung_neu/gesetzgebung/bundesstaatsprinzip-255460. </w:t>
      </w:r>
      <w:proofErr w:type="spellStart"/>
      <w:r>
        <w:t>Accessed</w:t>
      </w:r>
      <w:proofErr w:type="spellEnd"/>
      <w:r>
        <w:t xml:space="preserve"> 21 Nov 2023</w:t>
      </w:r>
    </w:p>
    <w:p w14:paraId="43D60849" w14:textId="77777777" w:rsidR="00531BD0" w:rsidRDefault="00531BD0" w:rsidP="00531BD0">
      <w:pPr>
        <w:pStyle w:val="Sources"/>
      </w:pPr>
      <w:r>
        <w:t xml:space="preserve">38. German Bundestag. VII. Die Gesetzgebung des Bundes [Internet]. </w:t>
      </w:r>
      <w:r w:rsidRPr="005C3655">
        <w:rPr>
          <w:lang w:val="en-US"/>
        </w:rPr>
        <w:t xml:space="preserve">2023 [cited 2023 Nov 21]. https://www.bundestag.de/parlament/aufgaben/rechtsgrundlagen/grundgesetz/gg_07-245138. </w:t>
      </w:r>
      <w:proofErr w:type="spellStart"/>
      <w:r>
        <w:t>Accessed</w:t>
      </w:r>
      <w:proofErr w:type="spellEnd"/>
      <w:r>
        <w:t xml:space="preserve"> 21 Nov 2023</w:t>
      </w:r>
    </w:p>
    <w:p w14:paraId="0508BBCE" w14:textId="77777777" w:rsidR="00531BD0" w:rsidRPr="005C3655" w:rsidRDefault="00531BD0" w:rsidP="00531BD0">
      <w:pPr>
        <w:pStyle w:val="Sources"/>
        <w:rPr>
          <w:lang w:val="en-US"/>
        </w:rPr>
      </w:pPr>
      <w:r>
        <w:t xml:space="preserve">39. German Bundestag. Lobbyregister beim Deutschen Bundestag [Internet]. 2024 [cited 2024 Nov 25]. https://www.lobbyregister.bundestag.de/. </w:t>
      </w:r>
      <w:r w:rsidRPr="005C3655">
        <w:rPr>
          <w:lang w:val="en-US"/>
        </w:rPr>
        <w:t>Accessed 25 Nov 2024</w:t>
      </w:r>
    </w:p>
    <w:p w14:paraId="3B1974CD" w14:textId="77777777" w:rsidR="00531BD0" w:rsidRPr="005C3655" w:rsidRDefault="00531BD0" w:rsidP="00531BD0">
      <w:pPr>
        <w:pStyle w:val="Sources"/>
        <w:rPr>
          <w:lang w:val="en-US"/>
        </w:rPr>
      </w:pPr>
      <w:r w:rsidRPr="005C3655">
        <w:rPr>
          <w:lang w:val="en-US"/>
        </w:rPr>
        <w:t xml:space="preserve">40. German Federal Ministry for Economic Affairs and Climate Action. </w:t>
      </w:r>
      <w:proofErr w:type="spellStart"/>
      <w:r w:rsidRPr="005C3655">
        <w:rPr>
          <w:lang w:val="en-US"/>
        </w:rPr>
        <w:t>Investitionsschutz</w:t>
      </w:r>
      <w:proofErr w:type="spellEnd"/>
      <w:r w:rsidRPr="005C3655">
        <w:rPr>
          <w:lang w:val="en-US"/>
        </w:rPr>
        <w:t xml:space="preserve"> [Internet]. 2024 [cited 2024 Jan 8]. https://www.bmwk.de/Redaktion/DE/Artikel/Aussenwirtschaft/investitionsschutz.html. Accessed 8 Jan 2024</w:t>
      </w:r>
    </w:p>
    <w:p w14:paraId="1ECF91D2" w14:textId="5AA2A155" w:rsidR="006F464F" w:rsidRPr="005C3655" w:rsidRDefault="00531BD0" w:rsidP="00531BD0">
      <w:pPr>
        <w:pStyle w:val="Sources"/>
        <w:rPr>
          <w:lang w:val="en-US"/>
        </w:rPr>
      </w:pPr>
      <w:r w:rsidRPr="005C3655">
        <w:rPr>
          <w:lang w:val="en-US"/>
        </w:rPr>
        <w:t xml:space="preserve">41. German Federal Ministry for Economic Affairs and Climate Action. </w:t>
      </w:r>
      <w:r>
        <w:t xml:space="preserve">Regeln und Vorschriften für die öffentliche Vergabe: das Vergaberecht [Internet]. </w:t>
      </w:r>
      <w:r w:rsidRPr="005C3655">
        <w:rPr>
          <w:lang w:val="en-US"/>
        </w:rPr>
        <w:t>2024 [cited 2024 Mar 20]. https://www.bmwk.de/Redaktion/DE/Artikel/Wirtschaft/vergabe-uebersicht-und-rechtsgrundlagen.html. Accessed 20 Mar 2024</w:t>
      </w:r>
    </w:p>
    <w:p w14:paraId="3FC944A2" w14:textId="2C1410F2" w:rsidR="006F464F" w:rsidRPr="005C3655" w:rsidRDefault="006F464F" w:rsidP="00E30A0D">
      <w:pPr>
        <w:spacing w:before="240"/>
        <w:rPr>
          <w:lang w:val="de-DE"/>
        </w:rPr>
      </w:pPr>
      <w:r w:rsidRPr="005C3655">
        <w:rPr>
          <w:lang w:val="de-DE"/>
        </w:rPr>
        <w:t xml:space="preserve">State </w:t>
      </w:r>
      <w:proofErr w:type="spellStart"/>
      <w:r w:rsidRPr="005C3655">
        <w:rPr>
          <w:lang w:val="de-DE"/>
        </w:rPr>
        <w:t>governments</w:t>
      </w:r>
      <w:proofErr w:type="spellEnd"/>
      <w:r w:rsidRPr="005C3655">
        <w:rPr>
          <w:lang w:val="de-DE"/>
        </w:rPr>
        <w:t xml:space="preserve"> </w:t>
      </w:r>
    </w:p>
    <w:p w14:paraId="114066DA" w14:textId="77777777" w:rsidR="00531BD0" w:rsidRDefault="00531BD0" w:rsidP="00531BD0">
      <w:pPr>
        <w:pStyle w:val="Sources"/>
      </w:pPr>
      <w:r>
        <w:lastRenderedPageBreak/>
        <w:t xml:space="preserve">1. Baden-Württemberg. Land startet Projekt zu nachhaltigem und biozertifiziertem Schulessen [Internet]. </w:t>
      </w:r>
      <w:r w:rsidRPr="005C3655">
        <w:rPr>
          <w:lang w:val="en-US"/>
        </w:rPr>
        <w:t xml:space="preserve">Baden-Württemberg.de. 2021 [cited 2025 July 1]. https://www.baden-wuerttemberg.de/de/service/presse/pressemitteilung/pid/land-startet-projekt-zu-nachhaltigem-und-biozertifiziertem-schulessen. </w:t>
      </w:r>
      <w:proofErr w:type="spellStart"/>
      <w:r>
        <w:t>Accessed</w:t>
      </w:r>
      <w:proofErr w:type="spellEnd"/>
      <w:r>
        <w:t xml:space="preserve"> 1 </w:t>
      </w:r>
      <w:proofErr w:type="spellStart"/>
      <w:r>
        <w:t>July</w:t>
      </w:r>
      <w:proofErr w:type="spellEnd"/>
      <w:r>
        <w:t xml:space="preserve"> 2025</w:t>
      </w:r>
    </w:p>
    <w:p w14:paraId="6EB6651A" w14:textId="77777777" w:rsidR="00531BD0" w:rsidRDefault="00531BD0" w:rsidP="00531BD0">
      <w:pPr>
        <w:pStyle w:val="Sources"/>
      </w:pPr>
      <w:r>
        <w:t xml:space="preserve">2. Baden-Württemberg. Gesundheits-Dashboard für Baden-Württemberg [Internet]. </w:t>
      </w:r>
      <w:r w:rsidRPr="005C3655">
        <w:rPr>
          <w:lang w:val="en-US"/>
        </w:rPr>
        <w:t xml:space="preserve">Baden-Württemberg.de. 2022 [cited 2024 Jan 10]. https://www.baden-wuerttemberg.de/de/service/presse/pressemitteilung/pid/gesundheits-dashboard-fuer-baden-wuerttemberg. </w:t>
      </w:r>
      <w:proofErr w:type="spellStart"/>
      <w:r>
        <w:t>Accessed</w:t>
      </w:r>
      <w:proofErr w:type="spellEnd"/>
      <w:r>
        <w:t xml:space="preserve"> 10 Jan 2024</w:t>
      </w:r>
    </w:p>
    <w:p w14:paraId="66518137" w14:textId="77777777" w:rsidR="00531BD0" w:rsidRDefault="00531BD0" w:rsidP="00531BD0">
      <w:pPr>
        <w:pStyle w:val="Sources"/>
      </w:pPr>
      <w:r>
        <w:t>3. Baden-Württemberg. Land fördert Projekte gegen soziale Folgen von Ernährungsarmut [Internet]. Baden-Württemberg.de. 2023 [cited 2024 Apr 12]. https://www.baden-wuerttemberg.de/de/service/presse/pressemitteilung/pid/land-foerdert-projekte-gegen-soziale-folgen-von-ernaehrungsarmut. Accessed 12 Apr 2024</w:t>
      </w:r>
    </w:p>
    <w:p w14:paraId="5FD71509" w14:textId="77777777" w:rsidR="00531BD0" w:rsidRPr="005C3655" w:rsidRDefault="00531BD0" w:rsidP="00531BD0">
      <w:pPr>
        <w:pStyle w:val="Sources"/>
        <w:rPr>
          <w:lang w:val="en-US"/>
        </w:rPr>
      </w:pPr>
      <w:r>
        <w:t xml:space="preserve">4. Baden-Württemberg Association of Districts. Landkreistag: Aufgaben der Landkreise [Internet]. </w:t>
      </w:r>
      <w:r w:rsidRPr="005C3655">
        <w:rPr>
          <w:lang w:val="en-US"/>
        </w:rPr>
        <w:t>[cited 2024 Apr 23]. https://www.landkreistag-bw.de/landkreise/aufgaben-der-landkreise. Accessed 23 Apr 2024</w:t>
      </w:r>
    </w:p>
    <w:p w14:paraId="594EF659" w14:textId="77777777" w:rsidR="00531BD0" w:rsidRPr="005C3655" w:rsidRDefault="00531BD0" w:rsidP="00531BD0">
      <w:pPr>
        <w:pStyle w:val="Sources"/>
        <w:rPr>
          <w:lang w:val="en-US"/>
        </w:rPr>
      </w:pPr>
      <w:r w:rsidRPr="005C3655">
        <w:rPr>
          <w:lang w:val="en-US"/>
        </w:rPr>
        <w:t>5. Baden-Württemberg Ministry of Food, Rural Affairs and Consumer Protection. Bio-</w:t>
      </w:r>
      <w:proofErr w:type="spellStart"/>
      <w:r w:rsidRPr="005C3655">
        <w:rPr>
          <w:lang w:val="en-US"/>
        </w:rPr>
        <w:t>Aktionsplan</w:t>
      </w:r>
      <w:proofErr w:type="spellEnd"/>
      <w:r w:rsidRPr="005C3655">
        <w:rPr>
          <w:lang w:val="en-US"/>
        </w:rPr>
        <w:t xml:space="preserve"> [Internet]. [cited 2024 Feb 6]. https://mlr.baden-wuerttemberg.de/de/unsere-themen/landwirtschaft/oekologischer-landbau/aktionsplan-bio. Accessed 6 Feb 2024</w:t>
      </w:r>
    </w:p>
    <w:p w14:paraId="454DACBE" w14:textId="77777777" w:rsidR="00531BD0" w:rsidRDefault="00531BD0" w:rsidP="00531BD0">
      <w:pPr>
        <w:pStyle w:val="Sources"/>
      </w:pPr>
      <w:r w:rsidRPr="005C3655">
        <w:rPr>
          <w:lang w:val="en-US"/>
        </w:rPr>
        <w:t xml:space="preserve">6. Baden-Württemberg Ministry of Food, Rural Affairs and Consumer Protection. </w:t>
      </w:r>
      <w:r>
        <w:t>Der weiterentwickelte Aktionsplan „Bio aus Baden-Württemberg“ [Internet]. Stuttgart; 2020 July. https://mlr.baden-wuerttemberg.de/fileadmin/redaktion/m-mlr/intern/dateien/PDFs/Landwirtschaft/Oekologischer-Landbau/Aktionsplan_bw.pdf. Accessed 6 Feb 2024</w:t>
      </w:r>
    </w:p>
    <w:p w14:paraId="4FE8CAE4" w14:textId="77777777" w:rsidR="00531BD0" w:rsidRDefault="00531BD0" w:rsidP="00531BD0">
      <w:pPr>
        <w:pStyle w:val="Sources"/>
      </w:pPr>
      <w:r w:rsidRPr="005C3655">
        <w:rPr>
          <w:lang w:val="en-US"/>
        </w:rPr>
        <w:t xml:space="preserve">7. Baden-Württemberg Ministry of Food, Rural Affairs and Consumer Protection. </w:t>
      </w:r>
      <w:r>
        <w:t>Ernährungsstrategie Baden-Württemberg [Internet]. Stuttgart: Baden-Württemberg Ministerium für Ernährung, Ländlichen Raum und Verbraucherschutz; 2022 Oct. https://mlr.baden-wuerttemberg.de/fileadmin/redaktion/m-mlr/intern/dateien/PDFs/Essen_und_Trinken/2022_Ern%C3%A4hrungsstrategie_Weiterentwicklung.pdf. Accessed 29 Nov 2023</w:t>
      </w:r>
    </w:p>
    <w:p w14:paraId="30BC6CD0" w14:textId="77777777" w:rsidR="00531BD0" w:rsidRDefault="00531BD0" w:rsidP="00531BD0">
      <w:pPr>
        <w:pStyle w:val="Sources"/>
      </w:pPr>
      <w:r w:rsidRPr="005C3655">
        <w:rPr>
          <w:lang w:val="en-US"/>
        </w:rPr>
        <w:t xml:space="preserve">8. Baden-Württemberg Ministry of Food, Rural Affairs and Consumer Protection. </w:t>
      </w:r>
      <w:r>
        <w:t>Jahresbericht 2022 Überwachung Lebensmittel, Bedarfsgegenstände, Kosmetika, Trinkwasser und Futtermittel [Internet]. Stuttgart; 2023. https://mlr.baden-wuerttemberg.de/fileadmin/redaktion/m-mlr/intern/dateien/publikationen/Essen_und_Trinken/Jahresbericht_2022_Ueberwachung_Lebensmittel.pdf. Accessed 12 Jan 2024</w:t>
      </w:r>
    </w:p>
    <w:p w14:paraId="47A73530" w14:textId="77777777" w:rsidR="00531BD0" w:rsidRPr="005C3655" w:rsidRDefault="00531BD0" w:rsidP="00531BD0">
      <w:pPr>
        <w:pStyle w:val="Sources"/>
        <w:rPr>
          <w:lang w:val="en-US"/>
        </w:rPr>
      </w:pPr>
      <w:r w:rsidRPr="005C3655">
        <w:rPr>
          <w:lang w:val="en-US"/>
        </w:rPr>
        <w:t xml:space="preserve">9. Baden-Württemberg Ministry of Food, Rural Affairs and Consumer Protection. </w:t>
      </w:r>
      <w:r>
        <w:t xml:space="preserve">Lokale Ernährungsinitiativen [Internet]. 2023 [cited 2024 Jan 12]. https://mlr.baden-wuerttemberg.de/de/unsere-themen/ernaehrung/ernaehrungsstrategie-bw/lokale-ernaehrungsinitiativen. </w:t>
      </w:r>
      <w:r w:rsidRPr="005C3655">
        <w:rPr>
          <w:lang w:val="en-US"/>
        </w:rPr>
        <w:t>Accessed 12 Jan 2024</w:t>
      </w:r>
    </w:p>
    <w:p w14:paraId="74B0532B" w14:textId="77777777" w:rsidR="00531BD0" w:rsidRPr="005C3655" w:rsidRDefault="00531BD0" w:rsidP="00531BD0">
      <w:pPr>
        <w:pStyle w:val="Sources"/>
        <w:rPr>
          <w:lang w:val="en-US"/>
        </w:rPr>
      </w:pPr>
      <w:r w:rsidRPr="005C3655">
        <w:rPr>
          <w:lang w:val="en-US"/>
        </w:rPr>
        <w:t xml:space="preserve">10. Baden-Württemberg Ministry of Food, Rural Affairs and Consumer Protection. </w:t>
      </w:r>
      <w:r>
        <w:t xml:space="preserve">Land unterstützt kommunale Ernährungsinitiativen [Internet]. Baden-Württemberg.de. 2023 [cited 2024 Jan 12]. https://www.baden-wuerttemberg.de/de/service/presse/pressemitteilung/pid/land-unterstuetzt-kommunale-ernaehrungsinitiativen. </w:t>
      </w:r>
      <w:r w:rsidRPr="005C3655">
        <w:rPr>
          <w:lang w:val="en-US"/>
        </w:rPr>
        <w:t>Accessed 12 Jan 2024</w:t>
      </w:r>
    </w:p>
    <w:p w14:paraId="2B738592" w14:textId="77777777" w:rsidR="00531BD0" w:rsidRPr="005C3655" w:rsidRDefault="00531BD0" w:rsidP="00531BD0">
      <w:pPr>
        <w:pStyle w:val="Sources"/>
        <w:rPr>
          <w:lang w:val="en-US"/>
        </w:rPr>
      </w:pPr>
      <w:r w:rsidRPr="005C3655">
        <w:rPr>
          <w:lang w:val="en-US"/>
        </w:rPr>
        <w:t xml:space="preserve">11. Baden-Württemberg Ministry of Food, Rural Affairs and Consumer Protection. </w:t>
      </w:r>
      <w:proofErr w:type="spellStart"/>
      <w:r w:rsidRPr="005C3655">
        <w:rPr>
          <w:lang w:val="en-US"/>
        </w:rPr>
        <w:t>Aktionswoche</w:t>
      </w:r>
      <w:proofErr w:type="spellEnd"/>
      <w:r w:rsidRPr="005C3655">
        <w:rPr>
          <w:lang w:val="en-US"/>
        </w:rPr>
        <w:t xml:space="preserve"> 2024 [Internet]. 2024 [cited 2025 May 27]. https://mlr.baden-wuerttemberg.de/de/unsere-themen/ernaehrung/lebensmittelretter/aktionswoche. Accessed 27 May 2025</w:t>
      </w:r>
    </w:p>
    <w:p w14:paraId="09D7E991" w14:textId="77777777" w:rsidR="00531BD0" w:rsidRDefault="00531BD0" w:rsidP="00531BD0">
      <w:pPr>
        <w:pStyle w:val="Sources"/>
      </w:pPr>
      <w:r w:rsidRPr="005C3655">
        <w:rPr>
          <w:lang w:val="en-US"/>
        </w:rPr>
        <w:t xml:space="preserve">12. Baden-Württemberg Ministry of Food, Rural Affairs and Consumer Protection. </w:t>
      </w:r>
      <w:r>
        <w:t>Bio-Zeichen Baden-Württemberg [Internet]. bio-aus-bw. 2024 [cited 2024 Feb 6]. https://bio-aus-bw.de/,Lde/Startseite/Service/Bio_Zeichen+Baden_Wuerttemberg. Accessed 6 Feb 2024</w:t>
      </w:r>
    </w:p>
    <w:p w14:paraId="3B2803A4" w14:textId="77777777" w:rsidR="00531BD0" w:rsidRPr="005C3655" w:rsidRDefault="00531BD0" w:rsidP="00531BD0">
      <w:pPr>
        <w:pStyle w:val="Sources"/>
        <w:rPr>
          <w:lang w:val="en-US"/>
        </w:rPr>
      </w:pPr>
      <w:r>
        <w:t>13. Baden-Württemberg State Ministry. Neue Strategie für gesunde und nachhaltige Ernährung [Internet]. Baden-Württemberg.de. 2022 [cited 2024 Apr 30]. https://stm.baden-</w:t>
      </w:r>
      <w:r>
        <w:lastRenderedPageBreak/>
        <w:t xml:space="preserve">wuerttemberg.de/de/service/presse/pressemitteilung/pid/neue-strategie-fuer-gesunde-und-nachhaltige-ernaehrung. </w:t>
      </w:r>
      <w:r w:rsidRPr="005C3655">
        <w:rPr>
          <w:lang w:val="en-US"/>
        </w:rPr>
        <w:t>Accessed 30 Apr 2024</w:t>
      </w:r>
    </w:p>
    <w:p w14:paraId="09208B9D" w14:textId="77777777" w:rsidR="00531BD0" w:rsidRPr="005C3655" w:rsidRDefault="00531BD0" w:rsidP="00531BD0">
      <w:pPr>
        <w:pStyle w:val="Sources"/>
        <w:rPr>
          <w:lang w:val="en-US"/>
        </w:rPr>
      </w:pPr>
      <w:r w:rsidRPr="005C3655">
        <w:rPr>
          <w:lang w:val="en-US"/>
        </w:rPr>
        <w:t xml:space="preserve">14. Baden-Württemberg State Parliament (Landtag). </w:t>
      </w:r>
      <w:proofErr w:type="spellStart"/>
      <w:r w:rsidRPr="005C3655">
        <w:rPr>
          <w:lang w:val="en-US"/>
        </w:rPr>
        <w:t>Transparenzregister</w:t>
      </w:r>
      <w:proofErr w:type="spellEnd"/>
      <w:r w:rsidRPr="005C3655">
        <w:rPr>
          <w:lang w:val="en-US"/>
        </w:rPr>
        <w:t xml:space="preserve"> [Internet]. 2024 [cited 2024 Jan 8]. https://www.landtag-bw.de/home/der-landtag/transparenzregister.html. Accessed 8 Jan 2024</w:t>
      </w:r>
    </w:p>
    <w:p w14:paraId="4098C221" w14:textId="77777777" w:rsidR="00531BD0" w:rsidRDefault="00531BD0" w:rsidP="00531BD0">
      <w:pPr>
        <w:pStyle w:val="Sources"/>
      </w:pPr>
      <w:r w:rsidRPr="005C3655">
        <w:rPr>
          <w:lang w:val="en-US"/>
        </w:rPr>
        <w:t xml:space="preserve">15. Bavarian State Ministry for Food, Agriculture, Forestry and Tourism. </w:t>
      </w:r>
      <w:r>
        <w:t>Liste der Ämter für Ernährung, Landwirtschaft und Forsten [Internet]. 2021 [cited 2024 Apr 12]. https://www.stmelf.bayern.de/ministerium/liste-der-aemter-fuer-ernaehrung-landwirtschaft-und-forsten/index.html. Accessed 12 Apr 2024</w:t>
      </w:r>
    </w:p>
    <w:p w14:paraId="3F5C3964" w14:textId="77777777" w:rsidR="00531BD0" w:rsidRDefault="00531BD0" w:rsidP="00531BD0">
      <w:pPr>
        <w:pStyle w:val="Sources"/>
      </w:pPr>
      <w:r w:rsidRPr="005C3655">
        <w:rPr>
          <w:lang w:val="en-US"/>
        </w:rPr>
        <w:t xml:space="preserve">16. Bavarian State Ministry for Food, Agriculture, Forestry and Tourism. </w:t>
      </w:r>
      <w:r>
        <w:t xml:space="preserve">Ernährungsstrategie für Bayern - BayERN gesund, nachhaltig, mit Genuss und regionaler Prägung. München; 2024 Aug. </w:t>
      </w:r>
    </w:p>
    <w:p w14:paraId="50127D28" w14:textId="77777777" w:rsidR="00531BD0" w:rsidRDefault="00531BD0" w:rsidP="00531BD0">
      <w:pPr>
        <w:pStyle w:val="Sources"/>
      </w:pPr>
      <w:r>
        <w:t>17. Bavarian State Ministry for Health and Care. Bayerischer Kindergesundheitsbericht [Internet]. Bayerischer Kindergesundheitsbericht; 2015. https://www.bestellen.bayern.de/application/applstarter?APPL=eshop&amp;DIR=eshop&amp;ACTIONxSETVAL(artdtl.htm,APGxNODENR:332601,AARTxNR:stmgp_kiges_014,AARTxNODENR:339963,USERxBODYURL:artdtl.htm,KATALOG:StMGP,AKATxNAME:StMGP,ALLE:x)=X</w:t>
      </w:r>
    </w:p>
    <w:p w14:paraId="70583A79" w14:textId="77777777" w:rsidR="00531BD0" w:rsidRDefault="00531BD0" w:rsidP="00531BD0">
      <w:pPr>
        <w:pStyle w:val="Sources"/>
      </w:pPr>
      <w:r>
        <w:t>18. Bavarian State Parliament. Der Freistaat Bayern im Bund und in Europa [Internet]. München: Bayerischer Landtag; 2018 Apr. https://www.bayern.landtag.de/fileadmin/publikationen/BayernBundEuropa_BF.pdf</w:t>
      </w:r>
    </w:p>
    <w:p w14:paraId="03C83716" w14:textId="77777777" w:rsidR="00531BD0" w:rsidRPr="005C3655" w:rsidRDefault="00531BD0" w:rsidP="00531BD0">
      <w:pPr>
        <w:pStyle w:val="Sources"/>
        <w:rPr>
          <w:lang w:val="en-US"/>
        </w:rPr>
      </w:pPr>
      <w:r w:rsidRPr="005C3655">
        <w:rPr>
          <w:lang w:val="en-US"/>
        </w:rPr>
        <w:t xml:space="preserve">19. Bavarian State Parliament. </w:t>
      </w:r>
      <w:proofErr w:type="spellStart"/>
      <w:r w:rsidRPr="005C3655">
        <w:rPr>
          <w:lang w:val="en-US"/>
        </w:rPr>
        <w:t>Lobbyregister</w:t>
      </w:r>
      <w:proofErr w:type="spellEnd"/>
      <w:r w:rsidRPr="005C3655">
        <w:rPr>
          <w:lang w:val="en-US"/>
        </w:rPr>
        <w:t xml:space="preserve"> [Internet]. 2022 [cited 2024 Jan 8]. https://www.bayern.landtag.de/lobbyregister/. Accessed 8 Jan 2024</w:t>
      </w:r>
    </w:p>
    <w:p w14:paraId="32F5F586" w14:textId="77777777" w:rsidR="00531BD0" w:rsidRPr="005C3655" w:rsidRDefault="00531BD0" w:rsidP="00531BD0">
      <w:pPr>
        <w:pStyle w:val="Sources"/>
        <w:rPr>
          <w:lang w:val="en-US"/>
        </w:rPr>
      </w:pPr>
      <w:r w:rsidRPr="005C3655">
        <w:rPr>
          <w:lang w:val="en-US"/>
        </w:rPr>
        <w:t>20. Berlin Senate Department for Education, Youth and Family. Ernährung [Internet]. 2024 [cited 2025 July 1]. https://www.berlin.de/sen/bildung/unterstuetzung/praevention-in-der-schule/gesundheit/ernaehrung/. Accessed 1 July 2025</w:t>
      </w:r>
    </w:p>
    <w:p w14:paraId="20D8E7CE" w14:textId="77777777" w:rsidR="00531BD0" w:rsidRPr="005C3655" w:rsidRDefault="00531BD0" w:rsidP="00531BD0">
      <w:pPr>
        <w:pStyle w:val="Sources"/>
        <w:rPr>
          <w:lang w:val="en-US"/>
        </w:rPr>
      </w:pPr>
      <w:r w:rsidRPr="005C3655">
        <w:rPr>
          <w:lang w:val="en-US"/>
        </w:rPr>
        <w:t xml:space="preserve">21. Berlin Senate Department for Justice and Consumer Protection. </w:t>
      </w:r>
      <w:r>
        <w:t xml:space="preserve">Gutes &amp; gesundes Essen für alle! LebensMittelPunkte in alle Bezirke [Internet]. </w:t>
      </w:r>
      <w:r w:rsidRPr="005C3655">
        <w:rPr>
          <w:lang w:val="en-US"/>
        </w:rPr>
        <w:t>2023 [cited 2024 Apr 12]. https://www.berlin.de/ernaehrungsstrategie/projekte/artikel.1323229.php. Accessed 12 Apr 2024</w:t>
      </w:r>
    </w:p>
    <w:p w14:paraId="3C41804F" w14:textId="77777777" w:rsidR="00531BD0" w:rsidRPr="005C3655" w:rsidRDefault="00531BD0" w:rsidP="00531BD0">
      <w:pPr>
        <w:pStyle w:val="Sources"/>
        <w:rPr>
          <w:lang w:val="en-US"/>
        </w:rPr>
      </w:pPr>
      <w:r w:rsidRPr="005C3655">
        <w:rPr>
          <w:lang w:val="en-US"/>
        </w:rPr>
        <w:t xml:space="preserve">22. Berlin Senate Department for Justice and Consumer Protection. </w:t>
      </w:r>
      <w:r>
        <w:t xml:space="preserve">Projekte - Berliner Ernährungsstrategie [Internet]. 2024 [cited 2024 Jan 12]. https://www.berlin.de/ernaehrungsstrategie/projekte/. </w:t>
      </w:r>
      <w:r w:rsidRPr="005C3655">
        <w:rPr>
          <w:lang w:val="en-US"/>
        </w:rPr>
        <w:t>Accessed 12 Jan 2024</w:t>
      </w:r>
    </w:p>
    <w:p w14:paraId="37E43290" w14:textId="77777777" w:rsidR="00531BD0" w:rsidRPr="005C3655" w:rsidRDefault="00531BD0" w:rsidP="00531BD0">
      <w:pPr>
        <w:pStyle w:val="Sources"/>
        <w:rPr>
          <w:lang w:val="en-US"/>
        </w:rPr>
      </w:pPr>
      <w:r w:rsidRPr="005C3655">
        <w:rPr>
          <w:lang w:val="en-US"/>
        </w:rPr>
        <w:t xml:space="preserve">23. Berlin Senate Department for Justice and Consumer Protection. </w:t>
      </w:r>
      <w:r>
        <w:t xml:space="preserve">Berliner Ernährungsstrategie - Projekte [Internet]. 2024 [cited 2024 Apr 12]. https://www.berlin.de/ernaehrungsstrategie/projekte/. </w:t>
      </w:r>
      <w:r w:rsidRPr="005C3655">
        <w:rPr>
          <w:lang w:val="en-US"/>
        </w:rPr>
        <w:t>Accessed 12 Apr 2024</w:t>
      </w:r>
    </w:p>
    <w:p w14:paraId="48748C50" w14:textId="77777777" w:rsidR="00531BD0" w:rsidRDefault="00531BD0" w:rsidP="00531BD0">
      <w:pPr>
        <w:pStyle w:val="Sources"/>
      </w:pPr>
      <w:r w:rsidRPr="005C3655">
        <w:rPr>
          <w:lang w:val="en-US"/>
        </w:rPr>
        <w:t xml:space="preserve">24. Berlin Senate Department for Justice and Consumer Protection. </w:t>
      </w:r>
      <w:r>
        <w:t>Bezirkliche Ernährungsstrategie Marzahn-Hellersdorf [Internet]. 2025 [cited 2025 July 1]. https://www.berlin.de/ernaehrungsstrategie/projekte/was-gab-es-fuer-projekte/artikel.1420191.php. Accessed 1 July 2025</w:t>
      </w:r>
    </w:p>
    <w:p w14:paraId="3A37B646" w14:textId="77777777" w:rsidR="00531BD0" w:rsidRDefault="00531BD0" w:rsidP="00531BD0">
      <w:pPr>
        <w:pStyle w:val="Sources"/>
      </w:pPr>
      <w:r w:rsidRPr="005C3655">
        <w:rPr>
          <w:lang w:val="en-US"/>
        </w:rPr>
        <w:t xml:space="preserve">25. Brandenburg Ministry of Social Affairs, Health, Integration and Consumer Protection. </w:t>
      </w:r>
      <w:r>
        <w:t xml:space="preserve">Die Ernährungsstrategie Brandenburg. Potsdam: Brandenburg Ministerium für Soziales, Gesundheit, Integration und Verbraucherschutz; 2023 Oct. </w:t>
      </w:r>
    </w:p>
    <w:p w14:paraId="065873C6" w14:textId="77777777" w:rsidR="00531BD0" w:rsidRPr="005C3655" w:rsidRDefault="00531BD0" w:rsidP="00531BD0">
      <w:pPr>
        <w:pStyle w:val="Sources"/>
        <w:rPr>
          <w:lang w:val="en-US"/>
        </w:rPr>
      </w:pPr>
      <w:r w:rsidRPr="005C3655">
        <w:rPr>
          <w:lang w:val="en-US"/>
        </w:rPr>
        <w:t xml:space="preserve">26. City of Copenhagen. The City of Copenhagen Food Strategy 2019 [Internet]. Copenhagen: </w:t>
      </w:r>
      <w:proofErr w:type="spellStart"/>
      <w:r w:rsidRPr="005C3655">
        <w:rPr>
          <w:lang w:val="en-US"/>
        </w:rPr>
        <w:t>Københavns</w:t>
      </w:r>
      <w:proofErr w:type="spellEnd"/>
      <w:r w:rsidRPr="005C3655">
        <w:rPr>
          <w:lang w:val="en-US"/>
        </w:rPr>
        <w:t xml:space="preserve"> </w:t>
      </w:r>
      <w:proofErr w:type="spellStart"/>
      <w:r w:rsidRPr="005C3655">
        <w:rPr>
          <w:lang w:val="en-US"/>
        </w:rPr>
        <w:t>Kommune</w:t>
      </w:r>
      <w:proofErr w:type="spellEnd"/>
      <w:r w:rsidRPr="005C3655">
        <w:rPr>
          <w:lang w:val="en-US"/>
        </w:rPr>
        <w:t>; 2019. https://maaltider.kk.dk/sites/default/files/2022-06/The%20City%20of%20Copenhagen%20Food%20Strategy%202019.pdf. Accessed 6 Feb 2024</w:t>
      </w:r>
    </w:p>
    <w:p w14:paraId="0A5E2C54" w14:textId="77777777" w:rsidR="00531BD0" w:rsidRDefault="00531BD0" w:rsidP="00531BD0">
      <w:pPr>
        <w:pStyle w:val="Sources"/>
      </w:pPr>
      <w:r w:rsidRPr="005C3655">
        <w:rPr>
          <w:lang w:val="en-US"/>
        </w:rPr>
        <w:t xml:space="preserve">27. City of Varel. </w:t>
      </w:r>
      <w:r>
        <w:t xml:space="preserve">Regionalplanung, Regionales Raumordnungsprogramm (RROP) [Internet]. </w:t>
      </w:r>
      <w:r w:rsidRPr="005C3655">
        <w:rPr>
          <w:lang w:val="en-US"/>
        </w:rPr>
        <w:t xml:space="preserve">2024 [cited 2024 Apr 10]. https://www.varel.de/buergerservice/dienstleistungen/regionalplanung-regionales-raumordnungsprogramm-rrop--901001864-0.html?myMedium=1. </w:t>
      </w:r>
      <w:proofErr w:type="spellStart"/>
      <w:r>
        <w:t>Accessed</w:t>
      </w:r>
      <w:proofErr w:type="spellEnd"/>
      <w:r>
        <w:t xml:space="preserve"> 10 Apr 2024</w:t>
      </w:r>
    </w:p>
    <w:p w14:paraId="59D74B3C" w14:textId="77777777" w:rsidR="00531BD0" w:rsidRPr="005C3655" w:rsidRDefault="00531BD0" w:rsidP="00531BD0">
      <w:pPr>
        <w:pStyle w:val="Sources"/>
        <w:rPr>
          <w:lang w:val="en-US"/>
        </w:rPr>
      </w:pPr>
      <w:r>
        <w:t xml:space="preserve">28. Conference of Health Ministers (GMK). Beschlüsse der GMK 05.07.2023 -  TOP: 8.2 Mehr Kinderschutz in der Werbung [Internet]. </w:t>
      </w:r>
      <w:r w:rsidRPr="005C3655">
        <w:rPr>
          <w:lang w:val="en-US"/>
        </w:rPr>
        <w:t>2023 [cited 2024 Mar 19]. https://www.gmkonline.de/Beschluesse.html?id=1403&amp;jahr=2023. Accessed 19 Mar 2024</w:t>
      </w:r>
    </w:p>
    <w:p w14:paraId="336E29E5" w14:textId="77777777" w:rsidR="00531BD0" w:rsidRPr="005C3655" w:rsidRDefault="00531BD0" w:rsidP="00531BD0">
      <w:pPr>
        <w:pStyle w:val="Sources"/>
        <w:rPr>
          <w:lang w:val="en-US"/>
        </w:rPr>
      </w:pPr>
      <w:r w:rsidRPr="005C3655">
        <w:rPr>
          <w:lang w:val="en-US"/>
        </w:rPr>
        <w:lastRenderedPageBreak/>
        <w:t xml:space="preserve">29. Conference of Health Ministers (GMK) (GMK). </w:t>
      </w:r>
      <w:proofErr w:type="spellStart"/>
      <w:r w:rsidRPr="005C3655">
        <w:rPr>
          <w:lang w:val="en-US"/>
        </w:rPr>
        <w:t>Startseite</w:t>
      </w:r>
      <w:proofErr w:type="spellEnd"/>
      <w:r w:rsidRPr="005C3655">
        <w:rPr>
          <w:lang w:val="en-US"/>
        </w:rPr>
        <w:t xml:space="preserve"> - </w:t>
      </w:r>
      <w:proofErr w:type="spellStart"/>
      <w:r w:rsidRPr="005C3655">
        <w:rPr>
          <w:lang w:val="en-US"/>
        </w:rPr>
        <w:t>Gesundheitsministerkonferenz</w:t>
      </w:r>
      <w:proofErr w:type="spellEnd"/>
      <w:r w:rsidRPr="005C3655">
        <w:rPr>
          <w:lang w:val="en-US"/>
        </w:rPr>
        <w:t xml:space="preserve"> (GMK) [Internet]. 2024 [cited 2024 Apr 12]. https://www.gmkonline.de/. Accessed 12 Apr 2024</w:t>
      </w:r>
    </w:p>
    <w:p w14:paraId="2449FBA7" w14:textId="77777777" w:rsidR="00531BD0" w:rsidRDefault="00531BD0" w:rsidP="00531BD0">
      <w:pPr>
        <w:pStyle w:val="Sources"/>
      </w:pPr>
      <w:r w:rsidRPr="005C3655">
        <w:rPr>
          <w:lang w:val="en-US"/>
        </w:rPr>
        <w:t xml:space="preserve">30. Conference of Ministers for Consumer Protection (VSMK). </w:t>
      </w:r>
      <w:proofErr w:type="spellStart"/>
      <w:r w:rsidRPr="005C3655">
        <w:rPr>
          <w:lang w:val="en-US"/>
        </w:rPr>
        <w:t>Ergebnisprotokoll</w:t>
      </w:r>
      <w:proofErr w:type="spellEnd"/>
      <w:r w:rsidRPr="005C3655">
        <w:rPr>
          <w:lang w:val="en-US"/>
        </w:rPr>
        <w:t xml:space="preserve"> der 18. </w:t>
      </w:r>
      <w:r>
        <w:t>Sitzung der Verbraucherschutzministerkonferenz am 17. Juni 2022 in Weimar [Internet]. Weimar: Verbraucherschutztministerkonferenz; 2022 June. https://www.verbraucherschutzministerkonferenz.de/documents/2022-07-08-ergebnisprotokoll-18-vsmk_gesamt_2_1657273108.pdf. Accessed 28 Nov 2023</w:t>
      </w:r>
    </w:p>
    <w:p w14:paraId="4547F7C1" w14:textId="77777777" w:rsidR="00531BD0" w:rsidRDefault="00531BD0" w:rsidP="00531BD0">
      <w:pPr>
        <w:pStyle w:val="Sources"/>
      </w:pPr>
      <w:r w:rsidRPr="005C3655">
        <w:rPr>
          <w:lang w:val="en-US"/>
        </w:rPr>
        <w:t xml:space="preserve">31. Conference of Ministers for Consumer Protection (VSMK). </w:t>
      </w:r>
      <w:r>
        <w:t>Start - Verbraucherschutzministerkonferenz (VSMK) [Internet]. 2024 [cited 2024 Apr 12]. https://www.verbraucherschutzministerkonferenz.de/Start.html. Accessed 12 Apr 2024</w:t>
      </w:r>
    </w:p>
    <w:p w14:paraId="74F888E4" w14:textId="77777777" w:rsidR="00531BD0" w:rsidRPr="005C3655" w:rsidRDefault="00531BD0" w:rsidP="00531BD0">
      <w:pPr>
        <w:pStyle w:val="Sources"/>
        <w:rPr>
          <w:lang w:val="en-US"/>
        </w:rPr>
      </w:pPr>
      <w:r w:rsidRPr="005C3655">
        <w:rPr>
          <w:lang w:val="en-US"/>
        </w:rPr>
        <w:t xml:space="preserve">32. Hamburg Authority for Justice and Consumer Protection. </w:t>
      </w:r>
      <w:r>
        <w:t xml:space="preserve">Aufgefangen: Hamburgs Initiative gegen Lebensmittelverschwendung! </w:t>
      </w:r>
      <w:r w:rsidRPr="005C3655">
        <w:rPr>
          <w:lang w:val="en-US"/>
        </w:rPr>
        <w:t>[Internet]. hamburg.de. 2024 [cited 2024 Feb 6]. https://www.hamburg.de/aufgefangen/. Accessed 6 Feb 2024</w:t>
      </w:r>
    </w:p>
    <w:p w14:paraId="7DA8949A" w14:textId="77777777" w:rsidR="00531BD0" w:rsidRPr="005C3655" w:rsidRDefault="00531BD0" w:rsidP="00531BD0">
      <w:pPr>
        <w:pStyle w:val="Sources"/>
        <w:rPr>
          <w:lang w:val="en-US"/>
        </w:rPr>
      </w:pPr>
      <w:r w:rsidRPr="005C3655">
        <w:rPr>
          <w:lang w:val="en-US"/>
        </w:rPr>
        <w:t xml:space="preserve">33. Hessian Ministry for the Environment, Climate Protection, Agriculture and Consumer Protection. </w:t>
      </w:r>
      <w:r>
        <w:t xml:space="preserve">Gut essen in Hessen: gesund, regional, nachhaltig // Die Hessische Ernährungsstrategie [Internet]. </w:t>
      </w:r>
      <w:r w:rsidRPr="005C3655">
        <w:rPr>
          <w:lang w:val="en-US"/>
        </w:rPr>
        <w:t>Wiesbaden; 2020 Sept. https://landwirtschaft.hessen.de/sites/landwirtschaft.hessen.de/files/2023-07/die_hessische_ernaehrungsstrategie_bf.pdf. Accessed 1 July 2025</w:t>
      </w:r>
    </w:p>
    <w:p w14:paraId="4759C8DD" w14:textId="77777777" w:rsidR="00531BD0" w:rsidRDefault="00531BD0" w:rsidP="00531BD0">
      <w:pPr>
        <w:pStyle w:val="Sources"/>
      </w:pPr>
      <w:r w:rsidRPr="005C3655">
        <w:rPr>
          <w:lang w:val="en-US"/>
        </w:rPr>
        <w:t xml:space="preserve">34. Hessian Ministry for the Environment, Climate Protection, Agriculture and Consumer Protection. </w:t>
      </w:r>
      <w:r>
        <w:t xml:space="preserve">Mehr Nachhaltigkeit in der Gemeinschaftsverpflegung – Ein Beschaffungs-Leitfaden für Kommunen und öffentliche Einrichtungen. Wiesbaden; 2022 June. </w:t>
      </w:r>
    </w:p>
    <w:p w14:paraId="5A7B95EF" w14:textId="77777777" w:rsidR="00531BD0" w:rsidRPr="005C3655" w:rsidRDefault="00531BD0" w:rsidP="00531BD0">
      <w:pPr>
        <w:pStyle w:val="Sources"/>
        <w:rPr>
          <w:lang w:val="en-US"/>
        </w:rPr>
      </w:pPr>
      <w:r>
        <w:t xml:space="preserve">35. Lower Saxony Ministry of Finance. Subventionen und Zuwendungen des Landes Niedersachsen 2021 - 2025. </w:t>
      </w:r>
      <w:r w:rsidRPr="005C3655">
        <w:rPr>
          <w:lang w:val="en-US"/>
        </w:rPr>
        <w:t xml:space="preserve">Hannover: </w:t>
      </w:r>
      <w:proofErr w:type="spellStart"/>
      <w:r w:rsidRPr="005C3655">
        <w:rPr>
          <w:lang w:val="en-US"/>
        </w:rPr>
        <w:t>Niedersächsisches</w:t>
      </w:r>
      <w:proofErr w:type="spellEnd"/>
      <w:r w:rsidRPr="005C3655">
        <w:rPr>
          <w:lang w:val="en-US"/>
        </w:rPr>
        <w:t xml:space="preserve"> </w:t>
      </w:r>
      <w:proofErr w:type="spellStart"/>
      <w:r w:rsidRPr="005C3655">
        <w:rPr>
          <w:lang w:val="en-US"/>
        </w:rPr>
        <w:t>Finanzministerium</w:t>
      </w:r>
      <w:proofErr w:type="spellEnd"/>
      <w:r w:rsidRPr="005C3655">
        <w:rPr>
          <w:lang w:val="en-US"/>
        </w:rPr>
        <w:t xml:space="preserve">; 2021. </w:t>
      </w:r>
    </w:p>
    <w:p w14:paraId="5233CEE2" w14:textId="77777777" w:rsidR="00531BD0" w:rsidRDefault="00531BD0" w:rsidP="00531BD0">
      <w:pPr>
        <w:pStyle w:val="Sources"/>
      </w:pPr>
      <w:r w:rsidRPr="005C3655">
        <w:rPr>
          <w:lang w:val="en-US"/>
        </w:rPr>
        <w:t xml:space="preserve">36. Lower Saxony Ministry of Food, Agriculture and Consumer Protection. </w:t>
      </w:r>
      <w:r>
        <w:t>Inhalte und Wirkung von Raumordnungsplänen [Internet]. 2024 [cited 2024 Apr 9]. https://www.ml.niedersachsen.de/startseite/themen/raumordnung_landesplanung/grundlagen_der_raumordnung_landes_und_regionalplanung/inhalte-und-wirkung-von-raumordnungsplaenen--145529.html. Accessed 9 Apr 2024</w:t>
      </w:r>
    </w:p>
    <w:p w14:paraId="2894A4DF" w14:textId="77777777" w:rsidR="00531BD0" w:rsidRDefault="00531BD0" w:rsidP="00531BD0">
      <w:pPr>
        <w:pStyle w:val="Sources"/>
      </w:pPr>
      <w:r w:rsidRPr="005C3655">
        <w:rPr>
          <w:lang w:val="en-US"/>
        </w:rPr>
        <w:t xml:space="preserve">37. Lower Saxony Ministry of Food, Agriculture and Consumer Protection. </w:t>
      </w:r>
      <w:r>
        <w:t>Nachhaltige Landwirtschaft in Niedersachsen [Internet]. 2024 [cited 2024 Apr 11]. https://www.ml.niedersachsen.de/startseite/themen/landwirtschaft/nachhaltigkeit_und_klimaschutz/nachhaltigkeit-146290.html. Accessed 11 Apr 2024</w:t>
      </w:r>
    </w:p>
    <w:p w14:paraId="6985C0A6" w14:textId="77777777" w:rsidR="00531BD0" w:rsidRPr="005C3655" w:rsidRDefault="00531BD0" w:rsidP="00531BD0">
      <w:pPr>
        <w:pStyle w:val="Sources"/>
        <w:rPr>
          <w:lang w:val="en-US"/>
        </w:rPr>
      </w:pPr>
      <w:r w:rsidRPr="005C3655">
        <w:rPr>
          <w:lang w:val="en-US"/>
        </w:rPr>
        <w:t xml:space="preserve">38. Municipality of Groningen. </w:t>
      </w:r>
      <w:proofErr w:type="spellStart"/>
      <w:r w:rsidRPr="005C3655">
        <w:rPr>
          <w:lang w:val="en-US"/>
        </w:rPr>
        <w:t>Voedselagenda</w:t>
      </w:r>
      <w:proofErr w:type="spellEnd"/>
      <w:r w:rsidRPr="005C3655">
        <w:rPr>
          <w:lang w:val="en-US"/>
        </w:rPr>
        <w:t xml:space="preserve"> 2021-2023 [Internet]. Groningen: City of Groningen; 2021 Mar. https://vng.nl/sites/default/files/2021-04/voedselagenda-gemeente-groningen-2021-2023.pdf. Accessed 11 Apr 2024</w:t>
      </w:r>
    </w:p>
    <w:p w14:paraId="4B3C7EA4" w14:textId="77777777" w:rsidR="00531BD0" w:rsidRPr="005C3655" w:rsidRDefault="00531BD0" w:rsidP="00531BD0">
      <w:pPr>
        <w:pStyle w:val="Sources"/>
        <w:rPr>
          <w:lang w:val="en-US"/>
        </w:rPr>
      </w:pPr>
      <w:r w:rsidRPr="005C3655">
        <w:rPr>
          <w:lang w:val="en-US"/>
        </w:rPr>
        <w:t xml:space="preserve">39. North Rhine-Westphalia Ministry for </w:t>
      </w:r>
      <w:proofErr w:type="spellStart"/>
      <w:r w:rsidRPr="005C3655">
        <w:rPr>
          <w:lang w:val="en-US"/>
        </w:rPr>
        <w:t>Labour</w:t>
      </w:r>
      <w:proofErr w:type="spellEnd"/>
      <w:r w:rsidRPr="005C3655">
        <w:rPr>
          <w:lang w:val="en-US"/>
        </w:rPr>
        <w:t xml:space="preserve">, Health and Social Affairs. </w:t>
      </w:r>
      <w:r>
        <w:t xml:space="preserve">Richtlinien über die Gewährung von Zuwendungen zur Förderung von Mittagsverpflegung von Kindern und Jugendlichen in Schulen und Kindertagesbetreuung – Härtefallfonds „Alle Kinder essen mit“ [Internet]. Nordrhein-Westfalen; 2020 Sept. https://www.mags.nrw/alle-kinder-essen-mit. </w:t>
      </w:r>
      <w:r w:rsidRPr="005C3655">
        <w:rPr>
          <w:lang w:val="en-US"/>
        </w:rPr>
        <w:t>Accessed 12 Dec 2023</w:t>
      </w:r>
    </w:p>
    <w:p w14:paraId="6AD3275A" w14:textId="77777777" w:rsidR="00531BD0" w:rsidRPr="005C3655" w:rsidRDefault="00531BD0" w:rsidP="00531BD0">
      <w:pPr>
        <w:pStyle w:val="Sources"/>
        <w:rPr>
          <w:lang w:val="en-US"/>
        </w:rPr>
      </w:pPr>
      <w:r w:rsidRPr="005C3655">
        <w:rPr>
          <w:lang w:val="en-US"/>
        </w:rPr>
        <w:t xml:space="preserve">40. North Rhine-Westphalia Ministry for Regional Identity, Local Government, Building and Digitalization. </w:t>
      </w:r>
      <w:r>
        <w:t xml:space="preserve">Kommunen als Fundament der Demokratie [Internet]. 2023 [cited 2023 Aug 30]. https://www.mhkbd.nrw/themenportal/kommunen-als-fundament-der-demokratie. </w:t>
      </w:r>
      <w:r w:rsidRPr="005C3655">
        <w:rPr>
          <w:lang w:val="en-US"/>
        </w:rPr>
        <w:t>Accessed 30 Aug 2023</w:t>
      </w:r>
    </w:p>
    <w:p w14:paraId="4199965D" w14:textId="77777777" w:rsidR="00531BD0" w:rsidRPr="005C3655" w:rsidRDefault="00531BD0" w:rsidP="00531BD0">
      <w:pPr>
        <w:pStyle w:val="Sources"/>
        <w:rPr>
          <w:lang w:val="en-US"/>
        </w:rPr>
      </w:pPr>
      <w:r w:rsidRPr="005C3655">
        <w:rPr>
          <w:lang w:val="en-US"/>
        </w:rPr>
        <w:t xml:space="preserve">41. North Rhine-Westphalia Ministry for Schools and Education. </w:t>
      </w:r>
      <w:proofErr w:type="spellStart"/>
      <w:r w:rsidRPr="005C3655">
        <w:rPr>
          <w:lang w:val="en-US"/>
        </w:rPr>
        <w:t>brotZeit</w:t>
      </w:r>
      <w:proofErr w:type="spellEnd"/>
      <w:r w:rsidRPr="005C3655">
        <w:rPr>
          <w:lang w:val="en-US"/>
        </w:rPr>
        <w:t xml:space="preserve"> [Internet]. 2024 [cited 2024 Feb 6]. https://www.schulministerium.nrw/brotzeit. Accessed 6 Feb 2024</w:t>
      </w:r>
    </w:p>
    <w:p w14:paraId="3C2A5290" w14:textId="77777777" w:rsidR="00531BD0" w:rsidRDefault="00531BD0" w:rsidP="00531BD0">
      <w:pPr>
        <w:pStyle w:val="Sources"/>
      </w:pPr>
      <w:r w:rsidRPr="005C3655">
        <w:rPr>
          <w:lang w:val="en-US"/>
        </w:rPr>
        <w:t xml:space="preserve">42. North Rhine-Westphalia Ministry of Economic Affairs, Industry, Climate Action and Energy. </w:t>
      </w:r>
      <w:r>
        <w:t>Europäisches Beihilfenrecht [Internet]. 2024 [cited 2024 Apr 9]. https://wirtschaft.nrw/europaeisches-beihilferecht. Accessed 9 Apr 2024</w:t>
      </w:r>
    </w:p>
    <w:p w14:paraId="3EAE43EA" w14:textId="77777777" w:rsidR="00531BD0" w:rsidRDefault="00531BD0" w:rsidP="00531BD0">
      <w:pPr>
        <w:pStyle w:val="Sources"/>
      </w:pPr>
      <w:r>
        <w:lastRenderedPageBreak/>
        <w:t xml:space="preserve">43. North Rhine-Westphalia State Government. Verbraucherschutzministerium stellt 840.000 Euro für die Unterstützung der Tafeln bereit | Land.NRW [Internet]. </w:t>
      </w:r>
      <w:r w:rsidRPr="005C3655">
        <w:rPr>
          <w:lang w:val="en-US"/>
        </w:rPr>
        <w:t xml:space="preserve">2020 [cited 2024 Jan 22]. https://www.land.nrw/pressemitteilung/verbraucherschutzministerium-stellt-840000-euro-fuer-die-unterstuetzung-der-tafeln. </w:t>
      </w:r>
      <w:proofErr w:type="spellStart"/>
      <w:r>
        <w:t>Accessed</w:t>
      </w:r>
      <w:proofErr w:type="spellEnd"/>
      <w:r>
        <w:t xml:space="preserve"> 22 Jan 2024</w:t>
      </w:r>
    </w:p>
    <w:p w14:paraId="3E704D89" w14:textId="77777777" w:rsidR="00531BD0" w:rsidRDefault="00531BD0" w:rsidP="00531BD0">
      <w:pPr>
        <w:pStyle w:val="Sources"/>
      </w:pPr>
      <w:r>
        <w:t xml:space="preserve">44. North Rhine-Westphalia State Government. Wettbewerb startet: Drei neue Öko-Modellregionen für NRW | Land.NRW [Internet]. </w:t>
      </w:r>
      <w:r w:rsidRPr="005C3655">
        <w:rPr>
          <w:lang w:val="en-US"/>
        </w:rPr>
        <w:t xml:space="preserve">2021 [cited 2024 Feb 6]. https://www.land.nrw/pressemitteilung/wettbewerb-startet-drei-neue-oeko-modellregionen-fuer-nrw. </w:t>
      </w:r>
      <w:proofErr w:type="spellStart"/>
      <w:r>
        <w:t>Accessed</w:t>
      </w:r>
      <w:proofErr w:type="spellEnd"/>
      <w:r>
        <w:t xml:space="preserve"> 6 Feb 2024</w:t>
      </w:r>
    </w:p>
    <w:p w14:paraId="755B5F53" w14:textId="77777777" w:rsidR="00531BD0" w:rsidRPr="005C3655" w:rsidRDefault="00531BD0" w:rsidP="00531BD0">
      <w:pPr>
        <w:pStyle w:val="Sources"/>
        <w:rPr>
          <w:lang w:val="en-US"/>
        </w:rPr>
      </w:pPr>
      <w:r>
        <w:t xml:space="preserve">45. North Rhine-Westphalia State Parliament. Konzept Essen und Trinken in der Schule [Internet]. </w:t>
      </w:r>
      <w:r w:rsidRPr="005C3655">
        <w:rPr>
          <w:lang w:val="en-US"/>
        </w:rPr>
        <w:t>Düsseldorf; 2020 Dec. https://www.landtag.nrw.de/portal/WWW/dokumentenarchiv/Dokument/MMV17-4360.pdf. Accessed 1 July 2025</w:t>
      </w:r>
    </w:p>
    <w:p w14:paraId="4D64FC32" w14:textId="77777777" w:rsidR="00531BD0" w:rsidRPr="005C3655" w:rsidRDefault="00531BD0" w:rsidP="00531BD0">
      <w:pPr>
        <w:pStyle w:val="Sources"/>
        <w:rPr>
          <w:lang w:val="en-US"/>
        </w:rPr>
      </w:pPr>
      <w:r w:rsidRPr="005C3655">
        <w:rPr>
          <w:lang w:val="en-US"/>
        </w:rPr>
        <w:t xml:space="preserve">46. Rhineland-Palatinate Ministry for Climate Protection, Environment, Energy, and Mobility. </w:t>
      </w:r>
      <w:r>
        <w:t xml:space="preserve">Ernährung Nachhaltig gestalten - Was ist unser Essen wert? Das rheinland-pfälzische Schulprojekt zur Lebensmittelwertschätzung [Internet]. </w:t>
      </w:r>
      <w:r w:rsidRPr="005C3655">
        <w:rPr>
          <w:lang w:val="en-US"/>
        </w:rPr>
        <w:t>2022 Aug. https://mkuem.rlp.de/fileadmin/14/Themen/Ernaehrung/Schule_isst_besser/Flyer_Schulprojekt_Ernaehrung-nachhaltig_gestalten_2022.pdf. Accessed 6 Feb 2024</w:t>
      </w:r>
    </w:p>
    <w:p w14:paraId="362BEC8C" w14:textId="77777777" w:rsidR="00531BD0" w:rsidRDefault="00531BD0" w:rsidP="00531BD0">
      <w:pPr>
        <w:pStyle w:val="Sources"/>
      </w:pPr>
      <w:r w:rsidRPr="005C3655">
        <w:rPr>
          <w:lang w:val="en-US"/>
        </w:rPr>
        <w:t xml:space="preserve">47. Rhineland-Palatinate Ministry for Climate Protection, Environment, Energy, and Mobility. </w:t>
      </w:r>
      <w:r>
        <w:t>Verpflegung - gesund und nachhaltig [Internet]. 2024 [cited 2024 Jan 12]. https://mkuem.rlp.de/themen/ernaehrung/verpflegung-gesund-und-nachhaltig. Accessed 12 Jan 2024</w:t>
      </w:r>
    </w:p>
    <w:p w14:paraId="4E1E7D4B" w14:textId="77777777" w:rsidR="00531BD0" w:rsidRDefault="00531BD0" w:rsidP="00531BD0">
      <w:pPr>
        <w:pStyle w:val="Sources"/>
      </w:pPr>
      <w:r>
        <w:t>48. Rhineland-Palatinate State Government. Programm zur Förderung einer gesundheitsfördernden und nachhaltigen Gemeinschaftsverpflegung in Kitas, Schulen und Mensen in Rheinland-Pfalz [Internet]. Ministerium für Klimaschutz, Umwelt, Energie und Mobilität; 2021 Sept. https://mkuem.rlp.de/fileadmin/14/Themen/Ernaehrung/Verpflegung_gesund_und_nachhaltig/Verwaltungsvorschrift_Verpflegung.pdf. Accessed 12 Jan 2024</w:t>
      </w:r>
    </w:p>
    <w:p w14:paraId="02B97633" w14:textId="77777777" w:rsidR="00531BD0" w:rsidRDefault="00531BD0" w:rsidP="00531BD0">
      <w:pPr>
        <w:pStyle w:val="Sources"/>
      </w:pPr>
      <w:r w:rsidRPr="005C3655">
        <w:rPr>
          <w:lang w:val="en-US"/>
        </w:rPr>
        <w:t xml:space="preserve">49. Schleswig-Holstein Ministry of Social Affairs, Youth, Family, Senior Citizens, Integration and Equality. </w:t>
      </w:r>
      <w:r>
        <w:t xml:space="preserve">Lecker essen – gut ernähren: Qualität in der Kita-Verpflegung. Kiel: Schleswig-Holstein Ministerium für Soziales, Jugend, Familie, Senioren, Integration und Gleichstellung; 2023 Mar. </w:t>
      </w:r>
    </w:p>
    <w:p w14:paraId="04AD34E6" w14:textId="1FF82EBD" w:rsidR="006F464F" w:rsidRDefault="00531BD0" w:rsidP="00531BD0">
      <w:pPr>
        <w:pStyle w:val="Sources"/>
      </w:pPr>
      <w:r>
        <w:t>50. Schleswig-Holstein State Parliament. Antrag der Fraktionen von CDU, SPD, Bündnis 90/Die Grünen, FDP und der Abgeordneten des SSW Verhaltensregeln für die Abgeordneten des Schleswig-Holsteinischen Landtages. Kiel; 2018 Sept.</w:t>
      </w:r>
    </w:p>
    <w:p w14:paraId="558ECC51" w14:textId="6324F91D" w:rsidR="006D05B0" w:rsidRDefault="006D05B0" w:rsidP="00E75743">
      <w:pPr>
        <w:pStyle w:val="berschrift2"/>
      </w:pPr>
      <w:bookmarkStart w:id="28" w:name="_Toc221783971"/>
      <w:r>
        <w:t>Publications by national and international public sector organisations</w:t>
      </w:r>
      <w:bookmarkStart w:id="29" w:name="_Ref192517274"/>
      <w:bookmarkEnd w:id="28"/>
    </w:p>
    <w:p w14:paraId="55206304" w14:textId="41574F32" w:rsidR="00531BD0" w:rsidRPr="005C3655" w:rsidRDefault="00531BD0" w:rsidP="00531BD0">
      <w:pPr>
        <w:pStyle w:val="Sources"/>
        <w:rPr>
          <w:rFonts w:eastAsiaTheme="minorHAnsi"/>
          <w:lang w:val="en-US" w:eastAsia="en-US"/>
        </w:rPr>
      </w:pPr>
      <w:r w:rsidRPr="00531BD0">
        <w:rPr>
          <w:rFonts w:eastAsiaTheme="minorHAnsi"/>
          <w:lang w:eastAsia="en-US"/>
        </w:rPr>
        <w:t xml:space="preserve">1. Baden-Württemberg Centre for Nutrition (LErn BW). Coaches für Gemeinschaftsverpflegung [Internet]. 2023 [cited 2023 Dec 12]. https://landeszentrum-bw.de/,Lde/Startseite/vernetzen/Coaches+fuer+Gemeinschaftsverpflegung. </w:t>
      </w:r>
      <w:r w:rsidRPr="005C3655">
        <w:rPr>
          <w:rFonts w:eastAsiaTheme="minorHAnsi"/>
          <w:lang w:val="en-US" w:eastAsia="en-US"/>
        </w:rPr>
        <w:t>Accessed 12 Dec 2023</w:t>
      </w:r>
    </w:p>
    <w:p w14:paraId="568362B9" w14:textId="77777777" w:rsidR="00531BD0" w:rsidRPr="00531BD0" w:rsidRDefault="00531BD0" w:rsidP="00531BD0">
      <w:pPr>
        <w:pStyle w:val="Sources"/>
        <w:rPr>
          <w:rFonts w:eastAsiaTheme="minorHAnsi"/>
          <w:lang w:eastAsia="en-US"/>
        </w:rPr>
      </w:pPr>
      <w:r w:rsidRPr="005C3655">
        <w:rPr>
          <w:rFonts w:eastAsiaTheme="minorHAnsi"/>
          <w:lang w:val="en-US" w:eastAsia="en-US"/>
        </w:rPr>
        <w:t>2. Baden-Württemberg Centre for Nutrition (</w:t>
      </w:r>
      <w:proofErr w:type="spellStart"/>
      <w:r w:rsidRPr="005C3655">
        <w:rPr>
          <w:rFonts w:eastAsiaTheme="minorHAnsi"/>
          <w:lang w:val="en-US" w:eastAsia="en-US"/>
        </w:rPr>
        <w:t>LErn</w:t>
      </w:r>
      <w:proofErr w:type="spellEnd"/>
      <w:r w:rsidRPr="005C3655">
        <w:rPr>
          <w:rFonts w:eastAsiaTheme="minorHAnsi"/>
          <w:lang w:val="en-US" w:eastAsia="en-US"/>
        </w:rPr>
        <w:t xml:space="preserve"> BW). </w:t>
      </w:r>
      <w:proofErr w:type="spellStart"/>
      <w:r w:rsidRPr="005C3655">
        <w:rPr>
          <w:rFonts w:eastAsiaTheme="minorHAnsi"/>
          <w:lang w:val="en-US" w:eastAsia="en-US"/>
        </w:rPr>
        <w:t>Organisation</w:t>
      </w:r>
      <w:proofErr w:type="spellEnd"/>
      <w:r w:rsidRPr="005C3655">
        <w:rPr>
          <w:rFonts w:eastAsiaTheme="minorHAnsi"/>
          <w:lang w:val="en-US" w:eastAsia="en-US"/>
        </w:rPr>
        <w:t xml:space="preserve"> [Internet]. 2024 [cited 2024 Jan 10]. https://landeszentrum-bw.de/,Lde/Startseite/wir/Organisation. </w:t>
      </w:r>
      <w:proofErr w:type="spellStart"/>
      <w:r w:rsidRPr="00531BD0">
        <w:rPr>
          <w:rFonts w:eastAsiaTheme="minorHAnsi"/>
          <w:lang w:eastAsia="en-US"/>
        </w:rPr>
        <w:t>Accessed</w:t>
      </w:r>
      <w:proofErr w:type="spellEnd"/>
      <w:r w:rsidRPr="00531BD0">
        <w:rPr>
          <w:rFonts w:eastAsiaTheme="minorHAnsi"/>
          <w:lang w:eastAsia="en-US"/>
        </w:rPr>
        <w:t xml:space="preserve"> 10 Jan 2024</w:t>
      </w:r>
    </w:p>
    <w:p w14:paraId="096F3DFC" w14:textId="77777777" w:rsidR="00531BD0" w:rsidRPr="005C3655" w:rsidRDefault="00531BD0" w:rsidP="00531BD0">
      <w:pPr>
        <w:pStyle w:val="Sources"/>
        <w:rPr>
          <w:rFonts w:eastAsiaTheme="minorHAnsi"/>
          <w:lang w:val="en-US" w:eastAsia="en-US"/>
        </w:rPr>
      </w:pPr>
      <w:r w:rsidRPr="00531BD0">
        <w:rPr>
          <w:rFonts w:eastAsiaTheme="minorHAnsi"/>
          <w:lang w:eastAsia="en-US"/>
        </w:rPr>
        <w:t xml:space="preserve">3. Baden-Württemberg Centre for Nutrition (LErn BW). Startseite - Landes­zentrum für Ernährung Baden-Württemberg [Internet]. </w:t>
      </w:r>
      <w:r w:rsidRPr="005C3655">
        <w:rPr>
          <w:rFonts w:eastAsiaTheme="minorHAnsi"/>
          <w:lang w:val="en-US" w:eastAsia="en-US"/>
        </w:rPr>
        <w:t>2025 [cited 2025 Nov 28]. https://lern-bw.de/,Lde/startseite. Accessed 28 Nov 2025</w:t>
      </w:r>
    </w:p>
    <w:p w14:paraId="0BA999CF" w14:textId="77777777" w:rsidR="00531BD0" w:rsidRPr="00531BD0" w:rsidRDefault="00531BD0" w:rsidP="00531BD0">
      <w:pPr>
        <w:pStyle w:val="Sources"/>
        <w:rPr>
          <w:rFonts w:eastAsiaTheme="minorHAnsi"/>
          <w:lang w:eastAsia="en-US"/>
        </w:rPr>
      </w:pPr>
      <w:r w:rsidRPr="005C3655">
        <w:rPr>
          <w:rFonts w:eastAsiaTheme="minorHAnsi"/>
          <w:lang w:val="en-US" w:eastAsia="en-US"/>
        </w:rPr>
        <w:t>4. Bavarian Competence Centre for Nutrition (</w:t>
      </w:r>
      <w:proofErr w:type="spellStart"/>
      <w:r w:rsidRPr="005C3655">
        <w:rPr>
          <w:rFonts w:eastAsiaTheme="minorHAnsi"/>
          <w:lang w:val="en-US" w:eastAsia="en-US"/>
        </w:rPr>
        <w:t>KErn</w:t>
      </w:r>
      <w:proofErr w:type="spellEnd"/>
      <w:r w:rsidRPr="005C3655">
        <w:rPr>
          <w:rFonts w:eastAsiaTheme="minorHAnsi"/>
          <w:lang w:val="en-US" w:eastAsia="en-US"/>
        </w:rPr>
        <w:t xml:space="preserve">). </w:t>
      </w:r>
      <w:r w:rsidRPr="00531BD0">
        <w:rPr>
          <w:rFonts w:eastAsiaTheme="minorHAnsi"/>
          <w:lang w:eastAsia="en-US"/>
        </w:rPr>
        <w:t xml:space="preserve">Was isst Bayern? Bayerische Ernährungsstudie. </w:t>
      </w:r>
    </w:p>
    <w:p w14:paraId="047E4297" w14:textId="77777777" w:rsidR="00531BD0" w:rsidRPr="00531BD0" w:rsidRDefault="00531BD0" w:rsidP="00531BD0">
      <w:pPr>
        <w:pStyle w:val="Sources"/>
        <w:rPr>
          <w:rFonts w:eastAsiaTheme="minorHAnsi"/>
          <w:lang w:eastAsia="en-US"/>
        </w:rPr>
      </w:pPr>
      <w:r w:rsidRPr="005C3655">
        <w:rPr>
          <w:rFonts w:eastAsiaTheme="minorHAnsi"/>
          <w:lang w:val="en-US" w:eastAsia="en-US"/>
        </w:rPr>
        <w:t>5. Bavarian Competence Centre for Nutrition (</w:t>
      </w:r>
      <w:proofErr w:type="spellStart"/>
      <w:r w:rsidRPr="005C3655">
        <w:rPr>
          <w:rFonts w:eastAsiaTheme="minorHAnsi"/>
          <w:lang w:val="en-US" w:eastAsia="en-US"/>
        </w:rPr>
        <w:t>KErn</w:t>
      </w:r>
      <w:proofErr w:type="spellEnd"/>
      <w:r w:rsidRPr="005C3655">
        <w:rPr>
          <w:rFonts w:eastAsiaTheme="minorHAnsi"/>
          <w:lang w:val="en-US" w:eastAsia="en-US"/>
        </w:rPr>
        <w:t xml:space="preserve">). </w:t>
      </w:r>
      <w:r w:rsidRPr="00531BD0">
        <w:rPr>
          <w:rFonts w:eastAsiaTheme="minorHAnsi"/>
          <w:lang w:eastAsia="en-US"/>
        </w:rPr>
        <w:t>Bayerische Leitlinien Schulverpflegung - Mit gutem Essen Schule machen [Internet]. Bayerisches Staatsministerium für Ernährung, Landwirtschaft und Forsten; 2021 Nov. https://www.bestellen.bayern.de/application/eshop_app000007?SID=644625813&amp;ACTIONxSESSxSHOWPIC(BILDxKEY:%2708182017%27,BILDxCLASS:%27Artikel%27,BILDxTYPE:%27PDF%27)</w:t>
      </w:r>
    </w:p>
    <w:p w14:paraId="7ACD4AA8" w14:textId="77777777" w:rsidR="00531BD0" w:rsidRPr="005C3655" w:rsidRDefault="00531BD0" w:rsidP="00531BD0">
      <w:pPr>
        <w:pStyle w:val="Sources"/>
        <w:rPr>
          <w:rFonts w:eastAsiaTheme="minorHAnsi"/>
          <w:lang w:val="en-US" w:eastAsia="en-US"/>
        </w:rPr>
      </w:pPr>
      <w:r w:rsidRPr="005C3655">
        <w:rPr>
          <w:rFonts w:eastAsiaTheme="minorHAnsi"/>
          <w:lang w:val="en-US" w:eastAsia="en-US"/>
        </w:rPr>
        <w:t>6. Bavarian Competence Centre for Nutrition (</w:t>
      </w:r>
      <w:proofErr w:type="spellStart"/>
      <w:r w:rsidRPr="005C3655">
        <w:rPr>
          <w:rFonts w:eastAsiaTheme="minorHAnsi"/>
          <w:lang w:val="en-US" w:eastAsia="en-US"/>
        </w:rPr>
        <w:t>KErn</w:t>
      </w:r>
      <w:proofErr w:type="spellEnd"/>
      <w:r w:rsidRPr="005C3655">
        <w:rPr>
          <w:rFonts w:eastAsiaTheme="minorHAnsi"/>
          <w:lang w:val="en-US" w:eastAsia="en-US"/>
        </w:rPr>
        <w:t xml:space="preserve">). </w:t>
      </w:r>
      <w:proofErr w:type="spellStart"/>
      <w:r w:rsidRPr="005C3655">
        <w:rPr>
          <w:rFonts w:eastAsiaTheme="minorHAnsi"/>
          <w:lang w:val="en-US" w:eastAsia="en-US"/>
        </w:rPr>
        <w:t>Über</w:t>
      </w:r>
      <w:proofErr w:type="spellEnd"/>
      <w:r w:rsidRPr="005C3655">
        <w:rPr>
          <w:rFonts w:eastAsiaTheme="minorHAnsi"/>
          <w:lang w:val="en-US" w:eastAsia="en-US"/>
        </w:rPr>
        <w:t xml:space="preserve"> das </w:t>
      </w:r>
      <w:proofErr w:type="spellStart"/>
      <w:r w:rsidRPr="005C3655">
        <w:rPr>
          <w:rFonts w:eastAsiaTheme="minorHAnsi"/>
          <w:lang w:val="en-US" w:eastAsia="en-US"/>
        </w:rPr>
        <w:t>KErn</w:t>
      </w:r>
      <w:proofErr w:type="spellEnd"/>
      <w:r w:rsidRPr="005C3655">
        <w:rPr>
          <w:rFonts w:eastAsiaTheme="minorHAnsi"/>
          <w:lang w:val="en-US" w:eastAsia="en-US"/>
        </w:rPr>
        <w:t xml:space="preserve"> [Internet]. 2024 [cited 2024 Jan 10]. https://www.kern.bayern.de/ueberkern/index.php. Accessed 10 Jan 2024</w:t>
      </w:r>
    </w:p>
    <w:p w14:paraId="30B60AE4" w14:textId="77777777" w:rsidR="00531BD0" w:rsidRPr="00531BD0" w:rsidRDefault="00531BD0" w:rsidP="00531BD0">
      <w:pPr>
        <w:pStyle w:val="Sources"/>
        <w:rPr>
          <w:rFonts w:eastAsiaTheme="minorHAnsi"/>
          <w:lang w:eastAsia="en-US"/>
        </w:rPr>
      </w:pPr>
      <w:r w:rsidRPr="005C3655">
        <w:rPr>
          <w:rFonts w:eastAsiaTheme="minorHAnsi"/>
          <w:lang w:val="en-US" w:eastAsia="en-US"/>
        </w:rPr>
        <w:lastRenderedPageBreak/>
        <w:t>7. Bavarian Competence Centre for Nutrition (</w:t>
      </w:r>
      <w:proofErr w:type="spellStart"/>
      <w:r w:rsidRPr="005C3655">
        <w:rPr>
          <w:rFonts w:eastAsiaTheme="minorHAnsi"/>
          <w:lang w:val="en-US" w:eastAsia="en-US"/>
        </w:rPr>
        <w:t>KErn</w:t>
      </w:r>
      <w:proofErr w:type="spellEnd"/>
      <w:r w:rsidRPr="005C3655">
        <w:rPr>
          <w:rFonts w:eastAsiaTheme="minorHAnsi"/>
          <w:lang w:val="en-US" w:eastAsia="en-US"/>
        </w:rPr>
        <w:t xml:space="preserve">). </w:t>
      </w:r>
      <w:r w:rsidRPr="00531BD0">
        <w:rPr>
          <w:rFonts w:eastAsiaTheme="minorHAnsi"/>
          <w:lang w:eastAsia="en-US"/>
        </w:rPr>
        <w:t>Bayerische Leitlinien Betriebsgastronomie - Nährwert mit Mehrwert. Kulmbach: Bayerisches Staatsministerium für Ernahrung, Landwirtschaft, Forsten und Tourismus; 2024 Mar. https://doi.org/10.1515/9783111071589-011</w:t>
      </w:r>
    </w:p>
    <w:p w14:paraId="52CC8A0B" w14:textId="77777777" w:rsidR="00531BD0" w:rsidRPr="00531BD0" w:rsidRDefault="00531BD0" w:rsidP="00531BD0">
      <w:pPr>
        <w:pStyle w:val="Sources"/>
        <w:rPr>
          <w:rFonts w:eastAsiaTheme="minorHAnsi"/>
          <w:lang w:eastAsia="en-US"/>
        </w:rPr>
      </w:pPr>
      <w:r w:rsidRPr="005C3655">
        <w:rPr>
          <w:rFonts w:eastAsiaTheme="minorHAnsi"/>
          <w:lang w:val="en-US" w:eastAsia="en-US"/>
        </w:rPr>
        <w:t>8. Bavarian Competence Centre for Nutrition (</w:t>
      </w:r>
      <w:proofErr w:type="spellStart"/>
      <w:r w:rsidRPr="005C3655">
        <w:rPr>
          <w:rFonts w:eastAsiaTheme="minorHAnsi"/>
          <w:lang w:val="en-US" w:eastAsia="en-US"/>
        </w:rPr>
        <w:t>KErn</w:t>
      </w:r>
      <w:proofErr w:type="spellEnd"/>
      <w:r w:rsidRPr="005C3655">
        <w:rPr>
          <w:rFonts w:eastAsiaTheme="minorHAnsi"/>
          <w:lang w:val="en-US" w:eastAsia="en-US"/>
        </w:rPr>
        <w:t xml:space="preserve">). </w:t>
      </w:r>
      <w:r w:rsidRPr="00531BD0">
        <w:rPr>
          <w:rFonts w:eastAsiaTheme="minorHAnsi"/>
          <w:lang w:eastAsia="en-US"/>
        </w:rPr>
        <w:t xml:space="preserve">Bayerische Leitlinien Seniorenverpflegung - Es ist angerichtet! Kulmbach: Bayerisches Staatsministerium für Ernahrung, Landwirtschaft, Forsten und Tourismus; 2024 Mar. </w:t>
      </w:r>
    </w:p>
    <w:p w14:paraId="0BD8B133" w14:textId="77777777" w:rsidR="00531BD0" w:rsidRPr="005C3655" w:rsidRDefault="00531BD0" w:rsidP="00531BD0">
      <w:pPr>
        <w:pStyle w:val="Sources"/>
        <w:rPr>
          <w:rFonts w:eastAsiaTheme="minorHAnsi"/>
          <w:lang w:val="en-US" w:eastAsia="en-US"/>
        </w:rPr>
      </w:pPr>
      <w:r w:rsidRPr="005C3655">
        <w:rPr>
          <w:rFonts w:eastAsiaTheme="minorHAnsi"/>
          <w:lang w:val="en-US" w:eastAsia="en-US"/>
        </w:rPr>
        <w:t>9. Bavarian Food Products Agency, Bavarian State Ministry of Food, Agriculture, Forestry and Tourism (</w:t>
      </w:r>
      <w:proofErr w:type="spellStart"/>
      <w:r w:rsidRPr="005C3655">
        <w:rPr>
          <w:rFonts w:eastAsiaTheme="minorHAnsi"/>
          <w:lang w:val="en-US" w:eastAsia="en-US"/>
        </w:rPr>
        <w:t>StMELF</w:t>
      </w:r>
      <w:proofErr w:type="spellEnd"/>
      <w:r w:rsidRPr="005C3655">
        <w:rPr>
          <w:rFonts w:eastAsiaTheme="minorHAnsi"/>
          <w:lang w:val="en-US" w:eastAsia="en-US"/>
        </w:rPr>
        <w:t xml:space="preserve">). </w:t>
      </w:r>
      <w:r w:rsidRPr="00531BD0">
        <w:rPr>
          <w:rFonts w:eastAsiaTheme="minorHAnsi"/>
          <w:lang w:eastAsia="en-US"/>
        </w:rPr>
        <w:t xml:space="preserve">Bayerisches Bio-Siegel – Bio. Logisch! Aus der Region. [Internet]. Bio-Siegel Bayern. </w:t>
      </w:r>
      <w:r w:rsidRPr="005C3655">
        <w:rPr>
          <w:rFonts w:eastAsiaTheme="minorHAnsi"/>
          <w:lang w:val="en-US" w:eastAsia="en-US"/>
        </w:rPr>
        <w:t>2024 [cited 2024 Feb 6]. https://www.biosiegel.bayern/. Accessed 6 Feb 2024</w:t>
      </w:r>
    </w:p>
    <w:p w14:paraId="1312A5E8" w14:textId="77777777" w:rsidR="00531BD0" w:rsidRPr="005C3655" w:rsidRDefault="00531BD0" w:rsidP="00531BD0">
      <w:pPr>
        <w:pStyle w:val="Sources"/>
        <w:rPr>
          <w:rFonts w:eastAsiaTheme="minorHAnsi"/>
          <w:lang w:val="en-US" w:eastAsia="en-US"/>
        </w:rPr>
      </w:pPr>
      <w:r w:rsidRPr="005C3655">
        <w:rPr>
          <w:rFonts w:eastAsiaTheme="minorHAnsi"/>
          <w:lang w:val="en-US" w:eastAsia="en-US"/>
        </w:rPr>
        <w:t xml:space="preserve">10. Bavarian Health and Food Safety Authority (LGL). </w:t>
      </w:r>
      <w:r w:rsidRPr="00531BD0">
        <w:rPr>
          <w:rFonts w:eastAsiaTheme="minorHAnsi"/>
          <w:lang w:eastAsia="en-US"/>
        </w:rPr>
        <w:t xml:space="preserve">Das LGL: Das Bayerische Landesamt für Gesundheit und Lebensmittelsicherheit (LGL) [Internet]. </w:t>
      </w:r>
      <w:r w:rsidRPr="005C3655">
        <w:rPr>
          <w:rFonts w:eastAsiaTheme="minorHAnsi"/>
          <w:lang w:val="en-US" w:eastAsia="en-US"/>
        </w:rPr>
        <w:t>2024 [cited 2024 Jan 12]. https://www.lgl.bayern.de/das_lgl/index.htm#was. Accessed 12 Jan 2024</w:t>
      </w:r>
    </w:p>
    <w:p w14:paraId="4D73677C" w14:textId="77777777" w:rsidR="00531BD0" w:rsidRPr="005C3655" w:rsidRDefault="00531BD0" w:rsidP="00531BD0">
      <w:pPr>
        <w:pStyle w:val="Sources"/>
        <w:rPr>
          <w:rFonts w:eastAsiaTheme="minorHAnsi"/>
          <w:lang w:val="en-US" w:eastAsia="en-US"/>
        </w:rPr>
      </w:pPr>
      <w:r w:rsidRPr="005C3655">
        <w:rPr>
          <w:rFonts w:eastAsiaTheme="minorHAnsi"/>
          <w:lang w:val="en-US" w:eastAsia="en-US"/>
        </w:rPr>
        <w:t xml:space="preserve">11. Bavarian Health and Food Safety Authority (LGL). Gesundheit: Die </w:t>
      </w:r>
      <w:proofErr w:type="spellStart"/>
      <w:r w:rsidRPr="005C3655">
        <w:rPr>
          <w:rFonts w:eastAsiaTheme="minorHAnsi"/>
          <w:lang w:val="en-US" w:eastAsia="en-US"/>
        </w:rPr>
        <w:t>Schuleingangsuntersuchung</w:t>
      </w:r>
      <w:proofErr w:type="spellEnd"/>
      <w:r w:rsidRPr="005C3655">
        <w:rPr>
          <w:rFonts w:eastAsiaTheme="minorHAnsi"/>
          <w:lang w:val="en-US" w:eastAsia="en-US"/>
        </w:rPr>
        <w:t xml:space="preserve"> in Bayern [Internet]. 2024 [cited 2024 Jan 23]. https://www.lgl.bayern.de/gesundheit/praevention/kindergesundheit/schuleingangsuntersuchung/index.htm. Accessed 23 Jan 2024</w:t>
      </w:r>
    </w:p>
    <w:p w14:paraId="5F55CE58" w14:textId="77777777" w:rsidR="00531BD0" w:rsidRPr="005C3655" w:rsidRDefault="00531BD0" w:rsidP="00531BD0">
      <w:pPr>
        <w:pStyle w:val="Sources"/>
        <w:rPr>
          <w:rFonts w:eastAsiaTheme="minorHAnsi"/>
          <w:lang w:val="en-US" w:eastAsia="en-US"/>
        </w:rPr>
      </w:pPr>
      <w:r w:rsidRPr="005C3655">
        <w:rPr>
          <w:rFonts w:eastAsiaTheme="minorHAnsi"/>
          <w:lang w:val="en-US" w:eastAsia="en-US"/>
        </w:rPr>
        <w:t>12. Bavarian State Research Centre for Agriculture (</w:t>
      </w:r>
      <w:proofErr w:type="spellStart"/>
      <w:r w:rsidRPr="005C3655">
        <w:rPr>
          <w:rFonts w:eastAsiaTheme="minorHAnsi"/>
          <w:lang w:val="en-US" w:eastAsia="en-US"/>
        </w:rPr>
        <w:t>LfL</w:t>
      </w:r>
      <w:proofErr w:type="spellEnd"/>
      <w:r w:rsidRPr="005C3655">
        <w:rPr>
          <w:rFonts w:eastAsiaTheme="minorHAnsi"/>
          <w:lang w:val="en-US" w:eastAsia="en-US"/>
        </w:rPr>
        <w:t xml:space="preserve">). </w:t>
      </w:r>
      <w:r w:rsidRPr="00531BD0">
        <w:rPr>
          <w:rFonts w:eastAsiaTheme="minorHAnsi"/>
          <w:lang w:eastAsia="en-US"/>
        </w:rPr>
        <w:t xml:space="preserve">Wichtigste Rechtsgrundlagen für den Pflanzenschutz [Internet]. </w:t>
      </w:r>
      <w:r w:rsidRPr="005C3655">
        <w:rPr>
          <w:rFonts w:eastAsiaTheme="minorHAnsi"/>
          <w:lang w:val="en-US" w:eastAsia="en-US"/>
        </w:rPr>
        <w:t>2024 [cited 2024 Mar 20]. https://www.lfl.bayern.de/ips/recht/046150/index.php. Accessed 20 Mar 2024</w:t>
      </w:r>
    </w:p>
    <w:p w14:paraId="79D9FF0D" w14:textId="77777777" w:rsidR="00531BD0" w:rsidRPr="00531BD0" w:rsidRDefault="00531BD0" w:rsidP="00531BD0">
      <w:pPr>
        <w:pStyle w:val="Sources"/>
        <w:rPr>
          <w:rFonts w:eastAsiaTheme="minorHAnsi"/>
          <w:lang w:eastAsia="en-US"/>
        </w:rPr>
      </w:pPr>
      <w:r w:rsidRPr="00531BD0">
        <w:rPr>
          <w:rFonts w:eastAsiaTheme="minorHAnsi"/>
          <w:lang w:eastAsia="en-US"/>
        </w:rPr>
        <w:t xml:space="preserve">13. Berlin Mitte District Office. Basisdaten zur Bevölkerung und sozialen Lage im Bezirk Berlin-Mitte. Mitte im Spiegel der Berliner Bezirke. 2018; </w:t>
      </w:r>
    </w:p>
    <w:p w14:paraId="3B1A83F1" w14:textId="77777777" w:rsidR="00531BD0" w:rsidRPr="00531BD0" w:rsidRDefault="00531BD0" w:rsidP="00531BD0">
      <w:pPr>
        <w:pStyle w:val="Sources"/>
        <w:rPr>
          <w:rFonts w:eastAsiaTheme="minorHAnsi"/>
          <w:lang w:eastAsia="en-US"/>
        </w:rPr>
      </w:pPr>
      <w:r w:rsidRPr="00531BD0">
        <w:rPr>
          <w:rFonts w:eastAsiaTheme="minorHAnsi"/>
          <w:lang w:eastAsia="en-US"/>
        </w:rPr>
        <w:t>14. Berlin Steglitz-Zehlendorf District Office. Marktverwaltung [Internet]. 2023 [cited 2024 Dec 5]. https://www.berlin.de/ba-steglitz-zehlendorf/politik-und-verwaltung/service-und-organisationseinheiten/wirtschaftsfoerderung/marktverwaltung/. Accessed 5 Dec 2024</w:t>
      </w:r>
    </w:p>
    <w:p w14:paraId="034495E3" w14:textId="77777777" w:rsidR="00531BD0" w:rsidRPr="00531BD0" w:rsidRDefault="00531BD0" w:rsidP="00531BD0">
      <w:pPr>
        <w:pStyle w:val="Sources"/>
        <w:rPr>
          <w:rFonts w:eastAsiaTheme="minorHAnsi"/>
          <w:lang w:eastAsia="en-US"/>
        </w:rPr>
      </w:pPr>
      <w:r w:rsidRPr="00531BD0">
        <w:rPr>
          <w:rFonts w:eastAsiaTheme="minorHAnsi"/>
          <w:lang w:eastAsia="en-US"/>
        </w:rPr>
        <w:t xml:space="preserve">15. Brandenburg School Meals Coordination Office. Webanwendung „Unser Schulessen“ [Internet]. Vernetzungsstelle Brandenburg. </w:t>
      </w:r>
      <w:r w:rsidRPr="005C3655">
        <w:rPr>
          <w:rFonts w:eastAsiaTheme="minorHAnsi"/>
          <w:lang w:val="en-US" w:eastAsia="en-US"/>
        </w:rPr>
        <w:t xml:space="preserve">2024 [cited 2024 Jan 12]. https://vernetzungsstelle-brandenburg.de/schulverpflegung/webanwendung-unser-schulessen/. </w:t>
      </w:r>
      <w:proofErr w:type="spellStart"/>
      <w:r w:rsidRPr="00531BD0">
        <w:rPr>
          <w:rFonts w:eastAsiaTheme="minorHAnsi"/>
          <w:lang w:eastAsia="en-US"/>
        </w:rPr>
        <w:t>Accessed</w:t>
      </w:r>
      <w:proofErr w:type="spellEnd"/>
      <w:r w:rsidRPr="00531BD0">
        <w:rPr>
          <w:rFonts w:eastAsiaTheme="minorHAnsi"/>
          <w:lang w:eastAsia="en-US"/>
        </w:rPr>
        <w:t xml:space="preserve"> 12 Jan 2024</w:t>
      </w:r>
    </w:p>
    <w:p w14:paraId="7936D710" w14:textId="77777777" w:rsidR="00531BD0" w:rsidRPr="00531BD0" w:rsidRDefault="00531BD0" w:rsidP="00531BD0">
      <w:pPr>
        <w:pStyle w:val="Sources"/>
        <w:rPr>
          <w:rFonts w:eastAsiaTheme="minorHAnsi"/>
          <w:lang w:eastAsia="en-US"/>
        </w:rPr>
      </w:pPr>
      <w:r w:rsidRPr="00531BD0">
        <w:rPr>
          <w:rFonts w:eastAsiaTheme="minorHAnsi"/>
          <w:lang w:eastAsia="en-US"/>
        </w:rPr>
        <w:t xml:space="preserve">16. Bruns-Philipps DrE, Hespe-Jungesblut K, Jahn N, Schicktanz DrC, Zühlke C. Kindergesundheit im Einschulungsalter Ergebnisse der Schuleingangsuntersuchung 2017. Hannover: Lower Saxony Public health agency (Niedersächsisches Landesgesundheitsamt, NLGA); 2018 Aug. </w:t>
      </w:r>
    </w:p>
    <w:p w14:paraId="47E58A75" w14:textId="77777777" w:rsidR="00531BD0" w:rsidRPr="005C3655" w:rsidRDefault="00531BD0" w:rsidP="00531BD0">
      <w:pPr>
        <w:pStyle w:val="Sources"/>
        <w:rPr>
          <w:rFonts w:eastAsiaTheme="minorHAnsi"/>
          <w:lang w:val="en-US" w:eastAsia="en-US"/>
        </w:rPr>
      </w:pPr>
      <w:r w:rsidRPr="005C3655">
        <w:rPr>
          <w:rFonts w:eastAsiaTheme="minorHAnsi"/>
          <w:lang w:val="en-US" w:eastAsia="en-US"/>
        </w:rPr>
        <w:t xml:space="preserve">17. Citizens’ Assembly on the topic of “Nutrition in Transition: between a private matter and governmental responsibilities.” </w:t>
      </w:r>
      <w:r w:rsidRPr="00531BD0">
        <w:rPr>
          <w:rFonts w:eastAsiaTheme="minorHAnsi"/>
          <w:lang w:eastAsia="en-US"/>
        </w:rPr>
        <w:t xml:space="preserve">Empfehlungen an den Deutschen Bundestag Bürgerrat „Ernährung im Wandel“ [Internet]. </w:t>
      </w:r>
      <w:r w:rsidRPr="005C3655">
        <w:rPr>
          <w:rFonts w:eastAsiaTheme="minorHAnsi"/>
          <w:lang w:val="en-US" w:eastAsia="en-US"/>
        </w:rPr>
        <w:t>Berlin; 2024 Jan. https://www.bundestag.de/resource/blob/986140/fd980a8f962b16c2f40505638288c438/empfehlungen_buergerrat_ernaehrung.pdf. Accessed 22 Jan 2024</w:t>
      </w:r>
    </w:p>
    <w:p w14:paraId="4BFD8ED5" w14:textId="77777777" w:rsidR="00531BD0" w:rsidRPr="00531BD0" w:rsidRDefault="00531BD0" w:rsidP="00531BD0">
      <w:pPr>
        <w:pStyle w:val="Sources"/>
        <w:rPr>
          <w:rFonts w:eastAsiaTheme="minorHAnsi"/>
          <w:lang w:eastAsia="en-US"/>
        </w:rPr>
      </w:pPr>
      <w:r w:rsidRPr="005C3655">
        <w:rPr>
          <w:rFonts w:eastAsiaTheme="minorHAnsi"/>
          <w:lang w:val="en-US" w:eastAsia="en-US"/>
        </w:rPr>
        <w:t>18. Federal Agency for Civic Education (</w:t>
      </w:r>
      <w:proofErr w:type="spellStart"/>
      <w:r w:rsidRPr="005C3655">
        <w:rPr>
          <w:rFonts w:eastAsiaTheme="minorHAnsi"/>
          <w:lang w:val="en-US" w:eastAsia="en-US"/>
        </w:rPr>
        <w:t>bpb</w:t>
      </w:r>
      <w:proofErr w:type="spellEnd"/>
      <w:r w:rsidRPr="005C3655">
        <w:rPr>
          <w:rFonts w:eastAsiaTheme="minorHAnsi"/>
          <w:lang w:val="en-US" w:eastAsia="en-US"/>
        </w:rPr>
        <w:t xml:space="preserve">). </w:t>
      </w:r>
      <w:r w:rsidRPr="00531BD0">
        <w:rPr>
          <w:rFonts w:eastAsiaTheme="minorHAnsi"/>
          <w:lang w:eastAsia="en-US"/>
        </w:rPr>
        <w:t>Materialien für den Unterricht: Wer regelt was bei Bund und Land? [Internet]. Bundeszentrale für politische Bildung; 2014. https://www.bpb.de/medien/189018/Foederalismus.pdf. Accessed 21 Nov 2023</w:t>
      </w:r>
    </w:p>
    <w:p w14:paraId="595D6389" w14:textId="77777777" w:rsidR="00531BD0" w:rsidRPr="005C3655" w:rsidRDefault="00531BD0" w:rsidP="00531BD0">
      <w:pPr>
        <w:pStyle w:val="Sources"/>
        <w:rPr>
          <w:rFonts w:eastAsiaTheme="minorHAnsi"/>
          <w:lang w:val="en-US" w:eastAsia="en-US"/>
        </w:rPr>
      </w:pPr>
      <w:r w:rsidRPr="005C3655">
        <w:rPr>
          <w:rFonts w:eastAsiaTheme="minorHAnsi"/>
          <w:lang w:val="en-US" w:eastAsia="en-US"/>
        </w:rPr>
        <w:t>19. Federal Agency for Civic Education (</w:t>
      </w:r>
      <w:proofErr w:type="spellStart"/>
      <w:r w:rsidRPr="005C3655">
        <w:rPr>
          <w:rFonts w:eastAsiaTheme="minorHAnsi"/>
          <w:lang w:val="en-US" w:eastAsia="en-US"/>
        </w:rPr>
        <w:t>bpb</w:t>
      </w:r>
      <w:proofErr w:type="spellEnd"/>
      <w:r w:rsidRPr="005C3655">
        <w:rPr>
          <w:rFonts w:eastAsiaTheme="minorHAnsi"/>
          <w:lang w:val="en-US" w:eastAsia="en-US"/>
        </w:rPr>
        <w:t xml:space="preserve">). </w:t>
      </w:r>
      <w:proofErr w:type="spellStart"/>
      <w:r w:rsidRPr="005C3655">
        <w:rPr>
          <w:rFonts w:eastAsiaTheme="minorHAnsi"/>
          <w:lang w:val="en-US" w:eastAsia="en-US"/>
        </w:rPr>
        <w:t>Kommunalrecht</w:t>
      </w:r>
      <w:proofErr w:type="spellEnd"/>
      <w:r w:rsidRPr="005C3655">
        <w:rPr>
          <w:rFonts w:eastAsiaTheme="minorHAnsi"/>
          <w:lang w:val="en-US" w:eastAsia="en-US"/>
        </w:rPr>
        <w:t xml:space="preserve"> [Internet]. bpb.de. 2024 [cited 2024 Jan 12]. https://www.bpb.de/kurz-knapp/lexika/recht-a-z/323644/kommunalrecht/. Accessed 12 Jan 2024</w:t>
      </w:r>
    </w:p>
    <w:p w14:paraId="6EC056A8" w14:textId="77777777" w:rsidR="00531BD0" w:rsidRPr="00531BD0" w:rsidRDefault="00531BD0" w:rsidP="00531BD0">
      <w:pPr>
        <w:pStyle w:val="Sources"/>
        <w:rPr>
          <w:rFonts w:eastAsiaTheme="minorHAnsi"/>
          <w:lang w:eastAsia="en-US"/>
        </w:rPr>
      </w:pPr>
      <w:r w:rsidRPr="005C3655">
        <w:rPr>
          <w:rFonts w:eastAsiaTheme="minorHAnsi"/>
          <w:lang w:val="en-US" w:eastAsia="en-US"/>
        </w:rPr>
        <w:t>20. Federal Agency for Civic Education (</w:t>
      </w:r>
      <w:proofErr w:type="spellStart"/>
      <w:r w:rsidRPr="005C3655">
        <w:rPr>
          <w:rFonts w:eastAsiaTheme="minorHAnsi"/>
          <w:lang w:val="en-US" w:eastAsia="en-US"/>
        </w:rPr>
        <w:t>bpb</w:t>
      </w:r>
      <w:proofErr w:type="spellEnd"/>
      <w:r w:rsidRPr="005C3655">
        <w:rPr>
          <w:rFonts w:eastAsiaTheme="minorHAnsi"/>
          <w:lang w:val="en-US" w:eastAsia="en-US"/>
        </w:rPr>
        <w:t xml:space="preserve">). </w:t>
      </w:r>
      <w:proofErr w:type="spellStart"/>
      <w:r w:rsidRPr="005C3655">
        <w:rPr>
          <w:rFonts w:eastAsiaTheme="minorHAnsi"/>
          <w:lang w:val="en-US" w:eastAsia="en-US"/>
        </w:rPr>
        <w:t>Kompetenz</w:t>
      </w:r>
      <w:proofErr w:type="spellEnd"/>
      <w:r w:rsidRPr="005C3655">
        <w:rPr>
          <w:rFonts w:eastAsiaTheme="minorHAnsi"/>
          <w:lang w:val="en-US" w:eastAsia="en-US"/>
        </w:rPr>
        <w:t xml:space="preserve"> [Internet]. bpb.de. 2025 [cited 2025 Nov 5]. https://www.bpb.de/kurz-knapp/lexika/recht-a-z/522589/kompetenz/. </w:t>
      </w:r>
      <w:proofErr w:type="spellStart"/>
      <w:r w:rsidRPr="00531BD0">
        <w:rPr>
          <w:rFonts w:eastAsiaTheme="minorHAnsi"/>
          <w:lang w:eastAsia="en-US"/>
        </w:rPr>
        <w:t>Accessed</w:t>
      </w:r>
      <w:proofErr w:type="spellEnd"/>
      <w:r w:rsidRPr="00531BD0">
        <w:rPr>
          <w:rFonts w:eastAsiaTheme="minorHAnsi"/>
          <w:lang w:eastAsia="en-US"/>
        </w:rPr>
        <w:t xml:space="preserve"> 5 Nov 2025</w:t>
      </w:r>
    </w:p>
    <w:p w14:paraId="63C96DB4" w14:textId="77777777" w:rsidR="00531BD0" w:rsidRPr="005C3655" w:rsidRDefault="00531BD0" w:rsidP="00531BD0">
      <w:pPr>
        <w:pStyle w:val="Sources"/>
        <w:rPr>
          <w:rFonts w:eastAsiaTheme="minorHAnsi"/>
          <w:lang w:val="en-US" w:eastAsia="en-US"/>
        </w:rPr>
      </w:pPr>
      <w:r w:rsidRPr="00531BD0">
        <w:rPr>
          <w:rFonts w:eastAsiaTheme="minorHAnsi"/>
          <w:lang w:eastAsia="en-US"/>
        </w:rPr>
        <w:t xml:space="preserve">21. Federal Health Reporting (GBE). Die umfangreichste Datensammlung über unser Gesundheitswesen [Internet]. </w:t>
      </w:r>
      <w:r w:rsidRPr="005C3655">
        <w:rPr>
          <w:rFonts w:eastAsiaTheme="minorHAnsi"/>
          <w:lang w:val="en-US" w:eastAsia="en-US"/>
        </w:rPr>
        <w:t>2025 [cited 2025 July 3]. https://www.gbe-bund.de/gbe/. Accessed 3 July 2025</w:t>
      </w:r>
    </w:p>
    <w:p w14:paraId="41828A34" w14:textId="77777777" w:rsidR="00531BD0" w:rsidRPr="005C3655" w:rsidRDefault="00531BD0" w:rsidP="00531BD0">
      <w:pPr>
        <w:pStyle w:val="Sources"/>
        <w:rPr>
          <w:rFonts w:eastAsiaTheme="minorHAnsi"/>
          <w:lang w:val="en-US" w:eastAsia="en-US"/>
        </w:rPr>
      </w:pPr>
      <w:r w:rsidRPr="005C3655">
        <w:rPr>
          <w:rFonts w:eastAsiaTheme="minorHAnsi"/>
          <w:lang w:val="en-US" w:eastAsia="en-US"/>
        </w:rPr>
        <w:t xml:space="preserve">22. Federal Office for Agriculture and Food (BLE). </w:t>
      </w:r>
      <w:r w:rsidRPr="00531BD0">
        <w:rPr>
          <w:rFonts w:eastAsiaTheme="minorHAnsi"/>
          <w:lang w:eastAsia="en-US"/>
        </w:rPr>
        <w:t xml:space="preserve">Hintergrund - Zu gut für die Tonne [Internet]. </w:t>
      </w:r>
      <w:r w:rsidRPr="005C3655">
        <w:rPr>
          <w:rFonts w:eastAsiaTheme="minorHAnsi"/>
          <w:lang w:val="en-US" w:eastAsia="en-US"/>
        </w:rPr>
        <w:t>2024 [cited 2025 May 27]. https://www.zugutfuerdietonne.de/unsere-strategie/hintergrund. Accessed 27 May 2025</w:t>
      </w:r>
    </w:p>
    <w:p w14:paraId="47FCB160" w14:textId="77777777" w:rsidR="00531BD0" w:rsidRPr="005C3655" w:rsidRDefault="00531BD0" w:rsidP="00531BD0">
      <w:pPr>
        <w:pStyle w:val="Sources"/>
        <w:rPr>
          <w:rFonts w:eastAsiaTheme="minorHAnsi"/>
          <w:lang w:val="en-US" w:eastAsia="en-US"/>
        </w:rPr>
      </w:pPr>
      <w:r w:rsidRPr="005C3655">
        <w:rPr>
          <w:rFonts w:eastAsiaTheme="minorHAnsi"/>
          <w:lang w:val="en-US" w:eastAsia="en-US"/>
        </w:rPr>
        <w:lastRenderedPageBreak/>
        <w:t xml:space="preserve">23. Federal Office of Consumer Protection and Food Safety (BVL). </w:t>
      </w:r>
      <w:r w:rsidRPr="00531BD0">
        <w:rPr>
          <w:rFonts w:eastAsiaTheme="minorHAnsi"/>
          <w:lang w:eastAsia="en-US"/>
        </w:rPr>
        <w:t xml:space="preserve">Lebensmittelsicherheit – Wer macht was? [Internet]. 2024 [cited 2024 Apr 5]. https://www.bvl.bund.de/DE/Arbeitsbereiche/01_Lebensmittel/01_Aufgaben/01_WerMachtWas/lm_WerMachtWas_node.html#. </w:t>
      </w:r>
      <w:r w:rsidRPr="005C3655">
        <w:rPr>
          <w:rFonts w:eastAsiaTheme="minorHAnsi"/>
          <w:lang w:val="en-US" w:eastAsia="en-US"/>
        </w:rPr>
        <w:t>Accessed 5 Apr 2024</w:t>
      </w:r>
    </w:p>
    <w:p w14:paraId="442D8A77" w14:textId="77777777" w:rsidR="00531BD0" w:rsidRPr="005C3655" w:rsidRDefault="00531BD0" w:rsidP="00531BD0">
      <w:pPr>
        <w:pStyle w:val="Sources"/>
        <w:rPr>
          <w:rFonts w:eastAsiaTheme="minorHAnsi"/>
          <w:lang w:val="en-US" w:eastAsia="en-US"/>
        </w:rPr>
      </w:pPr>
      <w:r w:rsidRPr="005C3655">
        <w:rPr>
          <w:rFonts w:eastAsiaTheme="minorHAnsi"/>
          <w:lang w:val="en-US" w:eastAsia="en-US"/>
        </w:rPr>
        <w:t>24. Federal Statistical Office of Germany (</w:t>
      </w:r>
      <w:proofErr w:type="spellStart"/>
      <w:r w:rsidRPr="005C3655">
        <w:rPr>
          <w:rFonts w:eastAsiaTheme="minorHAnsi"/>
          <w:lang w:val="en-US" w:eastAsia="en-US"/>
        </w:rPr>
        <w:t>Statistisches</w:t>
      </w:r>
      <w:proofErr w:type="spellEnd"/>
      <w:r w:rsidRPr="005C3655">
        <w:rPr>
          <w:rFonts w:eastAsiaTheme="minorHAnsi"/>
          <w:lang w:val="en-US" w:eastAsia="en-US"/>
        </w:rPr>
        <w:t xml:space="preserve"> </w:t>
      </w:r>
      <w:proofErr w:type="spellStart"/>
      <w:r w:rsidRPr="005C3655">
        <w:rPr>
          <w:rFonts w:eastAsiaTheme="minorHAnsi"/>
          <w:lang w:val="en-US" w:eastAsia="en-US"/>
        </w:rPr>
        <w:t>Bundesamt</w:t>
      </w:r>
      <w:proofErr w:type="spellEnd"/>
      <w:r w:rsidRPr="005C3655">
        <w:rPr>
          <w:rFonts w:eastAsiaTheme="minorHAnsi"/>
          <w:lang w:val="en-US" w:eastAsia="en-US"/>
        </w:rPr>
        <w:t xml:space="preserve">). </w:t>
      </w:r>
      <w:proofErr w:type="spellStart"/>
      <w:r w:rsidRPr="005C3655">
        <w:rPr>
          <w:rFonts w:eastAsiaTheme="minorHAnsi"/>
          <w:lang w:val="en-US" w:eastAsia="en-US"/>
        </w:rPr>
        <w:t>Subventionen</w:t>
      </w:r>
      <w:proofErr w:type="spellEnd"/>
      <w:r w:rsidRPr="005C3655">
        <w:rPr>
          <w:rFonts w:eastAsiaTheme="minorHAnsi"/>
          <w:lang w:val="en-US" w:eastAsia="en-US"/>
        </w:rPr>
        <w:t xml:space="preserve"> [Internet]. 2023 [cited 2023 Dec 7]. https://www.destatis.de/DE/Themen/Wirtschaft/Volkswirtschaftliche-Gesamtrechnungen-Inlandsprodukt/Methoden/erlaeuterung-subventionen.html. Accessed 7 Dec 2023</w:t>
      </w:r>
    </w:p>
    <w:p w14:paraId="2225C1DC" w14:textId="77777777" w:rsidR="00531BD0" w:rsidRPr="005C3655" w:rsidRDefault="00531BD0" w:rsidP="00531BD0">
      <w:pPr>
        <w:pStyle w:val="Sources"/>
        <w:rPr>
          <w:rFonts w:eastAsiaTheme="minorHAnsi"/>
          <w:lang w:val="en-US" w:eastAsia="en-US"/>
        </w:rPr>
      </w:pPr>
      <w:r w:rsidRPr="005C3655">
        <w:rPr>
          <w:rFonts w:eastAsiaTheme="minorHAnsi"/>
          <w:lang w:val="en-US" w:eastAsia="en-US"/>
        </w:rPr>
        <w:t>25. Food and Agriculture Organization of the United Nations (FAO), World Health Organization (WHO). What are healthy diets? Joint statement by the Food and Agriculture Organization of the United Nations and the World Health Organization [Internet]. Geneva; 2024. https://iris.who.int/bitstream/handle/10665/379324/9789240101876-eng.pdf?sequence=5. Accessed 7 Nov 2024</w:t>
      </w:r>
    </w:p>
    <w:p w14:paraId="1D8AEB77" w14:textId="77777777" w:rsidR="00531BD0" w:rsidRPr="00531BD0" w:rsidRDefault="00531BD0" w:rsidP="00531BD0">
      <w:pPr>
        <w:pStyle w:val="Sources"/>
        <w:rPr>
          <w:rFonts w:eastAsiaTheme="minorHAnsi"/>
          <w:lang w:eastAsia="en-US"/>
        </w:rPr>
      </w:pPr>
      <w:r w:rsidRPr="005C3655">
        <w:rPr>
          <w:rFonts w:eastAsiaTheme="minorHAnsi"/>
          <w:lang w:val="en-US" w:eastAsia="en-US"/>
        </w:rPr>
        <w:t xml:space="preserve">26. German Nutrition Society (DGE). </w:t>
      </w:r>
      <w:proofErr w:type="spellStart"/>
      <w:r w:rsidRPr="005C3655">
        <w:rPr>
          <w:rFonts w:eastAsiaTheme="minorHAnsi"/>
          <w:lang w:val="en-US" w:eastAsia="en-US"/>
        </w:rPr>
        <w:t>Leitlinie</w:t>
      </w:r>
      <w:proofErr w:type="spellEnd"/>
      <w:r w:rsidRPr="005C3655">
        <w:rPr>
          <w:rFonts w:eastAsiaTheme="minorHAnsi"/>
          <w:lang w:val="en-US" w:eastAsia="en-US"/>
        </w:rPr>
        <w:t xml:space="preserve"> </w:t>
      </w:r>
      <w:proofErr w:type="spellStart"/>
      <w:r w:rsidRPr="005C3655">
        <w:rPr>
          <w:rFonts w:eastAsiaTheme="minorHAnsi"/>
          <w:lang w:val="en-US" w:eastAsia="en-US"/>
        </w:rPr>
        <w:t>Kohlenhydrate</w:t>
      </w:r>
      <w:proofErr w:type="spellEnd"/>
      <w:r w:rsidRPr="005C3655">
        <w:rPr>
          <w:rFonts w:eastAsiaTheme="minorHAnsi"/>
          <w:lang w:val="en-US" w:eastAsia="en-US"/>
        </w:rPr>
        <w:t xml:space="preserve"> [Internet]. 2011 [cited 2025 July 3]. http://www.dge.de/wissenschaft/dge-leitlinien/leitlinie-kohlenhydrate/. </w:t>
      </w:r>
      <w:proofErr w:type="spellStart"/>
      <w:r w:rsidRPr="00531BD0">
        <w:rPr>
          <w:rFonts w:eastAsiaTheme="minorHAnsi"/>
          <w:lang w:eastAsia="en-US"/>
        </w:rPr>
        <w:t>Accessed</w:t>
      </w:r>
      <w:proofErr w:type="spellEnd"/>
      <w:r w:rsidRPr="00531BD0">
        <w:rPr>
          <w:rFonts w:eastAsiaTheme="minorHAnsi"/>
          <w:lang w:eastAsia="en-US"/>
        </w:rPr>
        <w:t xml:space="preserve"> 3 </w:t>
      </w:r>
      <w:proofErr w:type="spellStart"/>
      <w:r w:rsidRPr="00531BD0">
        <w:rPr>
          <w:rFonts w:eastAsiaTheme="minorHAnsi"/>
          <w:lang w:eastAsia="en-US"/>
        </w:rPr>
        <w:t>July</w:t>
      </w:r>
      <w:proofErr w:type="spellEnd"/>
      <w:r w:rsidRPr="00531BD0">
        <w:rPr>
          <w:rFonts w:eastAsiaTheme="minorHAnsi"/>
          <w:lang w:eastAsia="en-US"/>
        </w:rPr>
        <w:t xml:space="preserve"> 2025</w:t>
      </w:r>
    </w:p>
    <w:p w14:paraId="75780633" w14:textId="77777777" w:rsidR="00531BD0" w:rsidRPr="00531BD0" w:rsidRDefault="00531BD0" w:rsidP="00531BD0">
      <w:pPr>
        <w:pStyle w:val="Sources"/>
        <w:rPr>
          <w:rFonts w:eastAsiaTheme="minorHAnsi"/>
          <w:lang w:eastAsia="en-US"/>
        </w:rPr>
      </w:pPr>
      <w:r w:rsidRPr="00531BD0">
        <w:rPr>
          <w:rFonts w:eastAsiaTheme="minorHAnsi"/>
          <w:lang w:eastAsia="en-US"/>
        </w:rPr>
        <w:t>27. German Nutrition Society (DGE). Flyer: Gesundes Schulfrühstück - calciumreiche Pausenverpflegung - [Internet]. Friedrichsdorf: Sektion Hessen - DGE e.V.; 2021. https://www.dge-hessen.de/wp-content/uploads/2021/01/Flyer_Calciumreiches-Fruehstueck_finale-Fassung.pdf. Accessed 19 Mar 2024</w:t>
      </w:r>
    </w:p>
    <w:p w14:paraId="1892C7CB" w14:textId="77777777" w:rsidR="00531BD0" w:rsidRPr="005C3655" w:rsidRDefault="00531BD0" w:rsidP="00531BD0">
      <w:pPr>
        <w:pStyle w:val="Sources"/>
        <w:rPr>
          <w:rFonts w:eastAsiaTheme="minorHAnsi"/>
          <w:lang w:val="en-US" w:eastAsia="en-US"/>
        </w:rPr>
      </w:pPr>
      <w:r w:rsidRPr="00531BD0">
        <w:rPr>
          <w:rFonts w:eastAsiaTheme="minorHAnsi"/>
          <w:lang w:eastAsia="en-US"/>
        </w:rPr>
        <w:t xml:space="preserve">28. German Nutrition Society (DGE). Projekt Frühstück - Sektion Hessen [Internet]. </w:t>
      </w:r>
      <w:r w:rsidRPr="005C3655">
        <w:rPr>
          <w:rFonts w:eastAsiaTheme="minorHAnsi"/>
          <w:lang w:val="en-US" w:eastAsia="en-US"/>
        </w:rPr>
        <w:t>2021 [cited 2024 Mar 19]. https://www.dge-hessen.de/projekt-fruehstueck/. Accessed 19 Mar 2024</w:t>
      </w:r>
    </w:p>
    <w:p w14:paraId="52077490" w14:textId="77777777" w:rsidR="00531BD0" w:rsidRPr="00531BD0" w:rsidRDefault="00531BD0" w:rsidP="00531BD0">
      <w:pPr>
        <w:pStyle w:val="Sources"/>
        <w:rPr>
          <w:rFonts w:eastAsiaTheme="minorHAnsi"/>
          <w:lang w:eastAsia="en-US"/>
        </w:rPr>
      </w:pPr>
      <w:r w:rsidRPr="00531BD0">
        <w:rPr>
          <w:rFonts w:eastAsiaTheme="minorHAnsi"/>
          <w:lang w:eastAsia="en-US"/>
        </w:rPr>
        <w:t xml:space="preserve">29. German Nutrition Society (DGE). DGE-Ernährungsempfehlungen [Internet]. </w:t>
      </w:r>
      <w:r w:rsidRPr="005C3655">
        <w:rPr>
          <w:rFonts w:eastAsiaTheme="minorHAnsi"/>
          <w:lang w:val="en-US" w:eastAsia="en-US"/>
        </w:rPr>
        <w:t xml:space="preserve">2022 [cited 2024 Jan 8]. http://www.dge.de/gesunde-ernaehrung/dge-ernaehrungsempfehlungen/. </w:t>
      </w:r>
      <w:proofErr w:type="spellStart"/>
      <w:r w:rsidRPr="00531BD0">
        <w:rPr>
          <w:rFonts w:eastAsiaTheme="minorHAnsi"/>
          <w:lang w:eastAsia="en-US"/>
        </w:rPr>
        <w:t>Accessed</w:t>
      </w:r>
      <w:proofErr w:type="spellEnd"/>
      <w:r w:rsidRPr="00531BD0">
        <w:rPr>
          <w:rFonts w:eastAsiaTheme="minorHAnsi"/>
          <w:lang w:eastAsia="en-US"/>
        </w:rPr>
        <w:t xml:space="preserve"> 8 Jan 2024</w:t>
      </w:r>
    </w:p>
    <w:p w14:paraId="030F8C89" w14:textId="77777777" w:rsidR="00531BD0" w:rsidRPr="005C3655" w:rsidRDefault="00531BD0" w:rsidP="00531BD0">
      <w:pPr>
        <w:pStyle w:val="Sources"/>
        <w:rPr>
          <w:rFonts w:eastAsiaTheme="minorHAnsi"/>
          <w:lang w:val="en-US" w:eastAsia="en-US"/>
        </w:rPr>
      </w:pPr>
      <w:r w:rsidRPr="00531BD0">
        <w:rPr>
          <w:rFonts w:eastAsiaTheme="minorHAnsi"/>
          <w:lang w:eastAsia="en-US"/>
        </w:rPr>
        <w:t xml:space="preserve">30. German Nutrition Society (DGE). DGE-Qualitätsstandard für die Verpflegung in Schulen [Internet]. </w:t>
      </w:r>
      <w:r w:rsidRPr="005C3655">
        <w:rPr>
          <w:rFonts w:eastAsiaTheme="minorHAnsi"/>
          <w:lang w:val="en-US" w:eastAsia="en-US"/>
        </w:rPr>
        <w:t>2022 [cited 2023 Mar 24]. https://www.schuleplusessen.de/fileadmin/user_upload/medien/DGE-QST/DGE_Qualitaetsstandard_Schule.pdf. Accessed 24 Mar 2023</w:t>
      </w:r>
    </w:p>
    <w:p w14:paraId="068F1D8B" w14:textId="77777777" w:rsidR="00531BD0" w:rsidRPr="005C3655" w:rsidRDefault="00531BD0" w:rsidP="00531BD0">
      <w:pPr>
        <w:pStyle w:val="Sources"/>
        <w:rPr>
          <w:rFonts w:eastAsiaTheme="minorHAnsi"/>
          <w:lang w:val="en-US" w:eastAsia="en-US"/>
        </w:rPr>
      </w:pPr>
      <w:r w:rsidRPr="00531BD0">
        <w:rPr>
          <w:rFonts w:eastAsiaTheme="minorHAnsi"/>
          <w:lang w:eastAsia="en-US"/>
        </w:rPr>
        <w:t xml:space="preserve">31. German Nutrition Society (DGE). Jahresbericht der Deutschen Gesellschaft für Ernährung e.V. [Internet]. </w:t>
      </w:r>
      <w:r w:rsidRPr="005C3655">
        <w:rPr>
          <w:rFonts w:eastAsiaTheme="minorHAnsi"/>
          <w:lang w:val="en-US" w:eastAsia="en-US"/>
        </w:rPr>
        <w:t>2022. https://www.dge.de/fileadmin/dok/dge/jahresberichte/DGE-Jahresbericht-2022.pdf. Accessed 8 Jan 2024</w:t>
      </w:r>
    </w:p>
    <w:p w14:paraId="3B6D12B3" w14:textId="77777777" w:rsidR="00531BD0" w:rsidRPr="00531BD0" w:rsidRDefault="00531BD0" w:rsidP="00531BD0">
      <w:pPr>
        <w:pStyle w:val="Sources"/>
        <w:rPr>
          <w:rFonts w:eastAsiaTheme="minorHAnsi"/>
          <w:lang w:eastAsia="en-US"/>
        </w:rPr>
      </w:pPr>
      <w:r w:rsidRPr="00531BD0">
        <w:rPr>
          <w:rFonts w:eastAsiaTheme="minorHAnsi"/>
          <w:lang w:eastAsia="en-US"/>
        </w:rPr>
        <w:t xml:space="preserve">32. German Nutrition Society (DGE). DGE-Ernährungskreis [Internet]. </w:t>
      </w:r>
      <w:r w:rsidRPr="005C3655">
        <w:rPr>
          <w:rFonts w:eastAsiaTheme="minorHAnsi"/>
          <w:lang w:val="en-US" w:eastAsia="en-US"/>
        </w:rPr>
        <w:t xml:space="preserve">2023 [cited 2023 June 1]. http://www.dge.de/gesunde-ernaehrung/dge-ernaehrungsempfehlungen/dge-ernaehrungskreis/. </w:t>
      </w:r>
      <w:proofErr w:type="spellStart"/>
      <w:r w:rsidRPr="00531BD0">
        <w:rPr>
          <w:rFonts w:eastAsiaTheme="minorHAnsi"/>
          <w:lang w:eastAsia="en-US"/>
        </w:rPr>
        <w:t>Accessed</w:t>
      </w:r>
      <w:proofErr w:type="spellEnd"/>
      <w:r w:rsidRPr="00531BD0">
        <w:rPr>
          <w:rFonts w:eastAsiaTheme="minorHAnsi"/>
          <w:lang w:eastAsia="en-US"/>
        </w:rPr>
        <w:t xml:space="preserve"> 1 June 2023</w:t>
      </w:r>
    </w:p>
    <w:p w14:paraId="62732627" w14:textId="77777777" w:rsidR="00531BD0" w:rsidRPr="00531BD0" w:rsidRDefault="00531BD0" w:rsidP="00531BD0">
      <w:pPr>
        <w:pStyle w:val="Sources"/>
        <w:rPr>
          <w:rFonts w:eastAsiaTheme="minorHAnsi"/>
          <w:lang w:eastAsia="en-US"/>
        </w:rPr>
      </w:pPr>
      <w:r w:rsidRPr="00531BD0">
        <w:rPr>
          <w:rFonts w:eastAsiaTheme="minorHAnsi"/>
          <w:lang w:eastAsia="en-US"/>
        </w:rPr>
        <w:t xml:space="preserve">33. German Nutrition Society (DGE). DGE-Qualitätsstandard für die Verpflegung in Kitas. Bonn: Deutsche Gesellschaft für Ernährung; 2023. Report No.: 6. Auflage, 2. korrigierter und aktualisierter Nachdruck. </w:t>
      </w:r>
    </w:p>
    <w:p w14:paraId="768B8327" w14:textId="77777777" w:rsidR="00531BD0" w:rsidRPr="00531BD0" w:rsidRDefault="00531BD0" w:rsidP="00531BD0">
      <w:pPr>
        <w:pStyle w:val="Sources"/>
        <w:rPr>
          <w:rFonts w:eastAsiaTheme="minorHAnsi"/>
          <w:lang w:eastAsia="en-US"/>
        </w:rPr>
      </w:pPr>
      <w:r w:rsidRPr="00531BD0">
        <w:rPr>
          <w:rFonts w:eastAsiaTheme="minorHAnsi"/>
          <w:lang w:eastAsia="en-US"/>
        </w:rPr>
        <w:t xml:space="preserve">34. German Nutrition Society (DGE). DGE-Qualitätsstandard für die Verpflegung in Kliniken. Deutsche Gesellschaft für Ernährung; 2023. Report No.: 1. Auflage, 2. korrigierter und aktualisierter Nachdruck. </w:t>
      </w:r>
    </w:p>
    <w:p w14:paraId="613358F7" w14:textId="77777777" w:rsidR="00531BD0" w:rsidRPr="00531BD0" w:rsidRDefault="00531BD0" w:rsidP="00531BD0">
      <w:pPr>
        <w:pStyle w:val="Sources"/>
        <w:rPr>
          <w:rFonts w:eastAsiaTheme="minorHAnsi"/>
          <w:lang w:eastAsia="en-US"/>
        </w:rPr>
      </w:pPr>
      <w:r w:rsidRPr="00531BD0">
        <w:rPr>
          <w:rFonts w:eastAsiaTheme="minorHAnsi"/>
          <w:lang w:eastAsia="en-US"/>
        </w:rPr>
        <w:t xml:space="preserve">35. German Nutrition Society (DGE). DGE-Qualitätsstandard für die Verpflegung in Schulen. Bonn: Deutsche Gesellschaft für Ernährung; 2023. Report No.: 5. Auflage, 2. korrigierter und aktualisierter Nachdruck. </w:t>
      </w:r>
    </w:p>
    <w:p w14:paraId="09E8E7DB" w14:textId="77777777" w:rsidR="00531BD0" w:rsidRPr="00531BD0" w:rsidRDefault="00531BD0" w:rsidP="00531BD0">
      <w:pPr>
        <w:pStyle w:val="Sources"/>
        <w:rPr>
          <w:rFonts w:eastAsiaTheme="minorHAnsi"/>
          <w:lang w:eastAsia="en-US"/>
        </w:rPr>
      </w:pPr>
      <w:r w:rsidRPr="00531BD0">
        <w:rPr>
          <w:rFonts w:eastAsiaTheme="minorHAnsi"/>
          <w:lang w:eastAsia="en-US"/>
        </w:rPr>
        <w:t xml:space="preserve">36. German Nutrition Society (DGE). DGE-Qualitätsstandard für die Verpflegung mit „Essen auf Rädern“ und in Senioreneinrichtungen. Deutsche Gesellschaft für Ernährung; 2023. Report No.: 1. Auflage, 2. korrigierter und aktualisierter Nachdruck. </w:t>
      </w:r>
    </w:p>
    <w:p w14:paraId="47137428" w14:textId="77777777" w:rsidR="00531BD0" w:rsidRPr="00531BD0" w:rsidRDefault="00531BD0" w:rsidP="00531BD0">
      <w:pPr>
        <w:pStyle w:val="Sources"/>
        <w:rPr>
          <w:rFonts w:eastAsiaTheme="minorHAnsi"/>
          <w:lang w:eastAsia="en-US"/>
        </w:rPr>
      </w:pPr>
      <w:r w:rsidRPr="00531BD0">
        <w:rPr>
          <w:rFonts w:eastAsiaTheme="minorHAnsi"/>
          <w:lang w:eastAsia="en-US"/>
        </w:rPr>
        <w:t xml:space="preserve">37. German Nutrition Society (DGE). DGE-Qualitätsstandard für die Verpflegung in Betrieben, Behörden und Hochschulen. Bonn: Deutsche Gesellschaft für Ernährung e. V.; 2023 Oct. </w:t>
      </w:r>
    </w:p>
    <w:p w14:paraId="505BF3D4" w14:textId="77777777" w:rsidR="00531BD0" w:rsidRPr="005C3655" w:rsidRDefault="00531BD0" w:rsidP="00531BD0">
      <w:pPr>
        <w:pStyle w:val="Sources"/>
        <w:rPr>
          <w:rFonts w:eastAsiaTheme="minorHAnsi"/>
          <w:lang w:val="en-US" w:eastAsia="en-US"/>
        </w:rPr>
      </w:pPr>
      <w:r w:rsidRPr="00531BD0">
        <w:rPr>
          <w:rFonts w:eastAsiaTheme="minorHAnsi"/>
          <w:lang w:eastAsia="en-US"/>
        </w:rPr>
        <w:t xml:space="preserve">38. German Nutrition Society (DGE). </w:t>
      </w:r>
      <w:proofErr w:type="spellStart"/>
      <w:r w:rsidRPr="005C3655">
        <w:rPr>
          <w:rFonts w:eastAsiaTheme="minorHAnsi"/>
          <w:lang w:val="en-US" w:eastAsia="en-US"/>
        </w:rPr>
        <w:t>Referenzwerte</w:t>
      </w:r>
      <w:proofErr w:type="spellEnd"/>
      <w:r w:rsidRPr="005C3655">
        <w:rPr>
          <w:rFonts w:eastAsiaTheme="minorHAnsi"/>
          <w:lang w:val="en-US" w:eastAsia="en-US"/>
        </w:rPr>
        <w:t xml:space="preserve"> [Internet]. 2024 [cited 2024 Jan 8]. http://www.dge.de/wissenschaft/referenzwerte/. Accessed 8 Jan 2024</w:t>
      </w:r>
    </w:p>
    <w:p w14:paraId="72A5E8ED" w14:textId="77777777" w:rsidR="00531BD0" w:rsidRPr="00531BD0" w:rsidRDefault="00531BD0" w:rsidP="00531BD0">
      <w:pPr>
        <w:pStyle w:val="Sources"/>
        <w:rPr>
          <w:rFonts w:eastAsiaTheme="minorHAnsi"/>
          <w:lang w:eastAsia="en-US"/>
        </w:rPr>
      </w:pPr>
      <w:r w:rsidRPr="00531BD0">
        <w:rPr>
          <w:rFonts w:eastAsiaTheme="minorHAnsi"/>
          <w:lang w:eastAsia="en-US"/>
        </w:rPr>
        <w:t xml:space="preserve">39. German Nutrition Society (DGE). Die DGE-Empfehlungen - Gut essen und trinken [Internet]. </w:t>
      </w:r>
      <w:r w:rsidRPr="005C3655">
        <w:rPr>
          <w:rFonts w:eastAsiaTheme="minorHAnsi"/>
          <w:lang w:val="en-US" w:eastAsia="en-US"/>
        </w:rPr>
        <w:t xml:space="preserve">2024 [cited 2025 Apr 29]. http://www.dge.de/gesunde-ernaehrung/gut-essen-und-trinken/dge-empfehlungen/. </w:t>
      </w:r>
      <w:proofErr w:type="spellStart"/>
      <w:r w:rsidRPr="00531BD0">
        <w:rPr>
          <w:rFonts w:eastAsiaTheme="minorHAnsi"/>
          <w:lang w:eastAsia="en-US"/>
        </w:rPr>
        <w:t>Accessed</w:t>
      </w:r>
      <w:proofErr w:type="spellEnd"/>
      <w:r w:rsidRPr="00531BD0">
        <w:rPr>
          <w:rFonts w:eastAsiaTheme="minorHAnsi"/>
          <w:lang w:eastAsia="en-US"/>
        </w:rPr>
        <w:t xml:space="preserve"> 29 Apr 2025</w:t>
      </w:r>
    </w:p>
    <w:p w14:paraId="61E5AEED" w14:textId="77777777" w:rsidR="00531BD0" w:rsidRPr="00531BD0" w:rsidRDefault="00531BD0" w:rsidP="00531BD0">
      <w:pPr>
        <w:pStyle w:val="Sources"/>
        <w:rPr>
          <w:rFonts w:eastAsiaTheme="minorHAnsi"/>
          <w:lang w:eastAsia="en-US"/>
        </w:rPr>
      </w:pPr>
      <w:r w:rsidRPr="00531BD0">
        <w:rPr>
          <w:rFonts w:eastAsiaTheme="minorHAnsi"/>
          <w:lang w:eastAsia="en-US"/>
        </w:rPr>
        <w:lastRenderedPageBreak/>
        <w:t>40. German Rectors’ Conference (Hochschulrektorenkonferenz). Hochschulfinanzierung [Internet]. 2024 [cited 2024 Jan 10]. https://www.hrk.de/themen/hochschulsystem/hochschulfinanzierung. Accessed 10 Jan 2024</w:t>
      </w:r>
    </w:p>
    <w:p w14:paraId="4374AA6A" w14:textId="77777777" w:rsidR="00531BD0" w:rsidRPr="00531BD0" w:rsidRDefault="00531BD0" w:rsidP="00531BD0">
      <w:pPr>
        <w:pStyle w:val="Sources"/>
        <w:rPr>
          <w:rFonts w:eastAsiaTheme="minorHAnsi"/>
          <w:lang w:eastAsia="en-US"/>
        </w:rPr>
      </w:pPr>
      <w:r w:rsidRPr="00531BD0">
        <w:rPr>
          <w:rFonts w:eastAsiaTheme="minorHAnsi"/>
          <w:lang w:eastAsia="en-US"/>
        </w:rPr>
        <w:t>41. Hellmeier DrW. Übergewicht und Adipositas bei Kindern und Jugendlichen, Nordrhein-Westfalen, 2007 [Internet]. Landesinstitut für Gesundheit und Arbeit des Landes Nordrhein-Westfalen; 2008. https://www.lzg.nrw.de/_php/login/dl.php?u=/_media/pdf/ges_bericht/nrw-kurz-und-informativ/08-06_kinder-uebergewicht-adipositas.pdf. Accessed 24 Mar 2023</w:t>
      </w:r>
    </w:p>
    <w:p w14:paraId="6DBA890F" w14:textId="77777777" w:rsidR="00531BD0" w:rsidRPr="00531BD0" w:rsidRDefault="00531BD0" w:rsidP="00531BD0">
      <w:pPr>
        <w:pStyle w:val="Sources"/>
        <w:rPr>
          <w:rFonts w:eastAsiaTheme="minorHAnsi"/>
          <w:lang w:eastAsia="en-US"/>
        </w:rPr>
      </w:pPr>
      <w:r w:rsidRPr="00531BD0">
        <w:rPr>
          <w:rFonts w:eastAsiaTheme="minorHAnsi"/>
          <w:lang w:eastAsia="en-US"/>
        </w:rPr>
        <w:t>42. Himmerich S, Gedrich K, Karg G. Bayerische Verzehrsstudie (BVS) II Abschlussbericht [Internet]. im Auftrag des Bayerischen Staatsministeriums für Umwelt, Gesundheit und Verbraucherschutz; 2004. http://ernaehrungsdenkwerkstatt.de/fileadmin/user_upload/EDWText/TextElemente/Ernaehrungserhebungen/Bayerische_Verzehrsstudie_zwei.pdf. Accessed 10 Jan 2024</w:t>
      </w:r>
    </w:p>
    <w:p w14:paraId="2828FB83" w14:textId="77777777" w:rsidR="00531BD0" w:rsidRPr="00531BD0" w:rsidRDefault="00531BD0" w:rsidP="00531BD0">
      <w:pPr>
        <w:pStyle w:val="Sources"/>
        <w:rPr>
          <w:rFonts w:eastAsiaTheme="minorHAnsi"/>
          <w:lang w:eastAsia="en-US"/>
        </w:rPr>
      </w:pPr>
      <w:r w:rsidRPr="00531BD0">
        <w:rPr>
          <w:rFonts w:eastAsiaTheme="minorHAnsi"/>
          <w:lang w:eastAsia="en-US"/>
        </w:rPr>
        <w:t xml:space="preserve">43. IN FORM. Vernetzungsstellen Kita- und Schulverpflegung [Internet]. </w:t>
      </w:r>
      <w:r w:rsidRPr="005C3655">
        <w:rPr>
          <w:rFonts w:eastAsiaTheme="minorHAnsi"/>
          <w:lang w:val="en-US" w:eastAsia="en-US"/>
        </w:rPr>
        <w:t xml:space="preserve">IN FORM. 2023 [cited 2023 Dec 12]. https://www.in-form.de/netzwerk/projekte/gefoerderte-projekte/vernetzungsstellen-kita-und-schulverpflegung. </w:t>
      </w:r>
      <w:proofErr w:type="spellStart"/>
      <w:r w:rsidRPr="00531BD0">
        <w:rPr>
          <w:rFonts w:eastAsiaTheme="minorHAnsi"/>
          <w:lang w:eastAsia="en-US"/>
        </w:rPr>
        <w:t>Accessed</w:t>
      </w:r>
      <w:proofErr w:type="spellEnd"/>
      <w:r w:rsidRPr="00531BD0">
        <w:rPr>
          <w:rFonts w:eastAsiaTheme="minorHAnsi"/>
          <w:lang w:eastAsia="en-US"/>
        </w:rPr>
        <w:t xml:space="preserve"> 12 </w:t>
      </w:r>
      <w:proofErr w:type="spellStart"/>
      <w:r w:rsidRPr="00531BD0">
        <w:rPr>
          <w:rFonts w:eastAsiaTheme="minorHAnsi"/>
          <w:lang w:eastAsia="en-US"/>
        </w:rPr>
        <w:t>Dec</w:t>
      </w:r>
      <w:proofErr w:type="spellEnd"/>
      <w:r w:rsidRPr="00531BD0">
        <w:rPr>
          <w:rFonts w:eastAsiaTheme="minorHAnsi"/>
          <w:lang w:eastAsia="en-US"/>
        </w:rPr>
        <w:t xml:space="preserve"> 2023</w:t>
      </w:r>
    </w:p>
    <w:p w14:paraId="47459C31" w14:textId="77777777" w:rsidR="00531BD0" w:rsidRPr="005C3655" w:rsidRDefault="00531BD0" w:rsidP="00531BD0">
      <w:pPr>
        <w:pStyle w:val="Sources"/>
        <w:rPr>
          <w:rFonts w:eastAsiaTheme="minorHAnsi"/>
          <w:lang w:val="en-US" w:eastAsia="en-US"/>
        </w:rPr>
      </w:pPr>
      <w:r w:rsidRPr="00531BD0">
        <w:rPr>
          <w:rFonts w:eastAsiaTheme="minorHAnsi"/>
          <w:lang w:eastAsia="en-US"/>
        </w:rPr>
        <w:t xml:space="preserve">44. Langen ProfN, Hasselberg L. NRW KANtinen Nachhaltig gestalten Qualifizierungs- und Schulungsangebot für Kantinen der Landeseinrichtungen zur Unterstützung einer nachhaltigen und gesunden Ernährung - Ergebnisse der Online-Befragung von Kantinenbetreibende in Landesbehörden in NRW [Internet]. </w:t>
      </w:r>
      <w:r w:rsidRPr="005C3655">
        <w:rPr>
          <w:rFonts w:eastAsiaTheme="minorHAnsi"/>
          <w:lang w:val="en-US" w:eastAsia="en-US"/>
        </w:rPr>
        <w:t>TU Berlin, North Rhine-Westphalia Office of Nature, Environment and Consumer Protection (LANUV); 2022. https://www.lanuv.nrw.de/fileadmin/lanuv/nrwkann/Ergebnisse_der_Online-Befragung_NRW_KANN.pdf. Accessed 12 Dec 2023</w:t>
      </w:r>
    </w:p>
    <w:p w14:paraId="5485E834" w14:textId="77777777" w:rsidR="00531BD0" w:rsidRPr="005C3655" w:rsidRDefault="00531BD0" w:rsidP="00531BD0">
      <w:pPr>
        <w:pStyle w:val="Sources"/>
        <w:rPr>
          <w:rFonts w:eastAsiaTheme="minorHAnsi"/>
          <w:lang w:val="en-US" w:eastAsia="en-US"/>
        </w:rPr>
      </w:pPr>
      <w:r w:rsidRPr="005C3655">
        <w:rPr>
          <w:rFonts w:eastAsiaTheme="minorHAnsi"/>
          <w:lang w:val="en-US" w:eastAsia="en-US"/>
        </w:rPr>
        <w:t xml:space="preserve">45. Lower Saxony Centre for Nutrition and Home Economics (ZEHN). </w:t>
      </w:r>
      <w:proofErr w:type="spellStart"/>
      <w:r w:rsidRPr="005C3655">
        <w:rPr>
          <w:rFonts w:eastAsiaTheme="minorHAnsi"/>
          <w:lang w:val="en-US" w:eastAsia="en-US"/>
        </w:rPr>
        <w:t>Fachbeirat</w:t>
      </w:r>
      <w:proofErr w:type="spellEnd"/>
      <w:r w:rsidRPr="005C3655">
        <w:rPr>
          <w:rFonts w:eastAsiaTheme="minorHAnsi"/>
          <w:lang w:val="en-US" w:eastAsia="en-US"/>
        </w:rPr>
        <w:t xml:space="preserve"> [Internet]. 2024 [cited 2024 Jan 12]. https://www.zehn-niedersachsen.de/thema/289_Fachbeirat. Accessed 12 Jan 2024</w:t>
      </w:r>
    </w:p>
    <w:p w14:paraId="3029FC04" w14:textId="77777777" w:rsidR="00531BD0" w:rsidRPr="005C3655" w:rsidRDefault="00531BD0" w:rsidP="00531BD0">
      <w:pPr>
        <w:pStyle w:val="Sources"/>
        <w:rPr>
          <w:rFonts w:eastAsiaTheme="minorHAnsi"/>
          <w:lang w:val="en-US" w:eastAsia="en-US"/>
        </w:rPr>
      </w:pPr>
      <w:r w:rsidRPr="005C3655">
        <w:rPr>
          <w:rFonts w:eastAsiaTheme="minorHAnsi"/>
          <w:lang w:val="en-US" w:eastAsia="en-US"/>
        </w:rPr>
        <w:t xml:space="preserve">46. Lower Saxony School Meals Coordination Office. </w:t>
      </w:r>
      <w:proofErr w:type="spellStart"/>
      <w:r w:rsidRPr="005C3655">
        <w:rPr>
          <w:rFonts w:eastAsiaTheme="minorHAnsi"/>
          <w:lang w:val="en-US" w:eastAsia="en-US"/>
        </w:rPr>
        <w:t>Kontakt</w:t>
      </w:r>
      <w:proofErr w:type="spellEnd"/>
      <w:r w:rsidRPr="005C3655">
        <w:rPr>
          <w:rFonts w:eastAsiaTheme="minorHAnsi"/>
          <w:lang w:val="en-US" w:eastAsia="en-US"/>
        </w:rPr>
        <w:t xml:space="preserve"> [Internet]. </w:t>
      </w:r>
      <w:r w:rsidRPr="00531BD0">
        <w:rPr>
          <w:rFonts w:eastAsiaTheme="minorHAnsi"/>
          <w:lang w:eastAsia="en-US"/>
        </w:rPr>
        <w:t xml:space="preserve">Vernetzungsstelle Schulverpflegung Niedersachsen. 2024 [cited 2024 Jan 22]. https://dgevesch-ni.de/kontakt/. </w:t>
      </w:r>
      <w:r w:rsidRPr="005C3655">
        <w:rPr>
          <w:rFonts w:eastAsiaTheme="minorHAnsi"/>
          <w:lang w:val="en-US" w:eastAsia="en-US"/>
        </w:rPr>
        <w:t>Accessed 22 Jan 2024</w:t>
      </w:r>
    </w:p>
    <w:p w14:paraId="55B5F939" w14:textId="77777777" w:rsidR="00531BD0" w:rsidRPr="005C3655" w:rsidRDefault="00531BD0" w:rsidP="00531BD0">
      <w:pPr>
        <w:pStyle w:val="Sources"/>
        <w:rPr>
          <w:rFonts w:eastAsiaTheme="minorHAnsi"/>
          <w:lang w:val="en-US" w:eastAsia="en-US"/>
        </w:rPr>
      </w:pPr>
      <w:r w:rsidRPr="005C3655">
        <w:rPr>
          <w:rFonts w:eastAsiaTheme="minorHAnsi"/>
          <w:lang w:val="en-US" w:eastAsia="en-US"/>
        </w:rPr>
        <w:t>47. Max-Rubner-</w:t>
      </w:r>
      <w:proofErr w:type="spellStart"/>
      <w:r w:rsidRPr="005C3655">
        <w:rPr>
          <w:rFonts w:eastAsiaTheme="minorHAnsi"/>
          <w:lang w:val="en-US" w:eastAsia="en-US"/>
        </w:rPr>
        <w:t>Institut</w:t>
      </w:r>
      <w:proofErr w:type="spellEnd"/>
      <w:r w:rsidRPr="005C3655">
        <w:rPr>
          <w:rFonts w:eastAsiaTheme="minorHAnsi"/>
          <w:lang w:val="en-US" w:eastAsia="en-US"/>
        </w:rPr>
        <w:t xml:space="preserve"> (MRI). </w:t>
      </w:r>
      <w:proofErr w:type="spellStart"/>
      <w:r w:rsidRPr="005C3655">
        <w:rPr>
          <w:rFonts w:eastAsiaTheme="minorHAnsi"/>
          <w:lang w:val="en-US" w:eastAsia="en-US"/>
        </w:rPr>
        <w:t>Bundeslebensmittelschlüssel</w:t>
      </w:r>
      <w:proofErr w:type="spellEnd"/>
      <w:r w:rsidRPr="005C3655">
        <w:rPr>
          <w:rFonts w:eastAsiaTheme="minorHAnsi"/>
          <w:lang w:val="en-US" w:eastAsia="en-US"/>
        </w:rPr>
        <w:t xml:space="preserve"> (BLS) [Internet]. 2025 [cited 2025 July 3]. https://www.blsdb.de/. Accessed 3 July 2025</w:t>
      </w:r>
    </w:p>
    <w:p w14:paraId="4126DC65" w14:textId="77777777" w:rsidR="00531BD0" w:rsidRPr="005C3655" w:rsidRDefault="00531BD0" w:rsidP="00531BD0">
      <w:pPr>
        <w:pStyle w:val="Sources"/>
        <w:rPr>
          <w:rFonts w:eastAsiaTheme="minorHAnsi"/>
          <w:lang w:val="en-US" w:eastAsia="en-US"/>
        </w:rPr>
      </w:pPr>
      <w:r w:rsidRPr="00531BD0">
        <w:rPr>
          <w:rFonts w:eastAsiaTheme="minorHAnsi"/>
          <w:lang w:eastAsia="en-US"/>
        </w:rPr>
        <w:t xml:space="preserve">48. Nationales Qualitätszentrum für Ernähung in Kita und Schule. Qualitätsentwicklung in der Schulverpflegung [Internet]. 2024 [cited 2024 Feb 5]. https://www.nqz.de/schule/qualitaetsentwicklung?chash=865ef47efc2f6e36d219d9bc8c77d8ee&amp;keyword=snacks&amp;cHash=4136fc6b58f5424ede9ba9130e58d216. </w:t>
      </w:r>
      <w:r w:rsidRPr="005C3655">
        <w:rPr>
          <w:rFonts w:eastAsiaTheme="minorHAnsi"/>
          <w:lang w:val="en-US" w:eastAsia="en-US"/>
        </w:rPr>
        <w:t>Accessed 5 Feb 2024</w:t>
      </w:r>
    </w:p>
    <w:p w14:paraId="0AE1DC9F" w14:textId="77777777" w:rsidR="00531BD0" w:rsidRPr="00531BD0" w:rsidRDefault="00531BD0" w:rsidP="00531BD0">
      <w:pPr>
        <w:pStyle w:val="Sources"/>
        <w:rPr>
          <w:rFonts w:eastAsiaTheme="minorHAnsi"/>
          <w:lang w:eastAsia="en-US"/>
        </w:rPr>
      </w:pPr>
      <w:r w:rsidRPr="005C3655">
        <w:rPr>
          <w:rFonts w:eastAsiaTheme="minorHAnsi"/>
          <w:lang w:val="en-US" w:eastAsia="en-US"/>
        </w:rPr>
        <w:t xml:space="preserve">49. North Rhine Westphalia Coordination Centre for Public Health (LZG.NRW). </w:t>
      </w:r>
      <w:r w:rsidRPr="00531BD0">
        <w:rPr>
          <w:rFonts w:eastAsiaTheme="minorHAnsi"/>
          <w:lang w:eastAsia="en-US"/>
        </w:rPr>
        <w:t>Gesundheitsfolgenabschätzung [Internet]. 2024 [cited 2024 Jan 12]. https://www.lzg.nrw.de/ges_foerd/modellierung/ges_folg_absch/index.html. Accessed 12 Jan 2024</w:t>
      </w:r>
    </w:p>
    <w:p w14:paraId="15D96FA5" w14:textId="77777777" w:rsidR="00531BD0" w:rsidRPr="00531BD0" w:rsidRDefault="00531BD0" w:rsidP="00531BD0">
      <w:pPr>
        <w:pStyle w:val="Sources"/>
        <w:rPr>
          <w:rFonts w:eastAsiaTheme="minorHAnsi"/>
          <w:lang w:eastAsia="en-US"/>
        </w:rPr>
      </w:pPr>
      <w:r w:rsidRPr="005C3655">
        <w:rPr>
          <w:rFonts w:eastAsiaTheme="minorHAnsi"/>
          <w:lang w:val="en-US" w:eastAsia="en-US"/>
        </w:rPr>
        <w:t xml:space="preserve">50. North Rhine Westphalia </w:t>
      </w:r>
      <w:proofErr w:type="spellStart"/>
      <w:r w:rsidRPr="005C3655">
        <w:rPr>
          <w:rFonts w:eastAsiaTheme="minorHAnsi"/>
          <w:lang w:val="en-US" w:eastAsia="en-US"/>
        </w:rPr>
        <w:t>KiTa</w:t>
      </w:r>
      <w:proofErr w:type="spellEnd"/>
      <w:r w:rsidRPr="005C3655">
        <w:rPr>
          <w:rFonts w:eastAsiaTheme="minorHAnsi"/>
          <w:lang w:val="en-US" w:eastAsia="en-US"/>
        </w:rPr>
        <w:t xml:space="preserve">-Portal. </w:t>
      </w:r>
      <w:r w:rsidRPr="00531BD0">
        <w:rPr>
          <w:rFonts w:eastAsiaTheme="minorHAnsi"/>
          <w:lang w:eastAsia="en-US"/>
        </w:rPr>
        <w:t>Gesunde Ernährung [Internet]. 2023 [cited 2023 Dec 12]. https://www.kita.nrw.de/kinder-bilden/gesundheitsfoerderung/gesunde-ernaehrung-der-kindertagesbetreuung. Accessed 12 Dec 2023</w:t>
      </w:r>
    </w:p>
    <w:p w14:paraId="519CC30A" w14:textId="77777777" w:rsidR="00531BD0" w:rsidRPr="00531BD0" w:rsidRDefault="00531BD0" w:rsidP="00531BD0">
      <w:pPr>
        <w:pStyle w:val="Sources"/>
        <w:rPr>
          <w:rFonts w:eastAsiaTheme="minorHAnsi"/>
          <w:lang w:eastAsia="en-US"/>
        </w:rPr>
      </w:pPr>
      <w:r w:rsidRPr="00531BD0">
        <w:rPr>
          <w:rFonts w:eastAsiaTheme="minorHAnsi"/>
          <w:lang w:eastAsia="en-US"/>
        </w:rPr>
        <w:t>51. Rathmann M. Lebensmittelabfälle verursachen 4 Prozent der deutschen Treibhausgasemissionen [Internet]. Umweltbundesamt. Umweltbundesamt; 2015 [cited 2024 Apr 30]. https://www.umweltbundesamt.de/presse/pressemitteilungen/lebensmittelabfaelle-verursachen-4-prozent-der. Accessed 30 Apr 2024</w:t>
      </w:r>
    </w:p>
    <w:p w14:paraId="05F33605" w14:textId="77777777" w:rsidR="00531BD0" w:rsidRPr="00531BD0" w:rsidRDefault="00531BD0" w:rsidP="00531BD0">
      <w:pPr>
        <w:pStyle w:val="Sources"/>
        <w:rPr>
          <w:rFonts w:eastAsiaTheme="minorHAnsi"/>
          <w:lang w:eastAsia="en-US"/>
        </w:rPr>
      </w:pPr>
      <w:r w:rsidRPr="00531BD0">
        <w:rPr>
          <w:rFonts w:eastAsiaTheme="minorHAnsi"/>
          <w:lang w:eastAsia="en-US"/>
        </w:rPr>
        <w:t xml:space="preserve">52. Ritter DG, Hielscher J, Reichardt K. NRW isst besser! Wegweiser zu einem nachhaltigeren Ernährungssystem in NRW. FH Münster: Institut für nachhaltige Ernährung; 2021. </w:t>
      </w:r>
    </w:p>
    <w:p w14:paraId="5E6C1A0F" w14:textId="77777777" w:rsidR="00531BD0" w:rsidRPr="005C3655" w:rsidRDefault="00531BD0" w:rsidP="00531BD0">
      <w:pPr>
        <w:pStyle w:val="Sources"/>
        <w:rPr>
          <w:rFonts w:eastAsiaTheme="minorHAnsi"/>
          <w:lang w:val="en-US" w:eastAsia="en-US"/>
        </w:rPr>
      </w:pPr>
      <w:r w:rsidRPr="00531BD0">
        <w:rPr>
          <w:rFonts w:eastAsiaTheme="minorHAnsi"/>
          <w:lang w:eastAsia="en-US"/>
        </w:rPr>
        <w:t xml:space="preserve">53. Robert Koch Institute (RKI). AdiMon – Bevölkerungsweites Monitoring adipositasrelevanter Einflussfaktoren im Kindes- und Jugendalter [Internet]. </w:t>
      </w:r>
      <w:r w:rsidRPr="005C3655">
        <w:rPr>
          <w:rFonts w:eastAsiaTheme="minorHAnsi"/>
          <w:lang w:val="en-US" w:eastAsia="en-US"/>
        </w:rPr>
        <w:t>2021 [cited 2025 July 3]. https://www.rki.de/DE/Themen/Nichtuebertragbare-Krankheiten/Studien-und-Surveillance/Studien/Adipositas-Monitoring/adi_mon_inhalt.html. Accessed 3 July 2025</w:t>
      </w:r>
    </w:p>
    <w:p w14:paraId="74308CC9" w14:textId="77777777" w:rsidR="00531BD0" w:rsidRPr="005C3655" w:rsidRDefault="00531BD0" w:rsidP="00531BD0">
      <w:pPr>
        <w:pStyle w:val="Sources"/>
        <w:rPr>
          <w:rFonts w:eastAsiaTheme="minorHAnsi"/>
          <w:lang w:val="en-US" w:eastAsia="en-US"/>
        </w:rPr>
      </w:pPr>
      <w:r w:rsidRPr="00531BD0">
        <w:rPr>
          <w:rFonts w:eastAsiaTheme="minorHAnsi"/>
          <w:lang w:eastAsia="en-US"/>
        </w:rPr>
        <w:lastRenderedPageBreak/>
        <w:t xml:space="preserve">54. Robert Koch Institute (RKI). KiGGS: Studie zur Gesundheit von Kindern und Jugendlichen in Deutschland [Internet]. </w:t>
      </w:r>
      <w:r w:rsidRPr="005C3655">
        <w:rPr>
          <w:rFonts w:eastAsiaTheme="minorHAnsi"/>
          <w:lang w:val="en-US" w:eastAsia="en-US"/>
        </w:rPr>
        <w:t>2024 [cited 2025 June 4]. https://www.rki.de/DE/Themen/Nichtuebertragbare-Krankheiten/Studien-und-Surveillance/Studien/KiGGS/kiggs_start_inhalt.html. Accessed 4 June 2025</w:t>
      </w:r>
    </w:p>
    <w:p w14:paraId="0595E4F9" w14:textId="77777777" w:rsidR="00531BD0" w:rsidRPr="005C3655" w:rsidRDefault="00531BD0" w:rsidP="00531BD0">
      <w:pPr>
        <w:pStyle w:val="Sources"/>
        <w:rPr>
          <w:rFonts w:eastAsiaTheme="minorHAnsi"/>
          <w:lang w:val="en-US" w:eastAsia="en-US"/>
        </w:rPr>
      </w:pPr>
      <w:r w:rsidRPr="00531BD0">
        <w:rPr>
          <w:rFonts w:eastAsiaTheme="minorHAnsi"/>
          <w:lang w:eastAsia="en-US"/>
        </w:rPr>
        <w:t xml:space="preserve">55. Robert Koch Institute (RKI). Diabetes surveillance - Diabetes in Deutschland [Internet]. </w:t>
      </w:r>
      <w:r w:rsidRPr="005C3655">
        <w:rPr>
          <w:rFonts w:eastAsiaTheme="minorHAnsi"/>
          <w:lang w:val="en-US" w:eastAsia="en-US"/>
        </w:rPr>
        <w:t>2025 [cited 2025 July 3]. https://diabsurv.rki.de/Webs/Diabsurv/DE/startseite/startseite-node.html. Accessed 3 July 2025</w:t>
      </w:r>
    </w:p>
    <w:p w14:paraId="627DD1C9" w14:textId="77777777" w:rsidR="00531BD0" w:rsidRPr="005C3655" w:rsidRDefault="00531BD0" w:rsidP="00531BD0">
      <w:pPr>
        <w:pStyle w:val="Sources"/>
        <w:rPr>
          <w:rFonts w:eastAsiaTheme="minorHAnsi"/>
          <w:lang w:val="en-US" w:eastAsia="en-US"/>
        </w:rPr>
      </w:pPr>
      <w:r w:rsidRPr="005C3655">
        <w:rPr>
          <w:rFonts w:eastAsiaTheme="minorHAnsi"/>
          <w:lang w:val="en-US" w:eastAsia="en-US"/>
        </w:rPr>
        <w:t xml:space="preserve">56. Scientific Advisory Board on Agricultural Policy, Food and Consumer Health Protection (WBAE). </w:t>
      </w:r>
      <w:r w:rsidRPr="00531BD0">
        <w:rPr>
          <w:rFonts w:eastAsiaTheme="minorHAnsi"/>
          <w:lang w:eastAsia="en-US"/>
        </w:rPr>
        <w:t xml:space="preserve">Politik für eine nachhaltigere Ernährung - Eine integrierte Ernährungspolitik entwickeln und faire Ernährungsumgebungen gestalten [Internet]. Berlin: BMEL; 2020. https://www.bmel.de/SharedDocs/Downloads/DE/_Ministerium/Beiraete/agrarpolitik/wbae-gutachten-nachhaltige-ernaehrung-kurzfassung.pdf?__blob=publicationFile&amp;v=2. </w:t>
      </w:r>
      <w:r w:rsidRPr="005C3655">
        <w:rPr>
          <w:rFonts w:eastAsiaTheme="minorHAnsi"/>
          <w:lang w:val="en-US" w:eastAsia="en-US"/>
        </w:rPr>
        <w:t>Accessed 11 Aug 2023</w:t>
      </w:r>
    </w:p>
    <w:p w14:paraId="0FE6081B" w14:textId="77777777" w:rsidR="00531BD0" w:rsidRPr="00531BD0" w:rsidRDefault="00531BD0" w:rsidP="00531BD0">
      <w:pPr>
        <w:pStyle w:val="Sources"/>
        <w:rPr>
          <w:rFonts w:eastAsiaTheme="minorHAnsi"/>
          <w:lang w:eastAsia="en-US"/>
        </w:rPr>
      </w:pPr>
      <w:r w:rsidRPr="005C3655">
        <w:rPr>
          <w:rFonts w:eastAsiaTheme="minorHAnsi"/>
          <w:lang w:val="en-US" w:eastAsia="en-US"/>
        </w:rPr>
        <w:t xml:space="preserve">57. Scientific Advisory Board on Agricultural Policy, Food and Consumer Health Protection (WBAE). </w:t>
      </w:r>
      <w:r w:rsidRPr="00531BD0">
        <w:rPr>
          <w:rFonts w:eastAsiaTheme="minorHAnsi"/>
          <w:lang w:eastAsia="en-US"/>
        </w:rPr>
        <w:t>Ernährungsarmut unter Pandemiebedingungen. Stellungnahme. [Internet]. Berlin; 2023 Mar. bmel.de/SharedDocs/Downloads/DE/_Ministerium/Beiraete/agrarpolitik/ernaehrungsarmut-pandemie.pdf?__blob=publicationFile&amp;v=3</w:t>
      </w:r>
    </w:p>
    <w:p w14:paraId="06D19F7F" w14:textId="77777777" w:rsidR="00531BD0" w:rsidRPr="005C3655" w:rsidRDefault="00531BD0" w:rsidP="00531BD0">
      <w:pPr>
        <w:pStyle w:val="Sources"/>
        <w:rPr>
          <w:rFonts w:eastAsiaTheme="minorHAnsi"/>
          <w:lang w:val="en-US" w:eastAsia="en-US"/>
        </w:rPr>
      </w:pPr>
      <w:r w:rsidRPr="00531BD0">
        <w:rPr>
          <w:rFonts w:eastAsiaTheme="minorHAnsi"/>
          <w:lang w:eastAsia="en-US"/>
        </w:rPr>
        <w:t xml:space="preserve">58. Statistikportal. Gesundheit [Internet]. Statistische Ämter des Bundes und der Länder | Gemeinsames Statistikportal. </w:t>
      </w:r>
      <w:r w:rsidRPr="005C3655">
        <w:rPr>
          <w:rFonts w:eastAsiaTheme="minorHAnsi"/>
          <w:lang w:val="en-US" w:eastAsia="en-US"/>
        </w:rPr>
        <w:t>2024 [cited 2024 Jan 10]. https://www.statistikportal.de/de/gesundheit. Accessed 10 Jan 2024</w:t>
      </w:r>
    </w:p>
    <w:p w14:paraId="32E07AA4" w14:textId="77777777" w:rsidR="00531BD0" w:rsidRPr="00531BD0" w:rsidRDefault="00531BD0" w:rsidP="00531BD0">
      <w:pPr>
        <w:pStyle w:val="Sources"/>
        <w:rPr>
          <w:rFonts w:eastAsiaTheme="minorHAnsi"/>
          <w:lang w:eastAsia="en-US"/>
        </w:rPr>
      </w:pPr>
      <w:r w:rsidRPr="005C3655">
        <w:rPr>
          <w:rFonts w:eastAsiaTheme="minorHAnsi"/>
          <w:lang w:val="en-US" w:eastAsia="en-US"/>
        </w:rPr>
        <w:t>59. Sturm R, Federal Agency for Civic Education (</w:t>
      </w:r>
      <w:proofErr w:type="spellStart"/>
      <w:r w:rsidRPr="005C3655">
        <w:rPr>
          <w:rFonts w:eastAsiaTheme="minorHAnsi"/>
          <w:lang w:val="en-US" w:eastAsia="en-US"/>
        </w:rPr>
        <w:t>bpb</w:t>
      </w:r>
      <w:proofErr w:type="spellEnd"/>
      <w:r w:rsidRPr="005C3655">
        <w:rPr>
          <w:rFonts w:eastAsiaTheme="minorHAnsi"/>
          <w:lang w:val="en-US" w:eastAsia="en-US"/>
        </w:rPr>
        <w:t xml:space="preserve">). </w:t>
      </w:r>
      <w:r w:rsidRPr="00531BD0">
        <w:rPr>
          <w:rFonts w:eastAsiaTheme="minorHAnsi"/>
          <w:lang w:eastAsia="en-US"/>
        </w:rPr>
        <w:t>Kompetenzverteilung zwischen Bund und Ländern bei der Gesetzgebung [Internet]. bpb.de. 2009 [cited 2023 Nov 21]. https://www.bpb.de/themen/politisches-system/deutsche-demokratie/39356/kompetenzverteilung-zwischen-bund-und-laendern-bei-der-gesetzgebung/. Accessed 21 Nov 2023</w:t>
      </w:r>
    </w:p>
    <w:p w14:paraId="68CDC58F" w14:textId="77777777" w:rsidR="00531BD0" w:rsidRPr="005C3655" w:rsidRDefault="00531BD0" w:rsidP="00531BD0">
      <w:pPr>
        <w:pStyle w:val="Sources"/>
        <w:rPr>
          <w:rFonts w:eastAsiaTheme="minorHAnsi"/>
          <w:lang w:val="en-US" w:eastAsia="en-US"/>
        </w:rPr>
      </w:pPr>
      <w:r w:rsidRPr="00531BD0">
        <w:rPr>
          <w:rFonts w:eastAsiaTheme="minorHAnsi"/>
          <w:lang w:eastAsia="en-US"/>
        </w:rPr>
        <w:t xml:space="preserve">60. Umweltbundesamt. Beitrag der Landwirtschaft zu den Treibhausgas-Emissionen [Internet]. Umweltbundesamt. Umweltbundesamt; 2023 [cited 2023 June 1]. https://www.umweltbundesamt.de/daten/land-forstwirtschaft/beitrag-der-landwirtschaft-zu-den-treibhausgas. </w:t>
      </w:r>
      <w:r w:rsidRPr="005C3655">
        <w:rPr>
          <w:rFonts w:eastAsiaTheme="minorHAnsi"/>
          <w:lang w:val="en-US" w:eastAsia="en-US"/>
        </w:rPr>
        <w:t>Accessed 1 June 2023</w:t>
      </w:r>
    </w:p>
    <w:p w14:paraId="3920F2F0" w14:textId="77777777" w:rsidR="00531BD0" w:rsidRPr="00531BD0" w:rsidRDefault="00531BD0" w:rsidP="00531BD0">
      <w:pPr>
        <w:pStyle w:val="Sources"/>
        <w:rPr>
          <w:rFonts w:eastAsiaTheme="minorHAnsi"/>
          <w:lang w:eastAsia="en-US"/>
        </w:rPr>
      </w:pPr>
      <w:r w:rsidRPr="005C3655">
        <w:rPr>
          <w:rFonts w:eastAsiaTheme="minorHAnsi"/>
          <w:lang w:val="en-US" w:eastAsia="en-US"/>
        </w:rPr>
        <w:t xml:space="preserve">61. United Nations Climate Change. Food loss and waste account for 8-10% of annual global greenhouse gas emissions; cost USD 1 trillion annually [Internet]. 2024 [cited 2025 Apr 9]. https://unfccc.int/news/food-loss-and-waste-account-for-8-10-of-annual-global-greenhouse-gas-emissions-cost-usd-1-trillion. </w:t>
      </w:r>
      <w:proofErr w:type="spellStart"/>
      <w:r w:rsidRPr="00531BD0">
        <w:rPr>
          <w:rFonts w:eastAsiaTheme="minorHAnsi"/>
          <w:lang w:eastAsia="en-US"/>
        </w:rPr>
        <w:t>Accessed</w:t>
      </w:r>
      <w:proofErr w:type="spellEnd"/>
      <w:r w:rsidRPr="00531BD0">
        <w:rPr>
          <w:rFonts w:eastAsiaTheme="minorHAnsi"/>
          <w:lang w:eastAsia="en-US"/>
        </w:rPr>
        <w:t xml:space="preserve"> 9 Apr 2025</w:t>
      </w:r>
    </w:p>
    <w:p w14:paraId="4014C1EC" w14:textId="77777777" w:rsidR="00531BD0" w:rsidRPr="005C3655" w:rsidRDefault="00531BD0" w:rsidP="00531BD0">
      <w:pPr>
        <w:pStyle w:val="Sources"/>
        <w:rPr>
          <w:rFonts w:eastAsiaTheme="minorHAnsi"/>
          <w:lang w:val="en-US" w:eastAsia="en-US"/>
        </w:rPr>
      </w:pPr>
      <w:r w:rsidRPr="00531BD0">
        <w:rPr>
          <w:rFonts w:eastAsiaTheme="minorHAnsi"/>
          <w:lang w:eastAsia="en-US"/>
        </w:rPr>
        <w:t xml:space="preserve">62. Varnaccia G, Zeiher J, Lange CDr, Jordan S. Kindliche Adipositas: Einflussfaktoren im Blick. Das AdiMon Indikatorensystem [Internet]. Berlin: Robert Koch Institute (RKI); 2018. https://www.rki.de/DE/Content/Gesundheitsmonitoring/Studien/Adipositas_Monitoring/AdiMon_Infobroschuere.pdf?__blob=publicationFile. </w:t>
      </w:r>
      <w:r w:rsidRPr="005C3655">
        <w:rPr>
          <w:rFonts w:eastAsiaTheme="minorHAnsi"/>
          <w:lang w:val="en-US" w:eastAsia="en-US"/>
        </w:rPr>
        <w:t>Accessed 23 Mar 2023</w:t>
      </w:r>
    </w:p>
    <w:p w14:paraId="77604150" w14:textId="77777777" w:rsidR="00531BD0" w:rsidRPr="005C3655" w:rsidRDefault="00531BD0" w:rsidP="00531BD0">
      <w:pPr>
        <w:pStyle w:val="Sources"/>
        <w:rPr>
          <w:rFonts w:eastAsiaTheme="minorHAnsi"/>
          <w:lang w:val="en-US" w:eastAsia="en-US"/>
        </w:rPr>
      </w:pPr>
      <w:r w:rsidRPr="005C3655">
        <w:rPr>
          <w:rFonts w:eastAsiaTheme="minorHAnsi"/>
          <w:lang w:val="en-US" w:eastAsia="en-US"/>
        </w:rPr>
        <w:t>63. World Health Organization (WHO). A multilevel governance approach to preventing and managing noncommunicable diseases: the role of cities and urban settings: WHO European high-level conference on noncommunicable diseases: Time to Deliver – meeting NCD targets to achieve Sustainable Development Goals in Europe: 9–10 April 2019, Ashgabat, Turkmenistan [Internet]. Copenhagen, Denmark: WHO Regional Office for Europe; 2019. https://iris.who.int/bitstream/handle/10665/346430/WHO-EURO-2019-3644-43403-60942-eng.pdf?sequence=1&amp;isAllowed=y. Accessed 12 Nov 2024</w:t>
      </w:r>
    </w:p>
    <w:p w14:paraId="42B69E50" w14:textId="77777777" w:rsidR="00531BD0" w:rsidRPr="005C3655" w:rsidRDefault="00531BD0" w:rsidP="00531BD0">
      <w:pPr>
        <w:pStyle w:val="Sources"/>
        <w:rPr>
          <w:rFonts w:eastAsiaTheme="minorHAnsi"/>
          <w:lang w:val="en-US" w:eastAsia="en-US"/>
        </w:rPr>
      </w:pPr>
      <w:r w:rsidRPr="005C3655">
        <w:rPr>
          <w:rFonts w:eastAsiaTheme="minorHAnsi"/>
          <w:lang w:val="en-US" w:eastAsia="en-US"/>
        </w:rPr>
        <w:t xml:space="preserve">64. World Health Organization (WHO). Seventy-Fifth World Health </w:t>
      </w:r>
      <w:proofErr w:type="spellStart"/>
      <w:r w:rsidRPr="005C3655">
        <w:rPr>
          <w:rFonts w:eastAsiaTheme="minorHAnsi"/>
          <w:lang w:val="en-US" w:eastAsia="en-US"/>
        </w:rPr>
        <w:t>Assembbly</w:t>
      </w:r>
      <w:proofErr w:type="spellEnd"/>
      <w:r w:rsidRPr="005C3655">
        <w:rPr>
          <w:rFonts w:eastAsiaTheme="minorHAnsi"/>
          <w:lang w:val="en-US" w:eastAsia="en-US"/>
        </w:rPr>
        <w:t xml:space="preserve">: Resolutions and </w:t>
      </w:r>
      <w:proofErr w:type="spellStart"/>
      <w:r w:rsidRPr="005C3655">
        <w:rPr>
          <w:rFonts w:eastAsiaTheme="minorHAnsi"/>
          <w:lang w:val="en-US" w:eastAsia="en-US"/>
        </w:rPr>
        <w:t>decions</w:t>
      </w:r>
      <w:proofErr w:type="spellEnd"/>
      <w:r w:rsidRPr="005C3655">
        <w:rPr>
          <w:rFonts w:eastAsiaTheme="minorHAnsi"/>
          <w:lang w:val="en-US" w:eastAsia="en-US"/>
        </w:rPr>
        <w:t xml:space="preserve">, annexes [Internet]. Geneva: World Health </w:t>
      </w:r>
      <w:proofErr w:type="spellStart"/>
      <w:r w:rsidRPr="005C3655">
        <w:rPr>
          <w:rFonts w:eastAsiaTheme="minorHAnsi"/>
          <w:lang w:val="en-US" w:eastAsia="en-US"/>
        </w:rPr>
        <w:t>Organinzation</w:t>
      </w:r>
      <w:proofErr w:type="spellEnd"/>
      <w:r w:rsidRPr="005C3655">
        <w:rPr>
          <w:rFonts w:eastAsiaTheme="minorHAnsi"/>
          <w:lang w:val="en-US" w:eastAsia="en-US"/>
        </w:rPr>
        <w:t>; 2022 May. https://iris.who.int/bitstream/handle/10665/365610/A75_REC1-en.pdf?sequence=1&amp;isAllowed=y. Accessed 6 Nov 2024</w:t>
      </w:r>
    </w:p>
    <w:p w14:paraId="72E42D77" w14:textId="77777777" w:rsidR="00531BD0" w:rsidRPr="005C3655" w:rsidRDefault="00531BD0" w:rsidP="00531BD0">
      <w:pPr>
        <w:pStyle w:val="Sources"/>
        <w:rPr>
          <w:rFonts w:eastAsiaTheme="minorHAnsi"/>
          <w:lang w:val="en-US" w:eastAsia="en-US"/>
        </w:rPr>
      </w:pPr>
      <w:r w:rsidRPr="005C3655">
        <w:rPr>
          <w:rFonts w:eastAsiaTheme="minorHAnsi"/>
          <w:lang w:val="en-US" w:eastAsia="en-US"/>
        </w:rPr>
        <w:t xml:space="preserve">65. World Health Organization (WHO). Political declaration of the third high-level meeting of the General Assembly on the prevention and control of non-communicable diseases, and mental health. Geneva, Switzerland; 2023 Jan. Report No.: EB152/6. </w:t>
      </w:r>
    </w:p>
    <w:p w14:paraId="36B1163B" w14:textId="77777777" w:rsidR="00531BD0" w:rsidRPr="005C3655" w:rsidRDefault="00531BD0" w:rsidP="00531BD0">
      <w:pPr>
        <w:pStyle w:val="Sources"/>
        <w:rPr>
          <w:rFonts w:eastAsiaTheme="minorHAnsi"/>
          <w:lang w:val="en-US" w:eastAsia="en-US"/>
        </w:rPr>
      </w:pPr>
      <w:r w:rsidRPr="005C3655">
        <w:rPr>
          <w:rFonts w:eastAsiaTheme="minorHAnsi"/>
          <w:lang w:val="en-US" w:eastAsia="en-US"/>
        </w:rPr>
        <w:t xml:space="preserve">66. World Health Organization (WHO). Compendium report on multisectoral actions for the prevention and control of noncommunicable diseases and mental health conditions: country case studies [Internet]. 2024. </w:t>
      </w:r>
      <w:r w:rsidRPr="005C3655">
        <w:rPr>
          <w:rFonts w:eastAsiaTheme="minorHAnsi"/>
          <w:lang w:val="en-US" w:eastAsia="en-US"/>
        </w:rPr>
        <w:lastRenderedPageBreak/>
        <w:t>https://iris.who.int/bitstream/handle/10665/376654/9789240088801-eng.pdf?sequence=1. Accessed 6 Nov 2024</w:t>
      </w:r>
    </w:p>
    <w:p w14:paraId="42AEB3C5" w14:textId="77777777" w:rsidR="00531BD0" w:rsidRPr="005C3655" w:rsidRDefault="00531BD0" w:rsidP="00531BD0">
      <w:pPr>
        <w:pStyle w:val="Sources"/>
        <w:rPr>
          <w:rFonts w:eastAsiaTheme="minorHAnsi"/>
          <w:lang w:val="en-US" w:eastAsia="en-US"/>
        </w:rPr>
      </w:pPr>
      <w:r w:rsidRPr="005C3655">
        <w:rPr>
          <w:rFonts w:eastAsiaTheme="minorHAnsi"/>
          <w:lang w:val="en-US" w:eastAsia="en-US"/>
        </w:rPr>
        <w:t>67. World Health Organization (WHO). The Global database on the Implementation of Food and Nutrition Action (GIFNA) [Internet]. 2025 [cited 2025 Nov 24]. https://gifna.who.int/search. Accessed 24 Nov 2025</w:t>
      </w:r>
    </w:p>
    <w:p w14:paraId="43335A58" w14:textId="77777777" w:rsidR="00531BD0" w:rsidRPr="005C3655" w:rsidRDefault="00531BD0" w:rsidP="00531BD0">
      <w:pPr>
        <w:pStyle w:val="Sources"/>
        <w:rPr>
          <w:rFonts w:eastAsiaTheme="minorHAnsi"/>
          <w:lang w:val="en-US" w:eastAsia="en-US"/>
        </w:rPr>
      </w:pPr>
      <w:r w:rsidRPr="005C3655">
        <w:rPr>
          <w:rFonts w:eastAsiaTheme="minorHAnsi"/>
          <w:lang w:val="en-US" w:eastAsia="en-US"/>
        </w:rPr>
        <w:t>68. World Health Organization (WHO) Regional Office for Europe. Copenhagen Consensus of Mayors I Healthier and happier cities for all [Internet]. Copenhagen, Denmark: World Health Organization Regional Office for Europe; 2018 Feb. Report No.: WHO/EURO:2018-3356-43115-60351. https://iris.who.int/bitstream/handle/10665/345938/WHO-EURO-2018-3356-43115-60351-eng.pdf?sequence=3&amp;isAllowed=y. Accessed 12 Nov 2024</w:t>
      </w:r>
    </w:p>
    <w:p w14:paraId="159CB684" w14:textId="241DAA47" w:rsidR="004D78E0" w:rsidRPr="005C3655" w:rsidRDefault="00531BD0" w:rsidP="00531BD0">
      <w:pPr>
        <w:pStyle w:val="Sources"/>
        <w:rPr>
          <w:rFonts w:eastAsiaTheme="minorHAnsi"/>
          <w:lang w:val="en-US" w:eastAsia="en-US"/>
        </w:rPr>
      </w:pPr>
      <w:r w:rsidRPr="005C3655">
        <w:rPr>
          <w:rFonts w:eastAsiaTheme="minorHAnsi"/>
          <w:lang w:val="en-US" w:eastAsia="en-US"/>
        </w:rPr>
        <w:t>69. World Health Organization (WHO) Regional Office for Europe. The versatility of health impact assessment: experiences in Andalusia and other European settings [Internet]. Denmark; 2019. https://iris.who.int/bitstream/handle/10665/329896/9789289054560-eng.pdf. Accessed 12 Jan 2024</w:t>
      </w:r>
    </w:p>
    <w:p w14:paraId="2B07C68A" w14:textId="311AC5B3" w:rsidR="00531BD0" w:rsidRDefault="00531BD0" w:rsidP="00E75743">
      <w:pPr>
        <w:pStyle w:val="berschrift2"/>
      </w:pPr>
      <w:bookmarkStart w:id="30" w:name="_Toc221783972"/>
      <w:r>
        <w:t>Scientific literature</w:t>
      </w:r>
      <w:bookmarkEnd w:id="30"/>
    </w:p>
    <w:p w14:paraId="2308F142" w14:textId="77777777" w:rsidR="00531BD0" w:rsidRPr="005C3655" w:rsidRDefault="00531BD0" w:rsidP="00531BD0">
      <w:pPr>
        <w:pStyle w:val="Sources"/>
        <w:rPr>
          <w:lang w:val="en-US" w:eastAsia="en-US"/>
        </w:rPr>
      </w:pPr>
      <w:r w:rsidRPr="005C3655">
        <w:rPr>
          <w:lang w:val="en-US" w:eastAsia="en-US"/>
        </w:rPr>
        <w:t xml:space="preserve">1. Alemanno A, Garde A. The emergence of an EU lifestyle policy: The case of alcohol, tobacco and unhealthy diets. COLA. </w:t>
      </w:r>
      <w:proofErr w:type="gramStart"/>
      <w:r w:rsidRPr="005C3655">
        <w:rPr>
          <w:lang w:val="en-US" w:eastAsia="en-US"/>
        </w:rPr>
        <w:t>2013;50:1745</w:t>
      </w:r>
      <w:proofErr w:type="gramEnd"/>
      <w:r w:rsidRPr="005C3655">
        <w:rPr>
          <w:lang w:val="en-US" w:eastAsia="en-US"/>
        </w:rPr>
        <w:t>–86. https://doi.org/10.54648/COLA2013165</w:t>
      </w:r>
    </w:p>
    <w:p w14:paraId="291C358A" w14:textId="77777777" w:rsidR="00531BD0" w:rsidRPr="005C3655" w:rsidRDefault="00531BD0" w:rsidP="00531BD0">
      <w:pPr>
        <w:pStyle w:val="Sources"/>
        <w:rPr>
          <w:lang w:val="en-US" w:eastAsia="en-US"/>
        </w:rPr>
      </w:pPr>
      <w:r w:rsidRPr="005C3655">
        <w:rPr>
          <w:lang w:val="en-US" w:eastAsia="en-US"/>
        </w:rPr>
        <w:t xml:space="preserve">2. Barling D, Lang T, Caraher M. Joined-up Food Policy? The Trials of Governance, Public Policy and the Food System. Social Policy &amp; Admin. </w:t>
      </w:r>
      <w:proofErr w:type="gramStart"/>
      <w:r w:rsidRPr="005C3655">
        <w:rPr>
          <w:lang w:val="en-US" w:eastAsia="en-US"/>
        </w:rPr>
        <w:t>2002;36:556</w:t>
      </w:r>
      <w:proofErr w:type="gramEnd"/>
      <w:r w:rsidRPr="005C3655">
        <w:rPr>
          <w:lang w:val="en-US" w:eastAsia="en-US"/>
        </w:rPr>
        <w:t>–74. https://doi.org/10.1111/1467-9515.t01-1-00304</w:t>
      </w:r>
    </w:p>
    <w:p w14:paraId="3A3EB5D4" w14:textId="77777777" w:rsidR="00531BD0" w:rsidRPr="005C3655" w:rsidRDefault="00531BD0" w:rsidP="00531BD0">
      <w:pPr>
        <w:pStyle w:val="Sources"/>
        <w:rPr>
          <w:lang w:val="en-US" w:eastAsia="en-US"/>
        </w:rPr>
      </w:pPr>
      <w:r w:rsidRPr="005C3655">
        <w:rPr>
          <w:lang w:val="en-US" w:eastAsia="en-US"/>
        </w:rPr>
        <w:t xml:space="preserve">3. Baumann F, Buchwald A, Friehe T, </w:t>
      </w:r>
      <w:proofErr w:type="spellStart"/>
      <w:r w:rsidRPr="005C3655">
        <w:rPr>
          <w:lang w:val="en-US" w:eastAsia="en-US"/>
        </w:rPr>
        <w:t>Hottenrott</w:t>
      </w:r>
      <w:proofErr w:type="spellEnd"/>
      <w:r w:rsidRPr="005C3655">
        <w:rPr>
          <w:lang w:val="en-US" w:eastAsia="en-US"/>
        </w:rPr>
        <w:t xml:space="preserve"> H, Mechtel M. The effect of a ban on late-night off-</w:t>
      </w:r>
      <w:proofErr w:type="gramStart"/>
      <w:r w:rsidRPr="005C3655">
        <w:rPr>
          <w:lang w:val="en-US" w:eastAsia="en-US"/>
        </w:rPr>
        <w:t>premise</w:t>
      </w:r>
      <w:proofErr w:type="gramEnd"/>
      <w:r w:rsidRPr="005C3655">
        <w:rPr>
          <w:lang w:val="en-US" w:eastAsia="en-US"/>
        </w:rPr>
        <w:t xml:space="preserve"> alcohol sales on violent crime: Evidence from Germany. International Review of Law and Economics. </w:t>
      </w:r>
      <w:proofErr w:type="gramStart"/>
      <w:r w:rsidRPr="005C3655">
        <w:rPr>
          <w:lang w:val="en-US" w:eastAsia="en-US"/>
        </w:rPr>
        <w:t>2019;60:105850</w:t>
      </w:r>
      <w:proofErr w:type="gramEnd"/>
      <w:r w:rsidRPr="005C3655">
        <w:rPr>
          <w:lang w:val="en-US" w:eastAsia="en-US"/>
        </w:rPr>
        <w:t>. https://doi.org/10.1016/j.irle.2019.105850</w:t>
      </w:r>
    </w:p>
    <w:p w14:paraId="12D25B2D" w14:textId="77777777" w:rsidR="00531BD0" w:rsidRPr="005C3655" w:rsidRDefault="00531BD0" w:rsidP="00531BD0">
      <w:pPr>
        <w:pStyle w:val="Sources"/>
        <w:rPr>
          <w:lang w:val="en-US" w:eastAsia="en-US"/>
        </w:rPr>
      </w:pPr>
      <w:r w:rsidRPr="005C3655">
        <w:rPr>
          <w:lang w:val="en-US" w:eastAsia="en-US"/>
        </w:rPr>
        <w:t>4. Benz A. Two types of multi</w:t>
      </w:r>
      <w:r w:rsidRPr="005C3655">
        <w:rPr>
          <w:rFonts w:ascii="Cambria Math" w:hAnsi="Cambria Math" w:cs="Cambria Math"/>
          <w:lang w:val="en-US" w:eastAsia="en-US"/>
        </w:rPr>
        <w:t>‐</w:t>
      </w:r>
      <w:r w:rsidRPr="005C3655">
        <w:rPr>
          <w:lang w:val="en-US" w:eastAsia="en-US"/>
        </w:rPr>
        <w:t xml:space="preserve">level governance: Intergovernmental relations in German and EU regional policy. Regional &amp; Federal Studies. RSA Website; </w:t>
      </w:r>
      <w:proofErr w:type="gramStart"/>
      <w:r w:rsidRPr="005C3655">
        <w:rPr>
          <w:lang w:val="en-US" w:eastAsia="en-US"/>
        </w:rPr>
        <w:t>2000;10:21</w:t>
      </w:r>
      <w:proofErr w:type="gramEnd"/>
      <w:r w:rsidRPr="005C3655">
        <w:rPr>
          <w:lang w:val="en-US" w:eastAsia="en-US"/>
        </w:rPr>
        <w:t>–44. https://doi.org/10.1080/13597560008421130</w:t>
      </w:r>
    </w:p>
    <w:p w14:paraId="2B007E5A" w14:textId="77777777" w:rsidR="00531BD0" w:rsidRPr="005C3655" w:rsidRDefault="00531BD0" w:rsidP="00531BD0">
      <w:pPr>
        <w:pStyle w:val="Sources"/>
        <w:rPr>
          <w:lang w:val="en-US" w:eastAsia="en-US"/>
        </w:rPr>
      </w:pPr>
      <w:r w:rsidRPr="005C3655">
        <w:rPr>
          <w:lang w:val="en-US" w:eastAsia="en-US"/>
        </w:rPr>
        <w:t xml:space="preserve">5. Benz A, Eberlein B. The Europeanization of regional policies: patterns of multi-level governance. Journal of European Public Policy. Routledge; </w:t>
      </w:r>
      <w:proofErr w:type="gramStart"/>
      <w:r w:rsidRPr="005C3655">
        <w:rPr>
          <w:lang w:val="en-US" w:eastAsia="en-US"/>
        </w:rPr>
        <w:t>1999;6:329</w:t>
      </w:r>
      <w:proofErr w:type="gramEnd"/>
      <w:r w:rsidRPr="005C3655">
        <w:rPr>
          <w:lang w:val="en-US" w:eastAsia="en-US"/>
        </w:rPr>
        <w:t>–48. https://doi.org/10.1080/135017699343748</w:t>
      </w:r>
    </w:p>
    <w:p w14:paraId="4CFC1497" w14:textId="77777777" w:rsidR="00531BD0" w:rsidRPr="005C3655" w:rsidRDefault="00531BD0" w:rsidP="00531BD0">
      <w:pPr>
        <w:pStyle w:val="Sources"/>
        <w:rPr>
          <w:lang w:val="en-US" w:eastAsia="en-US"/>
        </w:rPr>
      </w:pPr>
      <w:r w:rsidRPr="005C3655">
        <w:rPr>
          <w:lang w:val="en-US" w:eastAsia="en-US"/>
        </w:rPr>
        <w:t xml:space="preserve">6. </w:t>
      </w:r>
      <w:proofErr w:type="spellStart"/>
      <w:r w:rsidRPr="005C3655">
        <w:rPr>
          <w:lang w:val="en-US" w:eastAsia="en-US"/>
        </w:rPr>
        <w:t>Burgaz</w:t>
      </w:r>
      <w:proofErr w:type="spellEnd"/>
      <w:r w:rsidRPr="005C3655">
        <w:rPr>
          <w:lang w:val="en-US" w:eastAsia="en-US"/>
        </w:rPr>
        <w:t xml:space="preserve"> C, </w:t>
      </w:r>
      <w:proofErr w:type="spellStart"/>
      <w:r w:rsidRPr="005C3655">
        <w:rPr>
          <w:lang w:val="en-US" w:eastAsia="en-US"/>
        </w:rPr>
        <w:t>Gorasso</w:t>
      </w:r>
      <w:proofErr w:type="spellEnd"/>
      <w:r w:rsidRPr="005C3655">
        <w:rPr>
          <w:lang w:val="en-US" w:eastAsia="en-US"/>
        </w:rPr>
        <w:t xml:space="preserve"> V, Achten WMJ, Batis C, Castronuovo L, Diouf A, et al. The effectiveness of food system policies to improve nutrition, nutrition-related inequalities and environmental sustainability: a scoping review. Food Sec. </w:t>
      </w:r>
      <w:proofErr w:type="gramStart"/>
      <w:r w:rsidRPr="005C3655">
        <w:rPr>
          <w:lang w:val="en-US" w:eastAsia="en-US"/>
        </w:rPr>
        <w:t>2023;15:1313</w:t>
      </w:r>
      <w:proofErr w:type="gramEnd"/>
      <w:r w:rsidRPr="005C3655">
        <w:rPr>
          <w:lang w:val="en-US" w:eastAsia="en-US"/>
        </w:rPr>
        <w:t>–44. https://doi.org/10.1007/s12571-023-01385-1</w:t>
      </w:r>
    </w:p>
    <w:p w14:paraId="7DAED325" w14:textId="77777777" w:rsidR="00531BD0" w:rsidRPr="005C3655" w:rsidRDefault="00531BD0" w:rsidP="00531BD0">
      <w:pPr>
        <w:pStyle w:val="Sources"/>
        <w:rPr>
          <w:lang w:val="en-US" w:eastAsia="en-US"/>
        </w:rPr>
      </w:pPr>
      <w:r w:rsidRPr="005C3655">
        <w:rPr>
          <w:lang w:val="en-US" w:eastAsia="en-US"/>
        </w:rPr>
        <w:t xml:space="preserve">7. Djojosoeparto SK, Kamphuis CB, </w:t>
      </w:r>
      <w:proofErr w:type="spellStart"/>
      <w:r w:rsidRPr="005C3655">
        <w:rPr>
          <w:lang w:val="en-US" w:eastAsia="en-US"/>
        </w:rPr>
        <w:t>Vandevijvere</w:t>
      </w:r>
      <w:proofErr w:type="spellEnd"/>
      <w:r w:rsidRPr="005C3655">
        <w:rPr>
          <w:lang w:val="en-US" w:eastAsia="en-US"/>
        </w:rPr>
        <w:t xml:space="preserve"> S, Harrington JM, Poelman MP. The Healthy Food Environment Policy Index (Food-EPI): European Union [Internet]. Utrecht, The Netherlands: Utrecht University; 2021 Mar. https://dspace.library.uu.nl/bitstream/handle/1874/415404/Food_EPI_EU_FINAL_20210305.pdf?sequence=1. Accessed 24 Nov 2025</w:t>
      </w:r>
    </w:p>
    <w:p w14:paraId="36E74108" w14:textId="77777777" w:rsidR="00531BD0" w:rsidRPr="005C3655" w:rsidRDefault="00531BD0" w:rsidP="00531BD0">
      <w:pPr>
        <w:pStyle w:val="Sources"/>
        <w:rPr>
          <w:lang w:val="en-US" w:eastAsia="en-US"/>
        </w:rPr>
      </w:pPr>
      <w:r w:rsidRPr="005C3655">
        <w:rPr>
          <w:lang w:val="en-US" w:eastAsia="en-US"/>
        </w:rPr>
        <w:t xml:space="preserve">8. </w:t>
      </w:r>
      <w:proofErr w:type="spellStart"/>
      <w:r w:rsidRPr="005C3655">
        <w:rPr>
          <w:lang w:val="en-US" w:eastAsia="en-US"/>
        </w:rPr>
        <w:t>Doernberg</w:t>
      </w:r>
      <w:proofErr w:type="spellEnd"/>
      <w:r w:rsidRPr="005C3655">
        <w:rPr>
          <w:lang w:val="en-US" w:eastAsia="en-US"/>
        </w:rPr>
        <w:t xml:space="preserve"> A, Horn P, Zasada I, </w:t>
      </w:r>
      <w:proofErr w:type="spellStart"/>
      <w:r w:rsidRPr="005C3655">
        <w:rPr>
          <w:lang w:val="en-US" w:eastAsia="en-US"/>
        </w:rPr>
        <w:t>Piorr</w:t>
      </w:r>
      <w:proofErr w:type="spellEnd"/>
      <w:r w:rsidRPr="005C3655">
        <w:rPr>
          <w:lang w:val="en-US" w:eastAsia="en-US"/>
        </w:rPr>
        <w:t xml:space="preserve"> A. Urban food policies in German city regions: An overview of key players and policy instruments. Food Policy. </w:t>
      </w:r>
      <w:proofErr w:type="gramStart"/>
      <w:r w:rsidRPr="005C3655">
        <w:rPr>
          <w:lang w:val="en-US" w:eastAsia="en-US"/>
        </w:rPr>
        <w:t>2019;89:101782</w:t>
      </w:r>
      <w:proofErr w:type="gramEnd"/>
      <w:r w:rsidRPr="005C3655">
        <w:rPr>
          <w:lang w:val="en-US" w:eastAsia="en-US"/>
        </w:rPr>
        <w:t>. https://doi.org/10.1016/j.foodpol.2019.101782</w:t>
      </w:r>
    </w:p>
    <w:p w14:paraId="60B69CDB" w14:textId="77777777" w:rsidR="00531BD0" w:rsidRPr="005C3655" w:rsidRDefault="00531BD0" w:rsidP="00531BD0">
      <w:pPr>
        <w:pStyle w:val="Sources"/>
        <w:rPr>
          <w:lang w:val="en-US" w:eastAsia="en-US"/>
        </w:rPr>
      </w:pPr>
      <w:r w:rsidRPr="005C3655">
        <w:rPr>
          <w:lang w:val="en-US" w:eastAsia="en-US"/>
        </w:rPr>
        <w:t xml:space="preserve">9. Downs SM, Ahmed S, Fanzo J, Herforth A. Food Environment Typology: Advancing an Expanded Definition, Framework, and Methodological Approach for Improved Characterization of Wild, Cultivated, and Built Food Environments toward Sustainable Diets. Foods [Internet]. Multidisciplinary Digital Publishing </w:t>
      </w:r>
      <w:proofErr w:type="gramStart"/>
      <w:r w:rsidRPr="005C3655">
        <w:rPr>
          <w:lang w:val="en-US" w:eastAsia="en-US"/>
        </w:rPr>
        <w:t>Institute  (</w:t>
      </w:r>
      <w:proofErr w:type="gramEnd"/>
      <w:r w:rsidRPr="005C3655">
        <w:rPr>
          <w:lang w:val="en-US" w:eastAsia="en-US"/>
        </w:rPr>
        <w:t>MDPI); 2020 [cited 2024 June 19];9. https://doi.org/10.3390/foods9040532</w:t>
      </w:r>
    </w:p>
    <w:p w14:paraId="58AC6C4D" w14:textId="77777777" w:rsidR="00531BD0" w:rsidRPr="005C3655" w:rsidRDefault="00531BD0" w:rsidP="00531BD0">
      <w:pPr>
        <w:pStyle w:val="Sources"/>
        <w:rPr>
          <w:lang w:val="en-US" w:eastAsia="en-US"/>
        </w:rPr>
      </w:pPr>
      <w:r w:rsidRPr="005C3655">
        <w:rPr>
          <w:lang w:val="en-US" w:eastAsia="en-US"/>
        </w:rPr>
        <w:t xml:space="preserve">10. </w:t>
      </w:r>
      <w:proofErr w:type="spellStart"/>
      <w:r w:rsidRPr="005C3655">
        <w:rPr>
          <w:lang w:val="en-US" w:eastAsia="en-US"/>
        </w:rPr>
        <w:t>Garritzmann</w:t>
      </w:r>
      <w:proofErr w:type="spellEnd"/>
      <w:r w:rsidRPr="005C3655">
        <w:rPr>
          <w:lang w:val="en-US" w:eastAsia="en-US"/>
        </w:rPr>
        <w:t xml:space="preserve"> JL, </w:t>
      </w:r>
      <w:proofErr w:type="spellStart"/>
      <w:r w:rsidRPr="005C3655">
        <w:rPr>
          <w:lang w:val="en-US" w:eastAsia="en-US"/>
        </w:rPr>
        <w:t>Röth</w:t>
      </w:r>
      <w:proofErr w:type="spellEnd"/>
      <w:r w:rsidRPr="005C3655">
        <w:rPr>
          <w:lang w:val="en-US" w:eastAsia="en-US"/>
        </w:rPr>
        <w:t xml:space="preserve"> L, </w:t>
      </w:r>
      <w:proofErr w:type="spellStart"/>
      <w:r w:rsidRPr="005C3655">
        <w:rPr>
          <w:lang w:val="en-US" w:eastAsia="en-US"/>
        </w:rPr>
        <w:t>Kleider</w:t>
      </w:r>
      <w:proofErr w:type="spellEnd"/>
      <w:r w:rsidRPr="005C3655">
        <w:rPr>
          <w:lang w:val="en-US" w:eastAsia="en-US"/>
        </w:rPr>
        <w:t xml:space="preserve"> H. </w:t>
      </w:r>
      <w:proofErr w:type="gramStart"/>
      <w:r w:rsidRPr="005C3655">
        <w:rPr>
          <w:lang w:val="en-US" w:eastAsia="en-US"/>
        </w:rPr>
        <w:t>Policy-Making</w:t>
      </w:r>
      <w:proofErr w:type="gramEnd"/>
      <w:r w:rsidRPr="005C3655">
        <w:rPr>
          <w:lang w:val="en-US" w:eastAsia="en-US"/>
        </w:rPr>
        <w:t xml:space="preserve"> in Multi-Level Systems: Ideology, Authority, and Education. Comparative Political Studies. SAGE Publications Inc; </w:t>
      </w:r>
      <w:proofErr w:type="gramStart"/>
      <w:r w:rsidRPr="005C3655">
        <w:rPr>
          <w:lang w:val="en-US" w:eastAsia="en-US"/>
        </w:rPr>
        <w:t>2021;54:2155</w:t>
      </w:r>
      <w:proofErr w:type="gramEnd"/>
      <w:r w:rsidRPr="005C3655">
        <w:rPr>
          <w:lang w:val="en-US" w:eastAsia="en-US"/>
        </w:rPr>
        <w:t>–90. https://doi.org/10.1177/0010414021997499</w:t>
      </w:r>
    </w:p>
    <w:p w14:paraId="69C3B1A4" w14:textId="77777777" w:rsidR="00531BD0" w:rsidRPr="005C3655" w:rsidRDefault="00531BD0" w:rsidP="00531BD0">
      <w:pPr>
        <w:pStyle w:val="Sources"/>
        <w:rPr>
          <w:lang w:val="en-US" w:eastAsia="en-US"/>
        </w:rPr>
      </w:pPr>
      <w:r w:rsidRPr="005C3655">
        <w:rPr>
          <w:lang w:val="en-US" w:eastAsia="en-US"/>
        </w:rPr>
        <w:t xml:space="preserve">11. Glanz K, Sallis JF, Saelens BE, Frank LD. Healthy Nutrition Environments: Concepts and Measures. Am J Health </w:t>
      </w:r>
      <w:proofErr w:type="spellStart"/>
      <w:r w:rsidRPr="005C3655">
        <w:rPr>
          <w:lang w:val="en-US" w:eastAsia="en-US"/>
        </w:rPr>
        <w:t>Promot</w:t>
      </w:r>
      <w:proofErr w:type="spellEnd"/>
      <w:r w:rsidRPr="005C3655">
        <w:rPr>
          <w:lang w:val="en-US" w:eastAsia="en-US"/>
        </w:rPr>
        <w:t xml:space="preserve">. </w:t>
      </w:r>
      <w:proofErr w:type="gramStart"/>
      <w:r w:rsidRPr="005C3655">
        <w:rPr>
          <w:lang w:val="en-US" w:eastAsia="en-US"/>
        </w:rPr>
        <w:t>2005;19:330</w:t>
      </w:r>
      <w:proofErr w:type="gramEnd"/>
      <w:r w:rsidRPr="005C3655">
        <w:rPr>
          <w:lang w:val="en-US" w:eastAsia="en-US"/>
        </w:rPr>
        <w:t>–3. https://doi.org/10.4278/0890-1171-19.5.330</w:t>
      </w:r>
    </w:p>
    <w:p w14:paraId="1382E175" w14:textId="77777777" w:rsidR="00531BD0" w:rsidRPr="005C3655" w:rsidRDefault="00531BD0" w:rsidP="00531BD0">
      <w:pPr>
        <w:pStyle w:val="Sources"/>
        <w:rPr>
          <w:lang w:val="en-US" w:eastAsia="en-US"/>
        </w:rPr>
      </w:pPr>
      <w:r w:rsidRPr="005C3655">
        <w:rPr>
          <w:lang w:val="en-US" w:eastAsia="en-US"/>
        </w:rPr>
        <w:lastRenderedPageBreak/>
        <w:t xml:space="preserve">12. </w:t>
      </w:r>
      <w:proofErr w:type="spellStart"/>
      <w:r w:rsidRPr="005C3655">
        <w:rPr>
          <w:lang w:val="en-US" w:eastAsia="en-US"/>
        </w:rPr>
        <w:t>Gollata</w:t>
      </w:r>
      <w:proofErr w:type="spellEnd"/>
      <w:r w:rsidRPr="005C3655">
        <w:rPr>
          <w:lang w:val="en-US" w:eastAsia="en-US"/>
        </w:rPr>
        <w:t xml:space="preserve"> JAM, and </w:t>
      </w:r>
      <w:proofErr w:type="spellStart"/>
      <w:r w:rsidRPr="005C3655">
        <w:rPr>
          <w:lang w:val="en-US" w:eastAsia="en-US"/>
        </w:rPr>
        <w:t>Newig</w:t>
      </w:r>
      <w:proofErr w:type="spellEnd"/>
      <w:r w:rsidRPr="005C3655">
        <w:rPr>
          <w:lang w:val="en-US" w:eastAsia="en-US"/>
        </w:rPr>
        <w:t xml:space="preserve"> J. Policy implementation through multi-level governance: </w:t>
      </w:r>
      <w:proofErr w:type="spellStart"/>
      <w:r w:rsidRPr="005C3655">
        <w:rPr>
          <w:lang w:val="en-US" w:eastAsia="en-US"/>
        </w:rPr>
        <w:t>analysing</w:t>
      </w:r>
      <w:proofErr w:type="spellEnd"/>
      <w:r w:rsidRPr="005C3655">
        <w:rPr>
          <w:lang w:val="en-US" w:eastAsia="en-US"/>
        </w:rPr>
        <w:t xml:space="preserve"> practical implementation of EU air quality directives in Germany. Journal of European Public Policy. Routledge; </w:t>
      </w:r>
      <w:proofErr w:type="gramStart"/>
      <w:r w:rsidRPr="005C3655">
        <w:rPr>
          <w:lang w:val="en-US" w:eastAsia="en-US"/>
        </w:rPr>
        <w:t>2017;24:1308</w:t>
      </w:r>
      <w:proofErr w:type="gramEnd"/>
      <w:r w:rsidRPr="005C3655">
        <w:rPr>
          <w:lang w:val="en-US" w:eastAsia="en-US"/>
        </w:rPr>
        <w:t>–27. https://doi.org/10.1080/13501763.2017.1314539</w:t>
      </w:r>
    </w:p>
    <w:p w14:paraId="1F10092B" w14:textId="77777777" w:rsidR="00531BD0" w:rsidRDefault="00531BD0" w:rsidP="00531BD0">
      <w:pPr>
        <w:pStyle w:val="Sources"/>
        <w:rPr>
          <w:lang w:eastAsia="en-US"/>
        </w:rPr>
      </w:pPr>
      <w:r w:rsidRPr="005C3655">
        <w:rPr>
          <w:lang w:val="en-US" w:eastAsia="en-US"/>
        </w:rPr>
        <w:t xml:space="preserve">13. </w:t>
      </w:r>
      <w:proofErr w:type="spellStart"/>
      <w:r w:rsidRPr="005C3655">
        <w:rPr>
          <w:lang w:val="en-US" w:eastAsia="en-US"/>
        </w:rPr>
        <w:t>Hooghe</w:t>
      </w:r>
      <w:proofErr w:type="spellEnd"/>
      <w:r w:rsidRPr="005C3655">
        <w:rPr>
          <w:lang w:val="en-US" w:eastAsia="en-US"/>
        </w:rPr>
        <w:t xml:space="preserve"> L, Marks G. “Europe with the Regions”: Channels of Regional Representation in the European Union. </w:t>
      </w:r>
      <w:r>
        <w:rPr>
          <w:lang w:eastAsia="en-US"/>
        </w:rPr>
        <w:t xml:space="preserve">Journal </w:t>
      </w:r>
      <w:proofErr w:type="spellStart"/>
      <w:r>
        <w:rPr>
          <w:lang w:eastAsia="en-US"/>
        </w:rPr>
        <w:t>of</w:t>
      </w:r>
      <w:proofErr w:type="spellEnd"/>
      <w:r>
        <w:rPr>
          <w:lang w:eastAsia="en-US"/>
        </w:rPr>
        <w:t xml:space="preserve"> </w:t>
      </w:r>
      <w:proofErr w:type="spellStart"/>
      <w:r>
        <w:rPr>
          <w:lang w:eastAsia="en-US"/>
        </w:rPr>
        <w:t>Federalism</w:t>
      </w:r>
      <w:proofErr w:type="spellEnd"/>
      <w:r>
        <w:rPr>
          <w:lang w:eastAsia="en-US"/>
        </w:rPr>
        <w:t xml:space="preserve">. 1996;26. </w:t>
      </w:r>
    </w:p>
    <w:p w14:paraId="453C6AEC" w14:textId="77777777" w:rsidR="00531BD0" w:rsidRDefault="00531BD0" w:rsidP="00531BD0">
      <w:pPr>
        <w:pStyle w:val="Sources"/>
        <w:rPr>
          <w:lang w:eastAsia="en-US"/>
        </w:rPr>
      </w:pPr>
      <w:r>
        <w:rPr>
          <w:lang w:eastAsia="en-US"/>
        </w:rPr>
        <w:t>14. Jansen C, Buyken A, Depa J, Kroke A. Ernährung in der Schule: Zwischen administrativen Zuständigkeiten und strukturellen Rahmenbedingungen. Ernährungs Umschau. 2020;18–23. https://doi.org/10.4455/eu.2020.007</w:t>
      </w:r>
    </w:p>
    <w:p w14:paraId="39DEB155" w14:textId="77777777" w:rsidR="00531BD0" w:rsidRPr="005C3655" w:rsidRDefault="00531BD0" w:rsidP="00531BD0">
      <w:pPr>
        <w:pStyle w:val="Sources"/>
        <w:rPr>
          <w:lang w:val="en-US" w:eastAsia="en-US"/>
        </w:rPr>
      </w:pPr>
      <w:r>
        <w:rPr>
          <w:lang w:eastAsia="en-US"/>
        </w:rPr>
        <w:t xml:space="preserve">15. Kühnelt C, Starker A, Varnaccia G, Schiekiewitz A. Schuleingangsuntersuchungen als kleinräumige Datenquelle für ein Monitoring der Kindergesundheit am Beispiel Adipositas. </w:t>
      </w:r>
      <w:r w:rsidRPr="005C3655">
        <w:rPr>
          <w:lang w:val="en-US" w:eastAsia="en-US"/>
        </w:rPr>
        <w:t>Journal of Health Monitoring [Internet]. Robert Koch-</w:t>
      </w:r>
      <w:proofErr w:type="spellStart"/>
      <w:r w:rsidRPr="005C3655">
        <w:rPr>
          <w:lang w:val="en-US" w:eastAsia="en-US"/>
        </w:rPr>
        <w:t>Institut</w:t>
      </w:r>
      <w:proofErr w:type="spellEnd"/>
      <w:r w:rsidRPr="005C3655">
        <w:rPr>
          <w:lang w:val="en-US" w:eastAsia="en-US"/>
        </w:rPr>
        <w:t>; 2023 [cited 2024 Feb 5]; https://doi.org/10.25646/11297</w:t>
      </w:r>
    </w:p>
    <w:p w14:paraId="2F45DC4D" w14:textId="77777777" w:rsidR="00531BD0" w:rsidRDefault="00531BD0" w:rsidP="00531BD0">
      <w:pPr>
        <w:pStyle w:val="Sources"/>
        <w:rPr>
          <w:lang w:eastAsia="en-US"/>
        </w:rPr>
      </w:pPr>
      <w:r>
        <w:rPr>
          <w:lang w:eastAsia="en-US"/>
        </w:rPr>
        <w:t xml:space="preserve">16. Lamprecht A, Schauf O, Cämmerer DB. Zweite Studie zur Qualität des schulischen Mittagessens im Land Berlin. Berlin: Technische Universität Berlin; 2017 Apr. </w:t>
      </w:r>
    </w:p>
    <w:p w14:paraId="26214852" w14:textId="77777777" w:rsidR="00531BD0" w:rsidRPr="005C3655" w:rsidRDefault="00531BD0" w:rsidP="00531BD0">
      <w:pPr>
        <w:pStyle w:val="Sources"/>
        <w:rPr>
          <w:lang w:val="en-US" w:eastAsia="en-US"/>
        </w:rPr>
      </w:pPr>
      <w:r>
        <w:rPr>
          <w:lang w:eastAsia="en-US"/>
        </w:rPr>
        <w:t xml:space="preserve">17. Langen ProfN, Hasselberg L. NRW KANtinen Nachhaltig gestalten Qualifizierungs- und Schulungsangebot für Kantinen der Landeseinrichtungen zur Unterstützung einer nachhaltigen und gesunden Ernährung - Ergebnisse der Online-Befragung von Kantinenbetreibende in Landesbehörden in NRW [Internet]. </w:t>
      </w:r>
      <w:r w:rsidRPr="005C3655">
        <w:rPr>
          <w:lang w:val="en-US" w:eastAsia="en-US"/>
        </w:rPr>
        <w:t>TU Berlin, North Rhine-Westphalia Office of Nature, Environment and Consumer Protection (LANUV); 2022. https://www.lanuv.nrw.de/fileadmin/lanuv/nrwkann/Ergebnisse_der_Online-Befragung_NRW_KANN.pdf. Accessed 12 Dec 2023</w:t>
      </w:r>
    </w:p>
    <w:p w14:paraId="65E03D2A" w14:textId="77777777" w:rsidR="00531BD0" w:rsidRPr="005C3655" w:rsidRDefault="00531BD0" w:rsidP="00531BD0">
      <w:pPr>
        <w:pStyle w:val="Sources"/>
        <w:rPr>
          <w:lang w:val="en-US" w:eastAsia="en-US"/>
        </w:rPr>
      </w:pPr>
      <w:r w:rsidRPr="005C3655">
        <w:rPr>
          <w:lang w:val="en-US" w:eastAsia="en-US"/>
        </w:rPr>
        <w:t xml:space="preserve">18. Milio S. The conflicting effects of multi-level governance and the partnership principle: Evidence from the Italian experience. European Urban and Regional Studies. </w:t>
      </w:r>
      <w:proofErr w:type="gramStart"/>
      <w:r w:rsidRPr="005C3655">
        <w:rPr>
          <w:lang w:val="en-US" w:eastAsia="en-US"/>
        </w:rPr>
        <w:t>2014;21:384</w:t>
      </w:r>
      <w:proofErr w:type="gramEnd"/>
      <w:r w:rsidRPr="005C3655">
        <w:rPr>
          <w:lang w:val="en-US" w:eastAsia="en-US"/>
        </w:rPr>
        <w:t>–97. https://doi.org/10.1177/0969776413493631</w:t>
      </w:r>
    </w:p>
    <w:p w14:paraId="66976A1E" w14:textId="77777777" w:rsidR="00531BD0" w:rsidRPr="005C3655" w:rsidRDefault="00531BD0" w:rsidP="00531BD0">
      <w:pPr>
        <w:pStyle w:val="Sources"/>
        <w:rPr>
          <w:lang w:val="en-US" w:eastAsia="en-US"/>
        </w:rPr>
      </w:pPr>
      <w:r w:rsidRPr="005C3655">
        <w:rPr>
          <w:lang w:val="en-US" w:eastAsia="en-US"/>
        </w:rPr>
        <w:t xml:space="preserve">19. Neumeier S, </w:t>
      </w:r>
      <w:proofErr w:type="spellStart"/>
      <w:r w:rsidRPr="005C3655">
        <w:rPr>
          <w:lang w:val="en-US" w:eastAsia="en-US"/>
        </w:rPr>
        <w:t>Kokorsch</w:t>
      </w:r>
      <w:proofErr w:type="spellEnd"/>
      <w:r w:rsidRPr="005C3655">
        <w:rPr>
          <w:lang w:val="en-US" w:eastAsia="en-US"/>
        </w:rPr>
        <w:t xml:space="preserve"> M. Supermarket and discounter accessibility in rural Germany– identifying food deserts using a GIS accessibility model. Journal of Rural Studies. </w:t>
      </w:r>
      <w:proofErr w:type="gramStart"/>
      <w:r w:rsidRPr="005C3655">
        <w:rPr>
          <w:lang w:val="en-US" w:eastAsia="en-US"/>
        </w:rPr>
        <w:t>2021;86:247</w:t>
      </w:r>
      <w:proofErr w:type="gramEnd"/>
      <w:r w:rsidRPr="005C3655">
        <w:rPr>
          <w:lang w:val="en-US" w:eastAsia="en-US"/>
        </w:rPr>
        <w:t>–61. https://doi.org/10.1016/j.jrurstud.2021.06.013</w:t>
      </w:r>
    </w:p>
    <w:p w14:paraId="59CEF662" w14:textId="77777777" w:rsidR="00531BD0" w:rsidRPr="005C3655" w:rsidRDefault="00531BD0" w:rsidP="00531BD0">
      <w:pPr>
        <w:pStyle w:val="Sources"/>
        <w:rPr>
          <w:lang w:val="en-US" w:eastAsia="en-US"/>
        </w:rPr>
      </w:pPr>
      <w:r w:rsidRPr="005C3655">
        <w:rPr>
          <w:lang w:val="en-US" w:eastAsia="en-US"/>
        </w:rPr>
        <w:t xml:space="preserve">20. Papadopoulos Y. Accountability and Multi-level Governance: More Accountability, Less Democracy? West European Politics. Routledge; </w:t>
      </w:r>
      <w:proofErr w:type="gramStart"/>
      <w:r w:rsidRPr="005C3655">
        <w:rPr>
          <w:lang w:val="en-US" w:eastAsia="en-US"/>
        </w:rPr>
        <w:t>2010;33:1030</w:t>
      </w:r>
      <w:proofErr w:type="gramEnd"/>
      <w:r w:rsidRPr="005C3655">
        <w:rPr>
          <w:lang w:val="en-US" w:eastAsia="en-US"/>
        </w:rPr>
        <w:t>–49. https://doi.org/10.1080/01402382.2010.486126</w:t>
      </w:r>
    </w:p>
    <w:p w14:paraId="73CF069C" w14:textId="77777777" w:rsidR="00531BD0" w:rsidRPr="005C3655" w:rsidRDefault="00531BD0" w:rsidP="00531BD0">
      <w:pPr>
        <w:pStyle w:val="Sources"/>
        <w:rPr>
          <w:lang w:val="en-US" w:eastAsia="en-US"/>
        </w:rPr>
      </w:pPr>
      <w:r w:rsidRPr="005C3655">
        <w:rPr>
          <w:lang w:val="en-US" w:eastAsia="en-US"/>
        </w:rPr>
        <w:t xml:space="preserve">21. Philipsborn P von, Geffert K, Klinger C, </w:t>
      </w:r>
      <w:proofErr w:type="spellStart"/>
      <w:r w:rsidRPr="005C3655">
        <w:rPr>
          <w:lang w:val="en-US" w:eastAsia="en-US"/>
        </w:rPr>
        <w:t>Hebestreit</w:t>
      </w:r>
      <w:proofErr w:type="spellEnd"/>
      <w:r w:rsidRPr="005C3655">
        <w:rPr>
          <w:lang w:val="en-US" w:eastAsia="en-US"/>
        </w:rPr>
        <w:t xml:space="preserve"> A, </w:t>
      </w:r>
      <w:proofErr w:type="spellStart"/>
      <w:r w:rsidRPr="005C3655">
        <w:rPr>
          <w:lang w:val="en-US" w:eastAsia="en-US"/>
        </w:rPr>
        <w:t>Stratil</w:t>
      </w:r>
      <w:proofErr w:type="spellEnd"/>
      <w:r w:rsidRPr="005C3655">
        <w:rPr>
          <w:lang w:val="en-US" w:eastAsia="en-US"/>
        </w:rPr>
        <w:t xml:space="preserve"> J, </w:t>
      </w:r>
      <w:proofErr w:type="spellStart"/>
      <w:r w:rsidRPr="005C3655">
        <w:rPr>
          <w:lang w:val="en-US" w:eastAsia="en-US"/>
        </w:rPr>
        <w:t>Rehfuess</w:t>
      </w:r>
      <w:proofErr w:type="spellEnd"/>
      <w:r w:rsidRPr="005C3655">
        <w:rPr>
          <w:lang w:val="en-US" w:eastAsia="en-US"/>
        </w:rPr>
        <w:t xml:space="preserve"> EA. Food Environment Policy Index (Food-EPI) </w:t>
      </w:r>
      <w:proofErr w:type="spellStart"/>
      <w:r w:rsidRPr="005C3655">
        <w:rPr>
          <w:lang w:val="en-US" w:eastAsia="en-US"/>
        </w:rPr>
        <w:t>Evidenzbericht</w:t>
      </w:r>
      <w:proofErr w:type="spellEnd"/>
      <w:r w:rsidRPr="005C3655">
        <w:rPr>
          <w:lang w:val="en-US" w:eastAsia="en-US"/>
        </w:rPr>
        <w:t xml:space="preserve"> für Deutschland [Internet]. Policy Evaluation Networks (PEN); 2020. https://www.jpi-pen.eu/images/reports/Food-EPI_Germany_Evidence_Report.pdf. Accessed 22 Nov 2023</w:t>
      </w:r>
    </w:p>
    <w:p w14:paraId="683D75EC" w14:textId="77777777" w:rsidR="00531BD0" w:rsidRPr="005C3655" w:rsidRDefault="00531BD0" w:rsidP="00531BD0">
      <w:pPr>
        <w:pStyle w:val="Sources"/>
        <w:rPr>
          <w:lang w:val="en-US" w:eastAsia="en-US"/>
        </w:rPr>
      </w:pPr>
      <w:r>
        <w:rPr>
          <w:lang w:eastAsia="en-US"/>
        </w:rPr>
        <w:t xml:space="preserve">22. Philipsborn P von, Geffert K, Klinger C, Hebestreit A, Stratil J, Rehfuess EA. </w:t>
      </w:r>
      <w:r w:rsidRPr="005C3655">
        <w:rPr>
          <w:lang w:val="en-US" w:eastAsia="en-US"/>
        </w:rPr>
        <w:t xml:space="preserve">Nutrition policies in Germany: a systematic assessment with the Food Environment Policy Index. Public Health Nutrition. Cambridge University Press; </w:t>
      </w:r>
      <w:proofErr w:type="gramStart"/>
      <w:r w:rsidRPr="005C3655">
        <w:rPr>
          <w:lang w:val="en-US" w:eastAsia="en-US"/>
        </w:rPr>
        <w:t>2022;25:1691</w:t>
      </w:r>
      <w:proofErr w:type="gramEnd"/>
      <w:r w:rsidRPr="005C3655">
        <w:rPr>
          <w:lang w:val="en-US" w:eastAsia="en-US"/>
        </w:rPr>
        <w:t>–700. https://doi.org/10.1017/S1368980021004742</w:t>
      </w:r>
    </w:p>
    <w:p w14:paraId="18E1C41D" w14:textId="77777777" w:rsidR="00531BD0" w:rsidRPr="005C3655" w:rsidRDefault="00531BD0" w:rsidP="00531BD0">
      <w:pPr>
        <w:pStyle w:val="Sources"/>
        <w:rPr>
          <w:lang w:val="es-ES" w:eastAsia="en-US"/>
        </w:rPr>
      </w:pPr>
      <w:r w:rsidRPr="005C3655">
        <w:rPr>
          <w:lang w:val="en-US" w:eastAsia="en-US"/>
        </w:rPr>
        <w:t xml:space="preserve">23. </w:t>
      </w:r>
      <w:proofErr w:type="spellStart"/>
      <w:r w:rsidRPr="005C3655">
        <w:rPr>
          <w:lang w:val="en-US" w:eastAsia="en-US"/>
        </w:rPr>
        <w:t>Phulkerd</w:t>
      </w:r>
      <w:proofErr w:type="spellEnd"/>
      <w:r w:rsidRPr="005C3655">
        <w:rPr>
          <w:lang w:val="en-US" w:eastAsia="en-US"/>
        </w:rPr>
        <w:t xml:space="preserve"> S, Lawrence M, </w:t>
      </w:r>
      <w:proofErr w:type="spellStart"/>
      <w:r w:rsidRPr="005C3655">
        <w:rPr>
          <w:lang w:val="en-US" w:eastAsia="en-US"/>
        </w:rPr>
        <w:t>Vandevijvere</w:t>
      </w:r>
      <w:proofErr w:type="spellEnd"/>
      <w:r w:rsidRPr="005C3655">
        <w:rPr>
          <w:lang w:val="en-US" w:eastAsia="en-US"/>
        </w:rPr>
        <w:t xml:space="preserve"> S, Sacks G, Worsley A, </w:t>
      </w:r>
      <w:proofErr w:type="spellStart"/>
      <w:r w:rsidRPr="005C3655">
        <w:rPr>
          <w:lang w:val="en-US" w:eastAsia="en-US"/>
        </w:rPr>
        <w:t>Tangcharoensathien</w:t>
      </w:r>
      <w:proofErr w:type="spellEnd"/>
      <w:r w:rsidRPr="005C3655">
        <w:rPr>
          <w:lang w:val="en-US" w:eastAsia="en-US"/>
        </w:rPr>
        <w:t xml:space="preserve"> V. A review of methods and tools to assess the implementation of government policies to create healthy food environments for preventing obesity and diet-related non-communicable diseases. </w:t>
      </w:r>
      <w:r w:rsidRPr="005C3655">
        <w:rPr>
          <w:lang w:val="es-ES" w:eastAsia="en-US"/>
        </w:rPr>
        <w:t>Implementation Sci. 2015;11:15. https://doi.org/10.1186/s13012-016-0379-5</w:t>
      </w:r>
    </w:p>
    <w:p w14:paraId="282D5D29" w14:textId="77777777" w:rsidR="00531BD0" w:rsidRPr="005C3655" w:rsidRDefault="00531BD0" w:rsidP="00531BD0">
      <w:pPr>
        <w:pStyle w:val="Sources"/>
        <w:rPr>
          <w:lang w:val="en-US" w:eastAsia="en-US"/>
        </w:rPr>
      </w:pPr>
      <w:r w:rsidRPr="005C3655">
        <w:rPr>
          <w:lang w:val="es-ES" w:eastAsia="en-US"/>
        </w:rPr>
        <w:t xml:space="preserve">24. Pineda E, Poelman MP, Aaspõllu A, Bica M, Bouzas C, Carrano E, et al. </w:t>
      </w:r>
      <w:r w:rsidRPr="005C3655">
        <w:rPr>
          <w:lang w:val="en-US" w:eastAsia="en-US"/>
        </w:rPr>
        <w:t xml:space="preserve">Policy implementation and priorities to create healthy food environments using the Healthy Food Environment Policy Index (Food-EPI): A pooled level analysis across eleven European countries. The Lancet Regional Health - Europe. </w:t>
      </w:r>
      <w:proofErr w:type="gramStart"/>
      <w:r w:rsidRPr="005C3655">
        <w:rPr>
          <w:lang w:val="en-US" w:eastAsia="en-US"/>
        </w:rPr>
        <w:t>2022;23:100522</w:t>
      </w:r>
      <w:proofErr w:type="gramEnd"/>
      <w:r w:rsidRPr="005C3655">
        <w:rPr>
          <w:lang w:val="en-US" w:eastAsia="en-US"/>
        </w:rPr>
        <w:t>. https://doi.org/10.1016/j.lanepe.2022.100522</w:t>
      </w:r>
    </w:p>
    <w:p w14:paraId="6F5BB274" w14:textId="77777777" w:rsidR="00531BD0" w:rsidRDefault="00531BD0" w:rsidP="00531BD0">
      <w:pPr>
        <w:pStyle w:val="Sources"/>
        <w:rPr>
          <w:lang w:eastAsia="en-US"/>
        </w:rPr>
      </w:pPr>
      <w:r w:rsidRPr="005C3655">
        <w:rPr>
          <w:lang w:val="en-US" w:eastAsia="en-US"/>
        </w:rPr>
        <w:t xml:space="preserve">25. Purnhagen K. Tobacco Advertising and the Powers of </w:t>
      </w:r>
      <w:proofErr w:type="spellStart"/>
      <w:r w:rsidRPr="005C3655">
        <w:rPr>
          <w:lang w:val="en-US" w:eastAsia="en-US"/>
        </w:rPr>
        <w:t>Harmonisation</w:t>
      </w:r>
      <w:proofErr w:type="spellEnd"/>
      <w:r w:rsidRPr="005C3655">
        <w:rPr>
          <w:lang w:val="en-US" w:eastAsia="en-US"/>
        </w:rPr>
        <w:t xml:space="preserve">. In: Craig P, Schütze R, editors. Landmark Cases in EU Law. </w:t>
      </w:r>
      <w:r>
        <w:rPr>
          <w:lang w:eastAsia="en-US"/>
        </w:rPr>
        <w:t xml:space="preserve">Hart: Oxford; 2025. </w:t>
      </w:r>
    </w:p>
    <w:p w14:paraId="2BD9EDB3" w14:textId="77777777" w:rsidR="00531BD0" w:rsidRDefault="00531BD0" w:rsidP="00531BD0">
      <w:pPr>
        <w:pStyle w:val="Sources"/>
        <w:rPr>
          <w:lang w:eastAsia="en-US"/>
        </w:rPr>
      </w:pPr>
      <w:r>
        <w:rPr>
          <w:lang w:eastAsia="en-US"/>
        </w:rPr>
        <w:t>26. Quer O. Gesundheitsverträglichkeitsprüfungen in Berlin – Status Quo. Düsseldorf: German Medical Science GMS Publishing House; 2019. p. Doc19dkvf409. https://doi.org/10.3205/19dkvf409</w:t>
      </w:r>
    </w:p>
    <w:p w14:paraId="6280B288" w14:textId="77777777" w:rsidR="00531BD0" w:rsidRPr="005C3655" w:rsidRDefault="00531BD0" w:rsidP="00531BD0">
      <w:pPr>
        <w:pStyle w:val="Sources"/>
        <w:rPr>
          <w:lang w:val="en-US" w:eastAsia="en-US"/>
        </w:rPr>
      </w:pPr>
      <w:r w:rsidRPr="005C3655">
        <w:rPr>
          <w:lang w:val="en-US" w:eastAsia="en-US"/>
        </w:rPr>
        <w:lastRenderedPageBreak/>
        <w:t xml:space="preserve">27. Renner B, Arens-Azevedo U, </w:t>
      </w:r>
      <w:proofErr w:type="spellStart"/>
      <w:r w:rsidRPr="005C3655">
        <w:rPr>
          <w:lang w:val="en-US" w:eastAsia="en-US"/>
        </w:rPr>
        <w:t>Watzl</w:t>
      </w:r>
      <w:proofErr w:type="spellEnd"/>
      <w:r w:rsidRPr="005C3655">
        <w:rPr>
          <w:lang w:val="en-US" w:eastAsia="en-US"/>
        </w:rPr>
        <w:t xml:space="preserve"> B, Richter M, Virmani K, </w:t>
      </w:r>
      <w:proofErr w:type="spellStart"/>
      <w:r w:rsidRPr="005C3655">
        <w:rPr>
          <w:lang w:val="en-US" w:eastAsia="en-US"/>
        </w:rPr>
        <w:t>Linseisen</w:t>
      </w:r>
      <w:proofErr w:type="spellEnd"/>
      <w:r w:rsidRPr="005C3655">
        <w:rPr>
          <w:lang w:val="en-US" w:eastAsia="en-US"/>
        </w:rPr>
        <w:t xml:space="preserve"> J. DGE position statement on a more sustainable diet. </w:t>
      </w:r>
      <w:proofErr w:type="spellStart"/>
      <w:r w:rsidRPr="005C3655">
        <w:rPr>
          <w:lang w:val="en-US" w:eastAsia="en-US"/>
        </w:rPr>
        <w:t>Ernahrungs</w:t>
      </w:r>
      <w:proofErr w:type="spellEnd"/>
      <w:r w:rsidRPr="005C3655">
        <w:rPr>
          <w:lang w:val="en-US" w:eastAsia="en-US"/>
        </w:rPr>
        <w:t xml:space="preserve"> </w:t>
      </w:r>
      <w:proofErr w:type="spellStart"/>
      <w:r w:rsidRPr="005C3655">
        <w:rPr>
          <w:lang w:val="en-US" w:eastAsia="en-US"/>
        </w:rPr>
        <w:t>Umschau</w:t>
      </w:r>
      <w:proofErr w:type="spellEnd"/>
      <w:r w:rsidRPr="005C3655">
        <w:rPr>
          <w:lang w:val="en-US" w:eastAsia="en-US"/>
        </w:rPr>
        <w:t>. 2021;144–54. https://doi.org/10.4455/eu.2021.030</w:t>
      </w:r>
    </w:p>
    <w:p w14:paraId="7E4E08AF" w14:textId="77777777" w:rsidR="00531BD0" w:rsidRDefault="00531BD0" w:rsidP="00531BD0">
      <w:pPr>
        <w:pStyle w:val="Sources"/>
        <w:rPr>
          <w:lang w:eastAsia="en-US"/>
        </w:rPr>
      </w:pPr>
      <w:r w:rsidRPr="005C3655">
        <w:rPr>
          <w:lang w:val="en-US" w:eastAsia="en-US"/>
        </w:rPr>
        <w:t xml:space="preserve">28. Ruffini O, Relf C, Mann D, Blake MR, </w:t>
      </w:r>
      <w:proofErr w:type="spellStart"/>
      <w:r w:rsidRPr="005C3655">
        <w:rPr>
          <w:lang w:val="en-US" w:eastAsia="en-US"/>
        </w:rPr>
        <w:t>Carrad</w:t>
      </w:r>
      <w:proofErr w:type="spellEnd"/>
      <w:r w:rsidRPr="005C3655">
        <w:rPr>
          <w:lang w:val="en-US" w:eastAsia="en-US"/>
        </w:rPr>
        <w:t xml:space="preserve"> A, Reeve B, et al. Development of the Local Food Systems Policy Index (Local Food-EPI+) tool and assessment process to benchmark the implementation of local government policies for creating healthy, equitable and environmentally sustainable food systems. </w:t>
      </w:r>
      <w:r>
        <w:rPr>
          <w:lang w:eastAsia="en-US"/>
        </w:rPr>
        <w:t xml:space="preserve">Public Health </w:t>
      </w:r>
      <w:proofErr w:type="spellStart"/>
      <w:r>
        <w:rPr>
          <w:lang w:eastAsia="en-US"/>
        </w:rPr>
        <w:t>Nutr</w:t>
      </w:r>
      <w:proofErr w:type="spellEnd"/>
      <w:r>
        <w:rPr>
          <w:lang w:eastAsia="en-US"/>
        </w:rPr>
        <w:t>. 2024;27:e191. https://doi.org/10.1017/S136898002400140X</w:t>
      </w:r>
    </w:p>
    <w:p w14:paraId="12B01664" w14:textId="77777777" w:rsidR="00531BD0" w:rsidRPr="005C3655" w:rsidRDefault="00531BD0" w:rsidP="00531BD0">
      <w:pPr>
        <w:pStyle w:val="Sources"/>
        <w:rPr>
          <w:lang w:val="en-US" w:eastAsia="en-US"/>
        </w:rPr>
      </w:pPr>
      <w:r>
        <w:rPr>
          <w:lang w:eastAsia="en-US"/>
        </w:rPr>
        <w:t xml:space="preserve">29. Schäfer AC, Boeing H, Conrad J, Watzl B. Wissenschaftliche Grundlagen der lebensmittelbezogenen Ernährungs­empfehlungen für Deutschland. </w:t>
      </w:r>
      <w:proofErr w:type="spellStart"/>
      <w:r w:rsidRPr="005C3655">
        <w:rPr>
          <w:lang w:val="en-US" w:eastAsia="en-US"/>
        </w:rPr>
        <w:t>Ernährungs</w:t>
      </w:r>
      <w:proofErr w:type="spellEnd"/>
      <w:r w:rsidRPr="005C3655">
        <w:rPr>
          <w:lang w:val="en-US" w:eastAsia="en-US"/>
        </w:rPr>
        <w:t xml:space="preserve"> </w:t>
      </w:r>
      <w:proofErr w:type="spellStart"/>
      <w:r w:rsidRPr="005C3655">
        <w:rPr>
          <w:lang w:val="en-US" w:eastAsia="en-US"/>
        </w:rPr>
        <w:t>Umschau</w:t>
      </w:r>
      <w:proofErr w:type="spellEnd"/>
      <w:r w:rsidRPr="005C3655">
        <w:rPr>
          <w:lang w:val="en-US" w:eastAsia="en-US"/>
        </w:rPr>
        <w:t xml:space="preserve">. 2024;3. </w:t>
      </w:r>
    </w:p>
    <w:p w14:paraId="0857B4B3" w14:textId="77777777" w:rsidR="00531BD0" w:rsidRPr="005C3655" w:rsidRDefault="00531BD0" w:rsidP="00531BD0">
      <w:pPr>
        <w:pStyle w:val="Sources"/>
        <w:rPr>
          <w:lang w:val="en-US" w:eastAsia="en-US"/>
        </w:rPr>
      </w:pPr>
      <w:r w:rsidRPr="005C3655">
        <w:rPr>
          <w:lang w:val="en-US" w:eastAsia="en-US"/>
        </w:rPr>
        <w:t xml:space="preserve">30. Schakel AH. Multi-level governance in a ‘Europe with the regions.’ The British Journal of Politics and International Relations. SAGE Publications; </w:t>
      </w:r>
      <w:proofErr w:type="gramStart"/>
      <w:r w:rsidRPr="005C3655">
        <w:rPr>
          <w:lang w:val="en-US" w:eastAsia="en-US"/>
        </w:rPr>
        <w:t>2020;22:767</w:t>
      </w:r>
      <w:proofErr w:type="gramEnd"/>
      <w:r w:rsidRPr="005C3655">
        <w:rPr>
          <w:lang w:val="en-US" w:eastAsia="en-US"/>
        </w:rPr>
        <w:t>–75. https://doi.org/10.1177/1369148120937982</w:t>
      </w:r>
    </w:p>
    <w:p w14:paraId="27BBFD9D" w14:textId="77777777" w:rsidR="00531BD0" w:rsidRPr="005C3655" w:rsidRDefault="00531BD0" w:rsidP="00531BD0">
      <w:pPr>
        <w:pStyle w:val="Sources"/>
        <w:rPr>
          <w:lang w:val="en-US" w:eastAsia="en-US"/>
        </w:rPr>
      </w:pPr>
      <w:r w:rsidRPr="005C3655">
        <w:rPr>
          <w:lang w:val="en-US" w:eastAsia="en-US"/>
        </w:rPr>
        <w:t>31. Schütze R. Legislative Powers: Competences and Procedures. European Union Law [Internet]. Third Edition. Oxford, United Kingdom: Oxford University Press; 2021 [cited 2024 Oct 29]. https://books.google.de/books?hl=de&amp;lr=&amp;id=hNFAEAAAQBAJ&amp;oi=fnd&amp;pg=PP1&amp;dq=Competence+and+Decision-Making+in+the+European+Union&amp;ots=BdYbtZXdEj&amp;sig=xG_8833WSETC4-zsPaxfdyW6fRM#v=onepage&amp;q=Competence%20and%20Decision-Making%20in%20the%20European%20Union&amp;f=false. Accessed 29 Oct 2024</w:t>
      </w:r>
    </w:p>
    <w:p w14:paraId="71FD278E" w14:textId="77777777" w:rsidR="00531BD0" w:rsidRPr="005C3655" w:rsidRDefault="00531BD0" w:rsidP="00531BD0">
      <w:pPr>
        <w:pStyle w:val="Sources"/>
        <w:rPr>
          <w:lang w:val="en-US" w:eastAsia="en-US"/>
        </w:rPr>
      </w:pPr>
      <w:r w:rsidRPr="005C3655">
        <w:rPr>
          <w:lang w:val="en-US" w:eastAsia="en-US"/>
        </w:rPr>
        <w:t xml:space="preserve">32. Tabaszewski R. The role of local and regional authorities in prevention and control of NCDs: the case of Poland. BMC International Health and Human Rights. </w:t>
      </w:r>
      <w:proofErr w:type="gramStart"/>
      <w:r w:rsidRPr="005C3655">
        <w:rPr>
          <w:lang w:val="en-US" w:eastAsia="en-US"/>
        </w:rPr>
        <w:t>2020;20:17</w:t>
      </w:r>
      <w:proofErr w:type="gramEnd"/>
      <w:r w:rsidRPr="005C3655">
        <w:rPr>
          <w:lang w:val="en-US" w:eastAsia="en-US"/>
        </w:rPr>
        <w:t>. https://doi.org/10.1186/s12914-020-00238-8</w:t>
      </w:r>
    </w:p>
    <w:p w14:paraId="17E36348" w14:textId="77777777" w:rsidR="00531BD0" w:rsidRPr="005C3655" w:rsidRDefault="00531BD0" w:rsidP="00531BD0">
      <w:pPr>
        <w:pStyle w:val="Sources"/>
        <w:rPr>
          <w:lang w:val="en-US" w:eastAsia="en-US"/>
        </w:rPr>
      </w:pPr>
      <w:r w:rsidRPr="005C3655">
        <w:rPr>
          <w:lang w:val="en-US" w:eastAsia="en-US"/>
        </w:rPr>
        <w:t xml:space="preserve">33. </w:t>
      </w:r>
      <w:proofErr w:type="spellStart"/>
      <w:r w:rsidRPr="005C3655">
        <w:rPr>
          <w:lang w:val="en-US" w:eastAsia="en-US"/>
        </w:rPr>
        <w:t>Vandevijvere</w:t>
      </w:r>
      <w:proofErr w:type="spellEnd"/>
      <w:r w:rsidRPr="005C3655">
        <w:rPr>
          <w:lang w:val="en-US" w:eastAsia="en-US"/>
        </w:rPr>
        <w:t>, Swinburn B. INFORMAS PROTOCOL: PUBLIC SECTOR MODULE Healthy Food Environment Policy Index (Food-EPI) [Internet]. Auckland, New Zealand: INFORMAS, University of Auckland; 2017. https://figshare.com/articles/journal_contribution/INFORMAS_Protocol_Public_Sector_Module_-_Healthy_Food_Environment_Policy_Index_Food-EPI_/5673439?file=9920659</w:t>
      </w:r>
    </w:p>
    <w:p w14:paraId="25B8404D" w14:textId="09647BD4" w:rsidR="00531BD0" w:rsidRPr="005C3655" w:rsidRDefault="00531BD0" w:rsidP="00531BD0">
      <w:pPr>
        <w:pStyle w:val="Sources"/>
        <w:rPr>
          <w:lang w:val="en-US" w:eastAsia="en-US"/>
        </w:rPr>
      </w:pPr>
      <w:r w:rsidRPr="005C3655">
        <w:rPr>
          <w:lang w:val="en-US" w:eastAsia="en-US"/>
        </w:rPr>
        <w:t xml:space="preserve">34. </w:t>
      </w:r>
      <w:proofErr w:type="spellStart"/>
      <w:r w:rsidRPr="005C3655">
        <w:rPr>
          <w:lang w:val="en-US" w:eastAsia="en-US"/>
        </w:rPr>
        <w:t>Vaqué</w:t>
      </w:r>
      <w:proofErr w:type="spellEnd"/>
      <w:r w:rsidRPr="005C3655">
        <w:rPr>
          <w:lang w:val="en-US" w:eastAsia="en-US"/>
        </w:rPr>
        <w:t xml:space="preserve"> LG. Directive 2005/29/EC on Unfair Commercial Practices and its application to food-related consumer protection.</w:t>
      </w:r>
    </w:p>
    <w:p w14:paraId="0631F6C1" w14:textId="4D860F5A" w:rsidR="006D05B0" w:rsidRDefault="006D05B0" w:rsidP="00E75743">
      <w:pPr>
        <w:pStyle w:val="berschrift2"/>
      </w:pPr>
      <w:bookmarkStart w:id="31" w:name="_Toc221783973"/>
      <w:r>
        <w:t>Media publications</w:t>
      </w:r>
      <w:bookmarkEnd w:id="31"/>
    </w:p>
    <w:p w14:paraId="291D3BA9" w14:textId="77777777" w:rsidR="00E75743" w:rsidRDefault="00E75743" w:rsidP="00E75743">
      <w:pPr>
        <w:pStyle w:val="Sources"/>
      </w:pPr>
      <w:r w:rsidRPr="005C3655">
        <w:rPr>
          <w:lang w:val="en-US"/>
        </w:rPr>
        <w:t xml:space="preserve">1. Pascoe R. Utrecht joins move to ban adverts for meat from bus stops [Internet]. DutchNews.nl. 2023 [cited 2024 Mar 19]. https://www.dutchnews.nl/2023/11/utrecht-joins-move-to-ban-adverts-for-meat-from-bus-stops/. </w:t>
      </w:r>
      <w:proofErr w:type="spellStart"/>
      <w:r>
        <w:t>Accessed</w:t>
      </w:r>
      <w:proofErr w:type="spellEnd"/>
      <w:r>
        <w:t xml:space="preserve"> 19 Mar 2024</w:t>
      </w:r>
    </w:p>
    <w:p w14:paraId="61869A49" w14:textId="77777777" w:rsidR="00E75743" w:rsidRDefault="00E75743" w:rsidP="00E75743">
      <w:pPr>
        <w:pStyle w:val="Sources"/>
      </w:pPr>
      <w:r>
        <w:t xml:space="preserve">2. Süddeutsche Zeitung. Kalorienangaben: Vom Tauziehen um die Speisekarte [Internet]. </w:t>
      </w:r>
      <w:r w:rsidRPr="005C3655">
        <w:rPr>
          <w:lang w:val="en-US"/>
        </w:rPr>
        <w:t xml:space="preserve">Süddeutsche.de. 2022 [cited 2024 Jan 22]. https://www.sueddeutsche.de/leben/gesellschaft-kalorienangaben-vom-tauziehen-um-die-speisekarte-dpa.urn-newsml-dpa-com-20090101-220426-99-47796. </w:t>
      </w:r>
      <w:proofErr w:type="spellStart"/>
      <w:r>
        <w:t>Accessed</w:t>
      </w:r>
      <w:proofErr w:type="spellEnd"/>
      <w:r>
        <w:t xml:space="preserve"> 22 Jan 2024</w:t>
      </w:r>
    </w:p>
    <w:p w14:paraId="03D9BED6" w14:textId="77777777" w:rsidR="00E75743" w:rsidRPr="005C3655" w:rsidRDefault="00E75743" w:rsidP="00E75743">
      <w:pPr>
        <w:pStyle w:val="Sources"/>
        <w:rPr>
          <w:lang w:val="en-US"/>
        </w:rPr>
      </w:pPr>
      <w:r>
        <w:t xml:space="preserve">3. Unser Schulessen. Qualität messen [Internet]. Qualität messen | unser Schulessen. </w:t>
      </w:r>
      <w:r w:rsidRPr="005C3655">
        <w:rPr>
          <w:lang w:val="en-US"/>
        </w:rPr>
        <w:t>Helliwood media &amp; education; 2024 [cited 2024 Jan 12]. http://www.unser-schulessen.de/Qualitaet/39_Qualitaet_messen.htm. Accessed 12 Jan 2024</w:t>
      </w:r>
    </w:p>
    <w:p w14:paraId="79609F32" w14:textId="537AC2D3" w:rsidR="006F464F" w:rsidRPr="005C3655" w:rsidRDefault="00E75743" w:rsidP="00E75743">
      <w:pPr>
        <w:pStyle w:val="Sources"/>
        <w:rPr>
          <w:lang w:val="en-US"/>
        </w:rPr>
      </w:pPr>
      <w:r>
        <w:t xml:space="preserve">4. Unser Schulessen H media &amp;. Über uns [Internet]. </w:t>
      </w:r>
      <w:proofErr w:type="spellStart"/>
      <w:r w:rsidRPr="005C3655">
        <w:rPr>
          <w:lang w:val="en-US"/>
        </w:rPr>
        <w:t>Über</w:t>
      </w:r>
      <w:proofErr w:type="spellEnd"/>
      <w:r w:rsidRPr="005C3655">
        <w:rPr>
          <w:lang w:val="en-US"/>
        </w:rPr>
        <w:t xml:space="preserve"> </w:t>
      </w:r>
      <w:proofErr w:type="spellStart"/>
      <w:r w:rsidRPr="005C3655">
        <w:rPr>
          <w:lang w:val="en-US"/>
        </w:rPr>
        <w:t>uns</w:t>
      </w:r>
      <w:proofErr w:type="spellEnd"/>
      <w:r w:rsidRPr="005C3655">
        <w:rPr>
          <w:lang w:val="en-US"/>
        </w:rPr>
        <w:t xml:space="preserve"> | </w:t>
      </w:r>
      <w:proofErr w:type="spellStart"/>
      <w:r w:rsidRPr="005C3655">
        <w:rPr>
          <w:lang w:val="en-US"/>
        </w:rPr>
        <w:t>unser</w:t>
      </w:r>
      <w:proofErr w:type="spellEnd"/>
      <w:r w:rsidRPr="005C3655">
        <w:rPr>
          <w:lang w:val="en-US"/>
        </w:rPr>
        <w:t xml:space="preserve"> </w:t>
      </w:r>
      <w:proofErr w:type="spellStart"/>
      <w:r w:rsidRPr="005C3655">
        <w:rPr>
          <w:lang w:val="en-US"/>
        </w:rPr>
        <w:t>Schulessen</w:t>
      </w:r>
      <w:proofErr w:type="spellEnd"/>
      <w:r w:rsidRPr="005C3655">
        <w:rPr>
          <w:lang w:val="en-US"/>
        </w:rPr>
        <w:t>. Helliwood media &amp; education; 2024 [cited 2024 Jan 12]. http://www.unser-schulessen.de/Ueber_uns/19_Ueber_uns.htm. Accessed 12 Jan 2024</w:t>
      </w:r>
    </w:p>
    <w:p w14:paraId="4FCB2515" w14:textId="526B185D" w:rsidR="006A178E" w:rsidRDefault="006D05B0" w:rsidP="00E75743">
      <w:pPr>
        <w:pStyle w:val="berschrift2"/>
      </w:pPr>
      <w:bookmarkStart w:id="32" w:name="_Toc221783974"/>
      <w:r w:rsidRPr="006A178E">
        <w:t>Communications by civil society and professional organisations</w:t>
      </w:r>
      <w:bookmarkEnd w:id="32"/>
    </w:p>
    <w:p w14:paraId="1F57B7ED" w14:textId="77777777" w:rsidR="00E75743" w:rsidRDefault="00E75743" w:rsidP="00E75743">
      <w:pPr>
        <w:pStyle w:val="Sources"/>
      </w:pPr>
      <w:r>
        <w:t>1. Ahr J, Hartung K, Kapp F, Knöchlein L, Kugel L, Seitz C. Projektabschlussbericht „Tafel is(s)t gesund und nachhaltig“ [Internet]. Berlin: Bildungsakademie der Tafel Deutschland gGmbH; 2024 June. https://www.tafel-akademie.de/fileadmin/website/Fotos/Tafel-Akademie/Projekte/Tafel_isst_gesund/2024-06-27_Abschlusspublikation_TIG.pdf. Accessed 27 May 2025</w:t>
      </w:r>
    </w:p>
    <w:p w14:paraId="0337B25A" w14:textId="77777777" w:rsidR="00E75743" w:rsidRDefault="00E75743" w:rsidP="00E75743">
      <w:pPr>
        <w:pStyle w:val="Sources"/>
      </w:pPr>
      <w:r>
        <w:lastRenderedPageBreak/>
        <w:t xml:space="preserve">2. Federation of German Consumer Organisations (Verbraucherzentrale Bundesverband e.V.). Sicher, Gesund, Verbraucherfreundlich. Berlin: Verbraucherzentrale Bundesverband e.V.; 2019 Jan. </w:t>
      </w:r>
    </w:p>
    <w:p w14:paraId="0AC1E377" w14:textId="77777777" w:rsidR="00E75743" w:rsidRPr="005C3655" w:rsidRDefault="00E75743" w:rsidP="00E75743">
      <w:pPr>
        <w:pStyle w:val="Sources"/>
        <w:rPr>
          <w:lang w:val="en-US"/>
        </w:rPr>
      </w:pPr>
      <w:r>
        <w:t xml:space="preserve">3. Grupp K, Stelkens U. Ladenöffnungsgesetze der Länder [Internet]. </w:t>
      </w:r>
      <w:proofErr w:type="spellStart"/>
      <w:r w:rsidRPr="005C3655">
        <w:rPr>
          <w:lang w:val="en-US"/>
        </w:rPr>
        <w:t>Saarheim</w:t>
      </w:r>
      <w:proofErr w:type="spellEnd"/>
      <w:r w:rsidRPr="005C3655">
        <w:rPr>
          <w:lang w:val="en-US"/>
        </w:rPr>
        <w:t>. 2023 [cited 2023 Dec 13]. https://www.saarheim.de/Gesetze_Laender/loeg_laender.htm. Accessed 13 Dec 2023</w:t>
      </w:r>
    </w:p>
    <w:p w14:paraId="4B400B9F" w14:textId="77777777" w:rsidR="00E75743" w:rsidRPr="005C3655" w:rsidRDefault="00E75743" w:rsidP="00E75743">
      <w:pPr>
        <w:pStyle w:val="Sources"/>
        <w:rPr>
          <w:lang w:val="en-US"/>
        </w:rPr>
      </w:pPr>
      <w:r>
        <w:t xml:space="preserve">4. Grupp K, Stelkens U. Informationsfreiheitsrecht [Internet]. </w:t>
      </w:r>
      <w:proofErr w:type="spellStart"/>
      <w:r w:rsidRPr="005C3655">
        <w:rPr>
          <w:lang w:val="en-US"/>
        </w:rPr>
        <w:t>Saarheim</w:t>
      </w:r>
      <w:proofErr w:type="spellEnd"/>
      <w:r w:rsidRPr="005C3655">
        <w:rPr>
          <w:lang w:val="en-US"/>
        </w:rPr>
        <w:t>. 2024 [cited 2024 Jan 12]. https://www.saarheim.de/Gesetze_Laender/ifg-uig-laender.htm. Accessed 12 Jan 2024</w:t>
      </w:r>
    </w:p>
    <w:p w14:paraId="730AB6DB" w14:textId="77777777" w:rsidR="00E75743" w:rsidRDefault="00E75743" w:rsidP="00E75743">
      <w:pPr>
        <w:pStyle w:val="Sources"/>
      </w:pPr>
      <w:r>
        <w:t xml:space="preserve">5. Heinrich Böll Foundation. Ladenöffnungszeiten [Internet]. </w:t>
      </w:r>
      <w:proofErr w:type="spellStart"/>
      <w:r w:rsidRPr="005C3655">
        <w:rPr>
          <w:lang w:val="en-US"/>
        </w:rPr>
        <w:t>KommunalWiki</w:t>
      </w:r>
      <w:proofErr w:type="spellEnd"/>
      <w:r w:rsidRPr="005C3655">
        <w:rPr>
          <w:lang w:val="en-US"/>
        </w:rPr>
        <w:t xml:space="preserve">. 2023 [cited 2023 Dec 13]. https://kommunalwiki.boell.de/index.php/Laden%C3%B6ffnungszeiten. </w:t>
      </w:r>
      <w:proofErr w:type="spellStart"/>
      <w:r>
        <w:t>Accessed</w:t>
      </w:r>
      <w:proofErr w:type="spellEnd"/>
      <w:r>
        <w:t xml:space="preserve"> 13 </w:t>
      </w:r>
      <w:proofErr w:type="spellStart"/>
      <w:r>
        <w:t>Dec</w:t>
      </w:r>
      <w:proofErr w:type="spellEnd"/>
      <w:r>
        <w:t xml:space="preserve"> 2023</w:t>
      </w:r>
    </w:p>
    <w:p w14:paraId="7D15D3E2" w14:textId="77777777" w:rsidR="00E75743" w:rsidRPr="005C3655" w:rsidRDefault="00E75743" w:rsidP="00E75743">
      <w:pPr>
        <w:pStyle w:val="Sources"/>
        <w:rPr>
          <w:lang w:val="en-US"/>
        </w:rPr>
      </w:pPr>
      <w:r>
        <w:t xml:space="preserve">6. Industrie- und Handelskammer. Infoblatt zur Kennzeichnung von Lebensmitteln im Gastgewerbe [Internet]. </w:t>
      </w:r>
      <w:r w:rsidRPr="005C3655">
        <w:rPr>
          <w:lang w:val="en-US"/>
        </w:rPr>
        <w:t>2017 [cited 2024 Apr 8]. https://www.ihk.de/blueprint/servlet/resource/blob/5567202/5608813a6fb6d0649b7c17d353c5e9d2/kennzeichnung-von-lebensmitteln-im-gastgewerbe-data.pdf. Accessed 8 Apr 2024</w:t>
      </w:r>
    </w:p>
    <w:p w14:paraId="496E8DB2" w14:textId="77777777" w:rsidR="00E75743" w:rsidRPr="005C3655" w:rsidRDefault="00E75743" w:rsidP="00E75743">
      <w:pPr>
        <w:pStyle w:val="Sources"/>
        <w:rPr>
          <w:lang w:val="en-US"/>
        </w:rPr>
      </w:pPr>
      <w:r>
        <w:t xml:space="preserve">7. Kantine Zukunft Brandenburg. Startseite [Internet]. </w:t>
      </w:r>
      <w:r w:rsidRPr="005C3655">
        <w:rPr>
          <w:lang w:val="en-US"/>
        </w:rPr>
        <w:t>2023 [cited 2023 Dec 12]. https://kantine-zukunft-brandenburg.de/. Accessed 12 Dec 2023</w:t>
      </w:r>
    </w:p>
    <w:p w14:paraId="313EC499" w14:textId="77777777" w:rsidR="00E75743" w:rsidRDefault="00E75743" w:rsidP="00E75743">
      <w:pPr>
        <w:pStyle w:val="Sources"/>
      </w:pPr>
      <w:r w:rsidRPr="005C3655">
        <w:rPr>
          <w:lang w:val="en-US"/>
        </w:rPr>
        <w:t xml:space="preserve">8. Partnership for Healthy Cities. About Us [Internet]. Partnership for Healthy Cities. </w:t>
      </w:r>
      <w:r>
        <w:t>2024 [</w:t>
      </w:r>
      <w:proofErr w:type="spellStart"/>
      <w:r>
        <w:t>cited</w:t>
      </w:r>
      <w:proofErr w:type="spellEnd"/>
      <w:r>
        <w:t xml:space="preserve"> 2024 Nov 12]. https://cities4health.org/about-us. Accessed 12 Nov 2024</w:t>
      </w:r>
    </w:p>
    <w:p w14:paraId="500900BE" w14:textId="77777777" w:rsidR="00E75743" w:rsidRPr="005C3655" w:rsidRDefault="00E75743" w:rsidP="00E75743">
      <w:pPr>
        <w:pStyle w:val="Sources"/>
        <w:rPr>
          <w:lang w:val="en-US"/>
        </w:rPr>
      </w:pPr>
      <w:r>
        <w:t xml:space="preserve">9. Plattform Ernährung und Bewegung e.V. (pep). Herzlich Willkommen bei der Plattform Ernährung und Bewegung [Internet]. </w:t>
      </w:r>
      <w:r w:rsidRPr="005C3655">
        <w:rPr>
          <w:lang w:val="en-US"/>
        </w:rPr>
        <w:t>2024 [cited 2024 Jan 12]. https://www.pebonline.de/peb-ggmbh/. Accessed 12 Jan 2024</w:t>
      </w:r>
    </w:p>
    <w:p w14:paraId="63946D94" w14:textId="046E46BA" w:rsidR="00521FDF" w:rsidRPr="00E75743" w:rsidRDefault="00E75743" w:rsidP="00E75743">
      <w:pPr>
        <w:pStyle w:val="Sources"/>
      </w:pPr>
      <w:r w:rsidRPr="005C3655">
        <w:rPr>
          <w:lang w:val="en-US"/>
        </w:rPr>
        <w:t xml:space="preserve">10. </w:t>
      </w:r>
      <w:proofErr w:type="spellStart"/>
      <w:r w:rsidRPr="005C3655">
        <w:rPr>
          <w:lang w:val="en-US"/>
        </w:rPr>
        <w:t>spiritsEUROPE</w:t>
      </w:r>
      <w:proofErr w:type="spellEnd"/>
      <w:r w:rsidRPr="005C3655">
        <w:rPr>
          <w:lang w:val="en-US"/>
        </w:rPr>
        <w:t xml:space="preserve">. Safeguarding the EU Single Market: </w:t>
      </w:r>
      <w:proofErr w:type="spellStart"/>
      <w:r w:rsidRPr="005C3655">
        <w:rPr>
          <w:lang w:val="en-US"/>
        </w:rPr>
        <w:t>spiritsEUROPE</w:t>
      </w:r>
      <w:proofErr w:type="spellEnd"/>
      <w:r w:rsidRPr="005C3655">
        <w:rPr>
          <w:lang w:val="en-US"/>
        </w:rPr>
        <w:t xml:space="preserve"> calls for investigation into the Irish new alcoholic beverages labelling rules [Internet]. 2023 [cited 2025 Apr 8]. https://spirits.eu/media/press-releases/safeguarding-the-eu-single-market-spiritseurope-calls-for-investigation-into-the-irish-new-alcoholic-beverages-labelling-rules-1. </w:t>
      </w:r>
      <w:proofErr w:type="spellStart"/>
      <w:r>
        <w:t>Accessed</w:t>
      </w:r>
      <w:proofErr w:type="spellEnd"/>
      <w:r>
        <w:t xml:space="preserve"> 8 Apr 2025</w:t>
      </w:r>
      <w:r w:rsidR="00521FDF">
        <w:br w:type="page"/>
      </w:r>
    </w:p>
    <w:p w14:paraId="26747870" w14:textId="6153B6B0" w:rsidR="00197709" w:rsidRDefault="00754C7B" w:rsidP="00A372B1">
      <w:pPr>
        <w:pStyle w:val="berschrift1"/>
        <w:ind w:left="709"/>
      </w:pPr>
      <w:bookmarkStart w:id="33" w:name="_Toc221783975"/>
      <w:r w:rsidRPr="00FC2735">
        <w:lastRenderedPageBreak/>
        <w:t xml:space="preserve">Distribution of </w:t>
      </w:r>
      <w:r w:rsidR="00A43328">
        <w:t xml:space="preserve">competences and </w:t>
      </w:r>
      <w:r w:rsidRPr="00FC2735">
        <w:t>legislative powers</w:t>
      </w:r>
      <w:bookmarkEnd w:id="33"/>
      <w:r w:rsidRPr="00FC2735">
        <w:t xml:space="preserve"> </w:t>
      </w:r>
      <w:bookmarkEnd w:id="29"/>
    </w:p>
    <w:p w14:paraId="017AE3FE" w14:textId="56D5F979" w:rsidR="00823AB3" w:rsidRPr="00823AB3" w:rsidRDefault="00823AB3" w:rsidP="00823AB3">
      <w:pPr>
        <w:pStyle w:val="berschrift2"/>
        <w:numPr>
          <w:ilvl w:val="0"/>
          <w:numId w:val="85"/>
        </w:numPr>
      </w:pPr>
      <w:bookmarkStart w:id="34" w:name="_Toc221783976"/>
      <w:r w:rsidRPr="00567313">
        <w:t xml:space="preserve">General distribution of competences and </w:t>
      </w:r>
      <w:r>
        <w:t>legislative powers</w:t>
      </w:r>
      <w:bookmarkEnd w:id="34"/>
    </w:p>
    <w:p w14:paraId="45E16070" w14:textId="77777777" w:rsidR="00823AB3" w:rsidRDefault="00EE5401" w:rsidP="00823AB3">
      <w:pPr>
        <w:spacing w:after="120"/>
      </w:pPr>
      <w:r w:rsidRPr="008B0C5D">
        <w:t>Competence hereby describes authority for policy making at the EU level and legislative powers describe authorities at the national and state level. We reference municipal powers in areas where they hold relevant authority, however, due to the heterogeneity of state-level laws specifying municipal autonomy in Germany, we did not study their powers in detail.</w:t>
      </w:r>
    </w:p>
    <w:p w14:paraId="7C26D0E5" w14:textId="5EC86D00" w:rsidR="00823AB3" w:rsidRDefault="00823AB3" w:rsidP="00823AB3">
      <w:pPr>
        <w:spacing w:after="120"/>
      </w:pPr>
      <w:r>
        <w:t xml:space="preserve">The European Treaties – namely the Treaty on European Union (TEU) and </w:t>
      </w:r>
      <w:r w:rsidRPr="00BF007D">
        <w:t>the Treaty on the Functioning of the European Union (TFEU)</w:t>
      </w:r>
      <w:r>
        <w:t xml:space="preserve"> – define the distribution of competences between the EU and its Member States. The EU may only act “within the limits of the competences conferred upon it by the Member States in the Treaties to attain the objectives set out therein.” (Art. 5 (2) TEU). This implies that the EU can legislate solely in areas where competences have been explicitly granted and only for the purposes specified in the Treaties. Moreover, </w:t>
      </w:r>
      <w:r w:rsidRPr="00BF007D">
        <w:t xml:space="preserve">EU law is “blind” to the internal distribution of </w:t>
      </w:r>
      <w:r>
        <w:t>legislative powers</w:t>
      </w:r>
      <w:r w:rsidRPr="00BF007D">
        <w:t xml:space="preserve"> </w:t>
      </w:r>
      <w:r>
        <w:t>within</w:t>
      </w:r>
      <w:r w:rsidRPr="00BF007D">
        <w:t xml:space="preserve"> a </w:t>
      </w:r>
      <w:r>
        <w:t>M</w:t>
      </w:r>
      <w:r w:rsidRPr="00BF007D">
        <w:t xml:space="preserve">ember </w:t>
      </w:r>
      <w:r>
        <w:t>S</w:t>
      </w:r>
      <w:r w:rsidRPr="00BF007D">
        <w:t>tate</w:t>
      </w:r>
      <w:r>
        <w:t xml:space="preserve">, meaning that EU rules and obligations apply uniformly to the Member States as a whole and thereby shape </w:t>
      </w:r>
      <w:r w:rsidRPr="00BF007D">
        <w:t xml:space="preserve">the scope of action </w:t>
      </w:r>
      <w:r>
        <w:t xml:space="preserve">for both </w:t>
      </w:r>
      <w:r w:rsidRPr="00BF007D">
        <w:t>national and sub-national governments.</w:t>
      </w:r>
      <w:r>
        <w:t xml:space="preserve"> The EU Treaties grant the Union very limited explicit competences in public health (see Supporting competence in </w:t>
      </w:r>
      <w:r>
        <w:fldChar w:fldCharType="begin"/>
      </w:r>
      <w:r>
        <w:instrText xml:space="preserve"> REF _Ref215660419 \h </w:instrText>
      </w:r>
      <w:r>
        <w:fldChar w:fldCharType="separate"/>
      </w:r>
      <w:r w:rsidR="007B5A5F">
        <w:t xml:space="preserve">Table </w:t>
      </w:r>
      <w:r w:rsidR="007B5A5F">
        <w:rPr>
          <w:noProof/>
        </w:rPr>
        <w:t>8</w:t>
      </w:r>
      <w:r>
        <w:fldChar w:fldCharType="end"/>
      </w:r>
      <w:r>
        <w:t xml:space="preserve">), however other competences, most notably the internal market competence (Art. 114 TFEU) highly influence food environment policies </w:t>
      </w:r>
      <w:r>
        <w:fldChar w:fldCharType="begin"/>
      </w:r>
      <w:r w:rsidR="00216423">
        <w:instrText xml:space="preserve"> ADDIN ZOTERO_ITEM CSL_CITATION {"citationID":"a1j82d1n603","properties":{"formattedCitation":"[6]","plainCitation":"[6]","noteIndex":0},"citationItems":[{"id":5931,"uris":["http://zotero.org/users/5617569/items/MGFD5DKL"],"itemData":{"id":5931,"type":"article-journal","abstract":"Non-communicable diseases account for nearly 86percent of deaths and 77percent of the disease burden in Europe. In light of these worrying trends, the European Union has started to develop a range of policies intended to encourage healthier lifestyles, and in particular to reduce smoking, to combat the harmful use of alcohol and to promote healthier diets and physical activity. This article attempts to systematize the common themes emerging between these policies and place lifestyle risk regulation more firmly on the EU agenda. It demonstrates that, besides the inherent complexity of this emerging field of EU studies, which requires a coordinated multi-sectoral response, the very nature of the EU itself gives rise to additional issues around roles, obligations and rights. We conclude that the EU should reflect more systematically upon the coherence, the effectiveness and the limits of its embryonic lifestyle risk policy, and that it should do so in light of the Global Action Plan on the Control and Prevention of Non-Communicable Diseases for 2013-2020, unanimously adopted in May at the last World Health Assembly.","container-title":"Common Market Law Review","DOI":"10.54648/COLA2013165","ISSN":"0165-0750","issue":"Issue 6","journalAbbreviation":"COLA","language":"en","page":"1745-1786","source":"DOI.org (Crossref)","title":"The emergence of an EU lifestyle policy: The case of alcohol, tobacco and unhealthy diets","title-short":"The emergence of an EU lifestyle policy","volume":"50","author":[{"family":"Alemanno","given":"Alberto"},{"family":"Garde","given":"Amandine"}],"issued":{"date-parts":[["2013",12,1]]}}}],"schema":"https://github.com/citation-style-language/schema/raw/master/csl-citation.json"} </w:instrText>
      </w:r>
      <w:r>
        <w:fldChar w:fldCharType="separate"/>
      </w:r>
      <w:r w:rsidR="00216423">
        <w:rPr>
          <w:rFonts w:eastAsiaTheme="minorHAnsi"/>
          <w:lang w:val="de-DE"/>
        </w:rPr>
        <w:t>[6]</w:t>
      </w:r>
      <w:r>
        <w:fldChar w:fldCharType="end"/>
      </w:r>
      <w:r>
        <w:t xml:space="preserve">. </w:t>
      </w:r>
    </w:p>
    <w:p w14:paraId="19C8F6F7" w14:textId="11742E92" w:rsidR="00BC3433" w:rsidRDefault="00BC3433" w:rsidP="00BC3433">
      <w:pPr>
        <w:pStyle w:val="Beschriftung"/>
      </w:pPr>
      <w:bookmarkStart w:id="35" w:name="_Ref215660419"/>
      <w:bookmarkStart w:id="36" w:name="_Toc222325232"/>
      <w:r>
        <w:t xml:space="preserve">Table </w:t>
      </w:r>
      <w:r>
        <w:fldChar w:fldCharType="begin"/>
      </w:r>
      <w:r>
        <w:instrText xml:space="preserve"> SEQ Table \* ARABIC </w:instrText>
      </w:r>
      <w:r>
        <w:fldChar w:fldCharType="separate"/>
      </w:r>
      <w:r w:rsidR="00901762">
        <w:rPr>
          <w:noProof/>
        </w:rPr>
        <w:t>8</w:t>
      </w:r>
      <w:r>
        <w:fldChar w:fldCharType="end"/>
      </w:r>
      <w:bookmarkEnd w:id="35"/>
      <w:r>
        <w:t xml:space="preserve"> </w:t>
      </w:r>
      <w:r w:rsidRPr="00CD17A1">
        <w:t>Simplified overview</w:t>
      </w:r>
      <w:r>
        <w:t>: European Union</w:t>
      </w:r>
      <w:r>
        <w:rPr>
          <w:noProof/>
        </w:rPr>
        <w:t xml:space="preserve"> competences</w:t>
      </w:r>
      <w:bookmarkEnd w:id="36"/>
    </w:p>
    <w:tbl>
      <w:tblPr>
        <w:tblStyle w:val="TabellemithellemGitternetz"/>
        <w:tblW w:w="0" w:type="auto"/>
        <w:tblLook w:val="04A0" w:firstRow="1" w:lastRow="0" w:firstColumn="1" w:lastColumn="0" w:noHBand="0" w:noVBand="1"/>
      </w:tblPr>
      <w:tblGrid>
        <w:gridCol w:w="1293"/>
        <w:gridCol w:w="5918"/>
        <w:gridCol w:w="2865"/>
      </w:tblGrid>
      <w:tr w:rsidR="00BC3433" w:rsidRPr="000D515D" w14:paraId="43470EAD" w14:textId="77777777" w:rsidTr="00E67C31">
        <w:trPr>
          <w:trHeight w:val="283"/>
          <w:tblHeader/>
        </w:trPr>
        <w:tc>
          <w:tcPr>
            <w:tcW w:w="0" w:type="auto"/>
            <w:shd w:val="clear" w:color="auto" w:fill="F2F2F2" w:themeFill="background1" w:themeFillShade="F2"/>
          </w:tcPr>
          <w:p w14:paraId="4DB713B5" w14:textId="77777777" w:rsidR="00BC3433" w:rsidRPr="000D515D" w:rsidRDefault="00BC3433" w:rsidP="007B5A5F">
            <w:pPr>
              <w:pStyle w:val="Tabelle-berschrift"/>
              <w:rPr>
                <w:lang w:val="de-DE"/>
              </w:rPr>
            </w:pPr>
          </w:p>
        </w:tc>
        <w:tc>
          <w:tcPr>
            <w:tcW w:w="0" w:type="auto"/>
            <w:gridSpan w:val="2"/>
            <w:shd w:val="clear" w:color="auto" w:fill="F2F2F2" w:themeFill="background1" w:themeFillShade="F2"/>
            <w:noWrap/>
            <w:hideMark/>
          </w:tcPr>
          <w:p w14:paraId="037BE684" w14:textId="2CC78CEF" w:rsidR="00BC3433" w:rsidRPr="00BC3433" w:rsidRDefault="00BC3433" w:rsidP="007B5A5F">
            <w:pPr>
              <w:pStyle w:val="Tabelle-berschrift"/>
            </w:pPr>
            <w:r w:rsidRPr="00BC3433">
              <w:t xml:space="preserve">Definitions and examples </w:t>
            </w:r>
          </w:p>
        </w:tc>
      </w:tr>
      <w:tr w:rsidR="00BC3433" w:rsidRPr="000D515D" w14:paraId="7A7648F0" w14:textId="77777777" w:rsidTr="007B5A5F">
        <w:trPr>
          <w:trHeight w:val="283"/>
        </w:trPr>
        <w:tc>
          <w:tcPr>
            <w:tcW w:w="0" w:type="auto"/>
          </w:tcPr>
          <w:p w14:paraId="180AC995" w14:textId="77777777" w:rsidR="00BC3433" w:rsidRPr="000D515D" w:rsidRDefault="00BC3433" w:rsidP="00AB7100">
            <w:pPr>
              <w:pStyle w:val="Tabelle-Text"/>
              <w:rPr>
                <w:b/>
                <w:bCs w:val="0"/>
              </w:rPr>
            </w:pPr>
            <w:r>
              <w:rPr>
                <w:b/>
                <w:bCs w:val="0"/>
              </w:rPr>
              <w:t>Treaties</w:t>
            </w:r>
          </w:p>
        </w:tc>
        <w:tc>
          <w:tcPr>
            <w:tcW w:w="0" w:type="auto"/>
            <w:gridSpan w:val="2"/>
            <w:noWrap/>
            <w:hideMark/>
          </w:tcPr>
          <w:p w14:paraId="70E41E96" w14:textId="77777777" w:rsidR="00BC3433" w:rsidRPr="000D515D" w:rsidRDefault="00BC3433" w:rsidP="00AB7100">
            <w:pPr>
              <w:pStyle w:val="Tabelle-Text"/>
            </w:pPr>
            <w:r w:rsidRPr="000D515D">
              <w:t>The Treaties (the Treaty on European Union (TEU) and the Treaty on the Functioning of the European Union (TFEU))</w:t>
            </w:r>
          </w:p>
        </w:tc>
      </w:tr>
      <w:tr w:rsidR="007B5A5F" w:rsidRPr="000D515D" w14:paraId="2B41BEAC" w14:textId="77777777" w:rsidTr="006F4FCA">
        <w:trPr>
          <w:trHeight w:val="283"/>
        </w:trPr>
        <w:tc>
          <w:tcPr>
            <w:tcW w:w="0" w:type="auto"/>
            <w:gridSpan w:val="3"/>
          </w:tcPr>
          <w:p w14:paraId="73C6C35D" w14:textId="42B7F15A" w:rsidR="007B5A5F" w:rsidRPr="000D515D" w:rsidRDefault="007B5A5F" w:rsidP="00AB7100">
            <w:pPr>
              <w:pStyle w:val="Tabelle-Text"/>
              <w:rPr>
                <w:b/>
                <w:bCs w:val="0"/>
              </w:rPr>
            </w:pPr>
            <w:r w:rsidRPr="000D515D">
              <w:rPr>
                <w:b/>
                <w:bCs w:val="0"/>
              </w:rPr>
              <w:t>Principles</w:t>
            </w:r>
          </w:p>
        </w:tc>
      </w:tr>
      <w:tr w:rsidR="00BC3433" w:rsidRPr="000D515D" w14:paraId="025C000A" w14:textId="77777777" w:rsidTr="007B5A5F">
        <w:trPr>
          <w:trHeight w:val="464"/>
        </w:trPr>
        <w:tc>
          <w:tcPr>
            <w:tcW w:w="0" w:type="auto"/>
          </w:tcPr>
          <w:p w14:paraId="143C97F1" w14:textId="77777777" w:rsidR="00BC3433" w:rsidRPr="00160C64" w:rsidRDefault="00BC3433" w:rsidP="00AB7100">
            <w:pPr>
              <w:pStyle w:val="Tabelle-Text"/>
            </w:pPr>
            <w:r w:rsidRPr="00160C64">
              <w:t>Subsidiarity</w:t>
            </w:r>
          </w:p>
        </w:tc>
        <w:tc>
          <w:tcPr>
            <w:tcW w:w="0" w:type="auto"/>
            <w:gridSpan w:val="2"/>
            <w:hideMark/>
          </w:tcPr>
          <w:p w14:paraId="739DA8A7" w14:textId="3009962F" w:rsidR="00BC3433" w:rsidRPr="000D515D" w:rsidRDefault="00BC3433" w:rsidP="00AB7100">
            <w:pPr>
              <w:pStyle w:val="Tabelle-Text"/>
            </w:pPr>
            <w:r w:rsidRPr="000D515D">
              <w:t xml:space="preserve">EU may only act if </w:t>
            </w:r>
            <w:r w:rsidR="007B5A5F">
              <w:t xml:space="preserve">a </w:t>
            </w:r>
            <w:r w:rsidRPr="000D515D">
              <w:t xml:space="preserve">policies’ objectives can better be achieved at the EU than at the </w:t>
            </w:r>
            <w:r w:rsidR="007B5A5F">
              <w:t>Member State</w:t>
            </w:r>
            <w:r w:rsidRPr="000D515D">
              <w:t xml:space="preserve"> level (Art. 5(3) TEU)</w:t>
            </w:r>
          </w:p>
        </w:tc>
      </w:tr>
      <w:tr w:rsidR="00BC3433" w:rsidRPr="000D515D" w14:paraId="64A536B3" w14:textId="77777777" w:rsidTr="007B5A5F">
        <w:trPr>
          <w:trHeight w:val="463"/>
        </w:trPr>
        <w:tc>
          <w:tcPr>
            <w:tcW w:w="0" w:type="auto"/>
          </w:tcPr>
          <w:p w14:paraId="1E7A2C5E" w14:textId="77777777" w:rsidR="00BC3433" w:rsidRPr="00160C64" w:rsidRDefault="00BC3433" w:rsidP="00AB7100">
            <w:pPr>
              <w:pStyle w:val="Tabelle-Text"/>
            </w:pPr>
            <w:r w:rsidRPr="00160C64">
              <w:t>Proportionality</w:t>
            </w:r>
          </w:p>
        </w:tc>
        <w:tc>
          <w:tcPr>
            <w:tcW w:w="0" w:type="auto"/>
            <w:gridSpan w:val="2"/>
          </w:tcPr>
          <w:p w14:paraId="5004D67C" w14:textId="77777777" w:rsidR="00BC3433" w:rsidRPr="000D515D" w:rsidRDefault="00BC3433" w:rsidP="00AB7100">
            <w:pPr>
              <w:pStyle w:val="Tabelle-Text"/>
              <w:rPr>
                <w:b/>
                <w:bCs w:val="0"/>
              </w:rPr>
            </w:pPr>
            <w:r w:rsidRPr="000D515D">
              <w:t>EU action is limited to actions necessary to achieve EU objectives (Art. 5(4) TEU):</w:t>
            </w:r>
          </w:p>
        </w:tc>
      </w:tr>
      <w:tr w:rsidR="00BC3433" w:rsidRPr="000D515D" w14:paraId="2B9E7E99" w14:textId="77777777" w:rsidTr="007B5A5F">
        <w:trPr>
          <w:trHeight w:val="463"/>
        </w:trPr>
        <w:tc>
          <w:tcPr>
            <w:tcW w:w="0" w:type="auto"/>
          </w:tcPr>
          <w:p w14:paraId="31306132" w14:textId="77777777" w:rsidR="00BC3433" w:rsidRPr="00160C64" w:rsidRDefault="00BC3433" w:rsidP="00AB7100">
            <w:pPr>
              <w:pStyle w:val="Tabelle-Text"/>
            </w:pPr>
            <w:r w:rsidRPr="00160C64">
              <w:t>Conferral</w:t>
            </w:r>
          </w:p>
        </w:tc>
        <w:tc>
          <w:tcPr>
            <w:tcW w:w="0" w:type="auto"/>
            <w:gridSpan w:val="2"/>
          </w:tcPr>
          <w:p w14:paraId="280D91C8" w14:textId="609C683C" w:rsidR="00BC3433" w:rsidRPr="000D515D" w:rsidRDefault="00BC3433" w:rsidP="00AB7100">
            <w:pPr>
              <w:pStyle w:val="Tabelle-Text"/>
              <w:rPr>
                <w:b/>
                <w:bCs w:val="0"/>
              </w:rPr>
            </w:pPr>
            <w:r w:rsidRPr="000D515D">
              <w:t xml:space="preserve">EU may only act in areas where competence was transferred (Art. 5(2) TEU); competences not transferred remain with </w:t>
            </w:r>
            <w:r w:rsidR="007B5A5F">
              <w:t>Member States</w:t>
            </w:r>
            <w:r w:rsidRPr="000D515D">
              <w:t xml:space="preserve"> (Art. 4(1) TEU)</w:t>
            </w:r>
          </w:p>
        </w:tc>
      </w:tr>
      <w:tr w:rsidR="00BC3433" w:rsidRPr="000D515D" w14:paraId="49DF45D3" w14:textId="77777777" w:rsidTr="007B5A5F">
        <w:trPr>
          <w:trHeight w:val="20"/>
        </w:trPr>
        <w:tc>
          <w:tcPr>
            <w:tcW w:w="0" w:type="auto"/>
          </w:tcPr>
          <w:p w14:paraId="7A6B7E5B" w14:textId="77777777" w:rsidR="00BC3433" w:rsidRPr="000D515D" w:rsidRDefault="00BC3433" w:rsidP="00AB7100">
            <w:pPr>
              <w:pStyle w:val="Tabelle-Text"/>
            </w:pPr>
            <w:r>
              <w:rPr>
                <w:b/>
                <w:bCs w:val="0"/>
              </w:rPr>
              <w:t>Competences</w:t>
            </w:r>
          </w:p>
        </w:tc>
        <w:tc>
          <w:tcPr>
            <w:tcW w:w="0" w:type="auto"/>
          </w:tcPr>
          <w:p w14:paraId="08DB73E8" w14:textId="77777777" w:rsidR="00BC3433" w:rsidRPr="000D515D" w:rsidRDefault="00BC3433" w:rsidP="00AB7100">
            <w:pPr>
              <w:pStyle w:val="Tabelle-Text"/>
              <w:rPr>
                <w:i/>
                <w:iCs/>
              </w:rPr>
            </w:pPr>
            <w:r w:rsidRPr="000D515D">
              <w:rPr>
                <w:i/>
                <w:iCs/>
              </w:rPr>
              <w:t>Definition</w:t>
            </w:r>
            <w:r>
              <w:rPr>
                <w:i/>
                <w:iCs/>
              </w:rPr>
              <w:t>s</w:t>
            </w:r>
          </w:p>
        </w:tc>
        <w:tc>
          <w:tcPr>
            <w:tcW w:w="0" w:type="auto"/>
          </w:tcPr>
          <w:p w14:paraId="65FA2EB8" w14:textId="77777777" w:rsidR="00BC3433" w:rsidRPr="000D515D" w:rsidRDefault="00BC3433" w:rsidP="00AB7100">
            <w:pPr>
              <w:pStyle w:val="Tabelle-Text"/>
              <w:rPr>
                <w:i/>
                <w:iCs/>
              </w:rPr>
            </w:pPr>
            <w:r w:rsidRPr="000D515D">
              <w:rPr>
                <w:i/>
                <w:iCs/>
              </w:rPr>
              <w:t>Examples</w:t>
            </w:r>
          </w:p>
        </w:tc>
      </w:tr>
      <w:tr w:rsidR="00BC3433" w:rsidRPr="000D515D" w14:paraId="707E98A0" w14:textId="77777777" w:rsidTr="007B5A5F">
        <w:trPr>
          <w:trHeight w:val="20"/>
        </w:trPr>
        <w:tc>
          <w:tcPr>
            <w:tcW w:w="0" w:type="auto"/>
          </w:tcPr>
          <w:p w14:paraId="15868898" w14:textId="77777777" w:rsidR="00BC3433" w:rsidRPr="00160C64" w:rsidRDefault="00BC3433" w:rsidP="00AB7100">
            <w:pPr>
              <w:pStyle w:val="Tabelle-Text"/>
              <w:ind w:left="42"/>
            </w:pPr>
            <w:r w:rsidRPr="00160C64">
              <w:lastRenderedPageBreak/>
              <w:t>Exclusive</w:t>
            </w:r>
          </w:p>
        </w:tc>
        <w:tc>
          <w:tcPr>
            <w:tcW w:w="0" w:type="auto"/>
          </w:tcPr>
          <w:p w14:paraId="6532F9FF" w14:textId="2C65C3BC" w:rsidR="00BC3433" w:rsidRPr="000D515D" w:rsidRDefault="00BC3433" w:rsidP="00AB7100">
            <w:pPr>
              <w:pStyle w:val="Tabelle-Text"/>
              <w:rPr>
                <w:b/>
                <w:bCs w:val="0"/>
              </w:rPr>
            </w:pPr>
            <w:r w:rsidRPr="000D515D">
              <w:t xml:space="preserve">Only the EU may adopt legally binding acts (Art. 2(1) TFEU); </w:t>
            </w:r>
            <w:r w:rsidR="007B5A5F">
              <w:t>Member States</w:t>
            </w:r>
            <w:r w:rsidRPr="000D515D">
              <w:t xml:space="preserve"> can only act if explicitly invited by the EU or when implementing EU rules into national law (Art. 2(1) TFEU)</w:t>
            </w:r>
          </w:p>
        </w:tc>
        <w:tc>
          <w:tcPr>
            <w:tcW w:w="0" w:type="auto"/>
          </w:tcPr>
          <w:p w14:paraId="6FAD901D" w14:textId="77777777" w:rsidR="00BC3433" w:rsidRPr="000D515D" w:rsidRDefault="00BC3433" w:rsidP="00AB7100">
            <w:pPr>
              <w:pStyle w:val="Tabelle-Text"/>
              <w:rPr>
                <w:b/>
                <w:bCs w:val="0"/>
              </w:rPr>
            </w:pPr>
            <w:r w:rsidRPr="000D515D">
              <w:t>Trade policy (Art. 28(1) TFEU), competition rules necessary for the functioning of the internal market (Art. 101-109, TFEU)</w:t>
            </w:r>
          </w:p>
        </w:tc>
      </w:tr>
      <w:tr w:rsidR="00BC3433" w:rsidRPr="000D515D" w14:paraId="78F1A58D" w14:textId="77777777" w:rsidTr="007B5A5F">
        <w:trPr>
          <w:trHeight w:val="20"/>
        </w:trPr>
        <w:tc>
          <w:tcPr>
            <w:tcW w:w="0" w:type="auto"/>
          </w:tcPr>
          <w:p w14:paraId="43B22823" w14:textId="77777777" w:rsidR="00BC3433" w:rsidRPr="00160C64" w:rsidRDefault="00BC3433" w:rsidP="00AB7100">
            <w:pPr>
              <w:pStyle w:val="Tabelle-Text"/>
              <w:ind w:left="42"/>
            </w:pPr>
            <w:r w:rsidRPr="00160C64">
              <w:t>Shared</w:t>
            </w:r>
          </w:p>
        </w:tc>
        <w:tc>
          <w:tcPr>
            <w:tcW w:w="0" w:type="auto"/>
          </w:tcPr>
          <w:p w14:paraId="24BAA3DA" w14:textId="0F10F0A1" w:rsidR="00BC3433" w:rsidRPr="000D515D" w:rsidRDefault="00BC3433" w:rsidP="00AB7100">
            <w:pPr>
              <w:pStyle w:val="Tabelle-Text"/>
            </w:pPr>
            <w:r w:rsidRPr="000D515D">
              <w:t xml:space="preserve">EU and </w:t>
            </w:r>
            <w:r w:rsidR="007B5A5F">
              <w:t>Member States</w:t>
            </w:r>
            <w:r w:rsidRPr="000D515D">
              <w:t xml:space="preserve"> may legislate (Art. 2(2) TFEU); </w:t>
            </w:r>
            <w:r w:rsidR="007B5A5F">
              <w:t>Member States</w:t>
            </w:r>
            <w:r w:rsidR="007B5A5F" w:rsidRPr="000D515D">
              <w:t xml:space="preserve"> </w:t>
            </w:r>
            <w:r w:rsidRPr="000D515D">
              <w:t xml:space="preserve">may </w:t>
            </w:r>
            <w:r w:rsidR="007B5A5F" w:rsidRPr="000D515D">
              <w:t xml:space="preserve">only </w:t>
            </w:r>
            <w:r w:rsidRPr="000D515D">
              <w:t>act in areas in which the EU has not yet exercised or “decided to cease exercising” its competence (Art. 2(2), TFEU)</w:t>
            </w:r>
          </w:p>
        </w:tc>
        <w:tc>
          <w:tcPr>
            <w:tcW w:w="0" w:type="auto"/>
          </w:tcPr>
          <w:p w14:paraId="272CB392" w14:textId="77777777" w:rsidR="00BC3433" w:rsidRPr="000D515D" w:rsidRDefault="00BC3433" w:rsidP="00AB7100">
            <w:pPr>
              <w:pStyle w:val="Tabelle-Text"/>
            </w:pPr>
            <w:r w:rsidRPr="000D515D">
              <w:t xml:space="preserve">Social policy, agriculture and fisheries, environment, consumer protection, research and development (Art. 4(2) TFEU) </w:t>
            </w:r>
          </w:p>
        </w:tc>
      </w:tr>
      <w:tr w:rsidR="00BC3433" w:rsidRPr="000D515D" w14:paraId="1DD71CE9" w14:textId="77777777" w:rsidTr="007B5A5F">
        <w:trPr>
          <w:trHeight w:val="20"/>
        </w:trPr>
        <w:tc>
          <w:tcPr>
            <w:tcW w:w="0" w:type="auto"/>
          </w:tcPr>
          <w:p w14:paraId="6969174B" w14:textId="77777777" w:rsidR="00BC3433" w:rsidRPr="00160C64" w:rsidRDefault="00BC3433" w:rsidP="00AB7100">
            <w:pPr>
              <w:pStyle w:val="Tabelle-Text"/>
              <w:ind w:left="42"/>
            </w:pPr>
            <w:r w:rsidRPr="00160C64">
              <w:t>Coordinating</w:t>
            </w:r>
          </w:p>
        </w:tc>
        <w:tc>
          <w:tcPr>
            <w:tcW w:w="0" w:type="auto"/>
          </w:tcPr>
          <w:p w14:paraId="7FAF88DC" w14:textId="75384E7A" w:rsidR="00BC3433" w:rsidRPr="000D515D" w:rsidRDefault="00BC3433" w:rsidP="00AB7100">
            <w:pPr>
              <w:pStyle w:val="Tabelle-Text"/>
            </w:pPr>
            <w:r w:rsidRPr="000D515D">
              <w:t xml:space="preserve">EU may coordinate </w:t>
            </w:r>
            <w:r w:rsidR="007B5A5F">
              <w:t>Member States</w:t>
            </w:r>
            <w:r w:rsidRPr="000D515D">
              <w:t xml:space="preserve"> policies in specific areas</w:t>
            </w:r>
            <w:r w:rsidR="007B5A5F">
              <w:t xml:space="preserve"> </w:t>
            </w:r>
            <w:r w:rsidRPr="000D515D">
              <w:t xml:space="preserve">(Art. 2(5) TFEU); EU’s work may include adoption of guidelines, but cannot include harmonization of </w:t>
            </w:r>
            <w:r w:rsidR="007B5A5F">
              <w:t>Member State</w:t>
            </w:r>
            <w:r w:rsidRPr="000D515D">
              <w:t xml:space="preserve"> regulations (Art. 2(5) TFEU)</w:t>
            </w:r>
          </w:p>
        </w:tc>
        <w:tc>
          <w:tcPr>
            <w:tcW w:w="0" w:type="auto"/>
          </w:tcPr>
          <w:p w14:paraId="0C22605A" w14:textId="77777777" w:rsidR="00BC3433" w:rsidRPr="000D515D" w:rsidRDefault="00BC3433" w:rsidP="00AB7100">
            <w:pPr>
              <w:pStyle w:val="Tabelle-Text"/>
            </w:pPr>
            <w:r w:rsidRPr="000D515D">
              <w:t>Economic and social policy (Art. 5 TFEU)</w:t>
            </w:r>
          </w:p>
        </w:tc>
      </w:tr>
      <w:tr w:rsidR="00BC3433" w:rsidRPr="000D515D" w14:paraId="26B93B5A" w14:textId="77777777" w:rsidTr="007B5A5F">
        <w:trPr>
          <w:trHeight w:val="20"/>
        </w:trPr>
        <w:tc>
          <w:tcPr>
            <w:tcW w:w="0" w:type="auto"/>
          </w:tcPr>
          <w:p w14:paraId="607CE3AB" w14:textId="77777777" w:rsidR="00BC3433" w:rsidRPr="00160C64" w:rsidRDefault="00BC3433" w:rsidP="00AB7100">
            <w:pPr>
              <w:pStyle w:val="Tabelle-Text"/>
              <w:ind w:left="42"/>
            </w:pPr>
            <w:r w:rsidRPr="00160C64">
              <w:t>Supporting</w:t>
            </w:r>
          </w:p>
        </w:tc>
        <w:tc>
          <w:tcPr>
            <w:tcW w:w="0" w:type="auto"/>
          </w:tcPr>
          <w:p w14:paraId="32370CD6" w14:textId="6B285FE6" w:rsidR="00BC3433" w:rsidRPr="000D515D" w:rsidRDefault="00BC3433" w:rsidP="00AB7100">
            <w:pPr>
              <w:pStyle w:val="Tabelle-Text"/>
            </w:pPr>
            <w:r w:rsidRPr="000D515D">
              <w:t>EU may only introduce supporting or coordinating measures; EU cannot introduce legal acts and cannot harmonize MS laws</w:t>
            </w:r>
          </w:p>
        </w:tc>
        <w:tc>
          <w:tcPr>
            <w:tcW w:w="0" w:type="auto"/>
          </w:tcPr>
          <w:p w14:paraId="04F42EEF" w14:textId="77777777" w:rsidR="00BC3433" w:rsidRPr="000D515D" w:rsidRDefault="00BC3433" w:rsidP="00AB7100">
            <w:pPr>
              <w:pStyle w:val="Tabelle-Text"/>
            </w:pPr>
            <w:r w:rsidRPr="000D515D">
              <w:t>Protection and improvement of human health, education, youth and sports (Art. 6 TFEU)</w:t>
            </w:r>
          </w:p>
        </w:tc>
      </w:tr>
    </w:tbl>
    <w:p w14:paraId="28446CF1" w14:textId="64831ACE" w:rsidR="00823AB3" w:rsidRPr="00160C64" w:rsidRDefault="00823AB3" w:rsidP="00823AB3">
      <w:pPr>
        <w:spacing w:before="360"/>
      </w:pPr>
      <w:r>
        <w:t xml:space="preserve">For Germany, the German Basic Law (Grundgesetz, GG) governs the distribution of legislative powers. The right to legislate fundamentally belongs to the </w:t>
      </w:r>
      <w:r w:rsidR="007B5A5F">
        <w:t>s</w:t>
      </w:r>
      <w:r>
        <w:t xml:space="preserve">tates (i.e., the 16 </w:t>
      </w:r>
      <w:r w:rsidRPr="003750CF">
        <w:rPr>
          <w:i/>
          <w:iCs/>
        </w:rPr>
        <w:t>Länder</w:t>
      </w:r>
      <w:r>
        <w:t xml:space="preserve"> constituting the Federal Republic of Germany). Similarly to the EU, the federal government, may only act in areas explicitly mentioned in the German Basic Law </w:t>
      </w:r>
      <w:r w:rsidRPr="00BF007D">
        <w:t>(Art. 70(2) GG).</w:t>
      </w:r>
      <w:r>
        <w:t xml:space="preserve"> </w:t>
      </w:r>
      <w:r w:rsidRPr="00BF007D">
        <w:t xml:space="preserve">In practice, </w:t>
      </w:r>
      <w:r>
        <w:t xml:space="preserve">many </w:t>
      </w:r>
      <w:r w:rsidRPr="00BF007D">
        <w:t xml:space="preserve">legislative </w:t>
      </w:r>
      <w:r>
        <w:t>powers relevant to food environments</w:t>
      </w:r>
      <w:r w:rsidRPr="00BF007D">
        <w:t xml:space="preserve">, </w:t>
      </w:r>
      <w:r>
        <w:t>have been</w:t>
      </w:r>
      <w:r w:rsidRPr="00BF007D">
        <w:t xml:space="preserve"> transferred </w:t>
      </w:r>
      <w:r>
        <w:t xml:space="preserve">to the </w:t>
      </w:r>
      <w:r w:rsidRPr="00BF007D">
        <w:t>federal level (e.g., agriculture and economic law</w:t>
      </w:r>
      <w:r>
        <w:t xml:space="preserve">, </w:t>
      </w:r>
      <w:r w:rsidRPr="00BF007D">
        <w:t>Art. 74(1) GG</w:t>
      </w:r>
      <w:r>
        <w:t xml:space="preserve">), or </w:t>
      </w:r>
      <w:r w:rsidRPr="00BF007D">
        <w:t xml:space="preserve">to the EU (e.g., competition rules </w:t>
      </w:r>
      <w:r>
        <w:t xml:space="preserve">for </w:t>
      </w:r>
      <w:r w:rsidRPr="00BF007D">
        <w:t>the internal market</w:t>
      </w:r>
      <w:r>
        <w:t xml:space="preserve">, </w:t>
      </w:r>
      <w:r w:rsidRPr="00BF007D">
        <w:t>Art. 4(2) TFEU))</w:t>
      </w:r>
      <w:r>
        <w:t>.</w:t>
      </w:r>
    </w:p>
    <w:p w14:paraId="64140F0C" w14:textId="77777777" w:rsidR="00823AB3" w:rsidRDefault="00823AB3" w:rsidP="00823AB3">
      <w:r>
        <w:t xml:space="preserve">The European Treaties and the German Basic Law distinguish between exclusive and non-exclusive competences or legislative powers respectively. Exclusive competences grant either the EU or, as exclusive legislative power, the federal government the sole authority to enact legally binding acts in a policy domain. The EU Treaties differentiate three types of non-exclusive competences, while in Germany, all non-exclusive legislative powers are classified as concurrent (see </w:t>
      </w:r>
      <w:r>
        <w:fldChar w:fldCharType="begin"/>
      </w:r>
      <w:r>
        <w:instrText xml:space="preserve"> REF _Ref215497200 \h </w:instrText>
      </w:r>
      <w:r>
        <w:fldChar w:fldCharType="separate"/>
      </w:r>
      <w:r>
        <w:t xml:space="preserve">Table </w:t>
      </w:r>
      <w:r>
        <w:rPr>
          <w:noProof/>
        </w:rPr>
        <w:t>5</w:t>
      </w:r>
      <w:r>
        <w:fldChar w:fldCharType="end"/>
      </w:r>
      <w:r>
        <w:t xml:space="preserve">). </w:t>
      </w:r>
    </w:p>
    <w:p w14:paraId="20FACEFD" w14:textId="57D5AE25" w:rsidR="00066859" w:rsidRDefault="00823AB3" w:rsidP="007B5A5F">
      <w:r>
        <w:t>Article 28(2) of the German Basic Law grants municipalities the right to regulate local affairs independently. In the context of food environment policymaking, municipal self-administration plays an important role in delivering social services, managing hospitals and shaping food environments in schools and daycare centres. As t</w:t>
      </w:r>
      <w:r w:rsidRPr="00191558">
        <w:t xml:space="preserve">he </w:t>
      </w:r>
      <w:r w:rsidR="007B5A5F">
        <w:t>s</w:t>
      </w:r>
      <w:r w:rsidRPr="00191558">
        <w:t xml:space="preserve">tate </w:t>
      </w:r>
      <w:r w:rsidR="007B5A5F">
        <w:t>m</w:t>
      </w:r>
      <w:r w:rsidRPr="00191558">
        <w:t xml:space="preserve">unicipal </w:t>
      </w:r>
      <w:r w:rsidR="007B5A5F">
        <w:t>l</w:t>
      </w:r>
      <w:r w:rsidRPr="00191558">
        <w:t xml:space="preserve">aws </w:t>
      </w:r>
      <w:r>
        <w:t>defining</w:t>
      </w:r>
      <w:r w:rsidRPr="00191558">
        <w:t xml:space="preserve"> </w:t>
      </w:r>
      <w:r>
        <w:t xml:space="preserve">the </w:t>
      </w:r>
      <w:r>
        <w:lastRenderedPageBreak/>
        <w:t>legislative powers between the</w:t>
      </w:r>
      <w:r w:rsidRPr="00191558">
        <w:t xml:space="preserve"> </w:t>
      </w:r>
      <w:r>
        <w:t xml:space="preserve">States </w:t>
      </w:r>
      <w:r w:rsidRPr="00191558">
        <w:t>and municipal governments</w:t>
      </w:r>
      <w:r>
        <w:t xml:space="preserve"> differ across Germany’s 16 States, we do not provide a detailed outline of municipal responsibilities. </w:t>
      </w:r>
    </w:p>
    <w:p w14:paraId="45A92FD3" w14:textId="34259ED6" w:rsidR="00066859" w:rsidRDefault="00066859" w:rsidP="00066859">
      <w:pPr>
        <w:pStyle w:val="Beschriftung"/>
      </w:pPr>
      <w:bookmarkStart w:id="37" w:name="_Ref215497200"/>
      <w:bookmarkStart w:id="38" w:name="_Toc222325233"/>
      <w:r>
        <w:t xml:space="preserve">Table </w:t>
      </w:r>
      <w:r>
        <w:fldChar w:fldCharType="begin"/>
      </w:r>
      <w:r>
        <w:instrText xml:space="preserve"> SEQ Table \* ARABIC </w:instrText>
      </w:r>
      <w:r>
        <w:fldChar w:fldCharType="separate"/>
      </w:r>
      <w:r w:rsidR="00901762">
        <w:rPr>
          <w:noProof/>
        </w:rPr>
        <w:t>9</w:t>
      </w:r>
      <w:r>
        <w:fldChar w:fldCharType="end"/>
      </w:r>
      <w:bookmarkEnd w:id="37"/>
      <w:r>
        <w:t xml:space="preserve"> Simplified overview: Distribution of legislative powers in Germany</w:t>
      </w:r>
      <w:bookmarkEnd w:id="38"/>
    </w:p>
    <w:tbl>
      <w:tblPr>
        <w:tblStyle w:val="TabellemithellemGitternetz"/>
        <w:tblW w:w="0" w:type="auto"/>
        <w:tblLook w:val="04A0" w:firstRow="1" w:lastRow="0" w:firstColumn="1" w:lastColumn="0" w:noHBand="0" w:noVBand="1"/>
      </w:tblPr>
      <w:tblGrid>
        <w:gridCol w:w="2041"/>
        <w:gridCol w:w="4617"/>
        <w:gridCol w:w="3418"/>
      </w:tblGrid>
      <w:tr w:rsidR="00066859" w:rsidRPr="000D515D" w14:paraId="69E0AB74" w14:textId="77777777" w:rsidTr="00E67C31">
        <w:trPr>
          <w:trHeight w:val="283"/>
        </w:trPr>
        <w:tc>
          <w:tcPr>
            <w:tcW w:w="2041" w:type="dxa"/>
            <w:shd w:val="clear" w:color="auto" w:fill="F2F2F2" w:themeFill="background1" w:themeFillShade="F2"/>
          </w:tcPr>
          <w:p w14:paraId="069C8174" w14:textId="77777777" w:rsidR="00066859" w:rsidRPr="00C44F2D" w:rsidRDefault="00066859" w:rsidP="00C44F2D">
            <w:pPr>
              <w:pStyle w:val="Tabelle-berschrift"/>
              <w:rPr>
                <w:lang w:val="en-US"/>
              </w:rPr>
            </w:pPr>
          </w:p>
        </w:tc>
        <w:tc>
          <w:tcPr>
            <w:tcW w:w="8035" w:type="dxa"/>
            <w:gridSpan w:val="2"/>
            <w:shd w:val="clear" w:color="auto" w:fill="F2F2F2" w:themeFill="background1" w:themeFillShade="F2"/>
            <w:noWrap/>
            <w:hideMark/>
          </w:tcPr>
          <w:p w14:paraId="3D1F03C7" w14:textId="77777777" w:rsidR="00066859" w:rsidRPr="00C44F2D" w:rsidRDefault="00066859" w:rsidP="00C44F2D">
            <w:pPr>
              <w:pStyle w:val="Tabelle-berschrift"/>
            </w:pPr>
            <w:r w:rsidRPr="00C44F2D">
              <w:t xml:space="preserve">Definitions and examples </w:t>
            </w:r>
          </w:p>
        </w:tc>
      </w:tr>
      <w:tr w:rsidR="00066859" w:rsidRPr="005C3655" w14:paraId="760F52B8" w14:textId="77777777" w:rsidTr="00E6756A">
        <w:trPr>
          <w:trHeight w:val="283"/>
        </w:trPr>
        <w:tc>
          <w:tcPr>
            <w:tcW w:w="2041" w:type="dxa"/>
          </w:tcPr>
          <w:p w14:paraId="6B1E69E3" w14:textId="77777777" w:rsidR="00066859" w:rsidRPr="000D515D" w:rsidRDefault="00066859" w:rsidP="00AB7100">
            <w:pPr>
              <w:pStyle w:val="Tabelle-Text"/>
              <w:rPr>
                <w:b/>
                <w:bCs w:val="0"/>
              </w:rPr>
            </w:pPr>
            <w:r>
              <w:rPr>
                <w:b/>
                <w:bCs w:val="0"/>
              </w:rPr>
              <w:t>Laws</w:t>
            </w:r>
          </w:p>
        </w:tc>
        <w:tc>
          <w:tcPr>
            <w:tcW w:w="8035" w:type="dxa"/>
            <w:gridSpan w:val="2"/>
            <w:noWrap/>
            <w:hideMark/>
          </w:tcPr>
          <w:p w14:paraId="08D12720" w14:textId="77777777" w:rsidR="00066859" w:rsidRDefault="00066859" w:rsidP="00AB7100">
            <w:pPr>
              <w:pStyle w:val="Tabelle-Text"/>
            </w:pPr>
            <w:r w:rsidRPr="00C67280">
              <w:t>Basic Law for the Federal Republic of Germany (Grundgesetz, GG)</w:t>
            </w:r>
          </w:p>
          <w:p w14:paraId="5AD69B43" w14:textId="4E8ECC21" w:rsidR="00066859" w:rsidRPr="006A43FF" w:rsidRDefault="00066859" w:rsidP="00AB7100">
            <w:pPr>
              <w:pStyle w:val="Tabelle-Text"/>
              <w:rPr>
                <w:lang w:val="de-DE"/>
              </w:rPr>
            </w:pPr>
            <w:r>
              <w:rPr>
                <w:lang w:val="de-DE"/>
              </w:rPr>
              <w:t>Municipality</w:t>
            </w:r>
            <w:r w:rsidRPr="00DD267E">
              <w:rPr>
                <w:lang w:val="de-DE"/>
              </w:rPr>
              <w:t xml:space="preserve"> </w:t>
            </w:r>
            <w:r w:rsidR="00E6756A">
              <w:rPr>
                <w:lang w:val="de-DE"/>
              </w:rPr>
              <w:t>l</w:t>
            </w:r>
            <w:r w:rsidRPr="00DD267E">
              <w:rPr>
                <w:lang w:val="de-DE"/>
              </w:rPr>
              <w:t>aws (Gemeinde- und Kreisordnungen)</w:t>
            </w:r>
          </w:p>
        </w:tc>
      </w:tr>
      <w:tr w:rsidR="00066859" w:rsidRPr="000D515D" w14:paraId="47E1F0BC" w14:textId="77777777" w:rsidTr="00E6756A">
        <w:trPr>
          <w:trHeight w:val="283"/>
        </w:trPr>
        <w:tc>
          <w:tcPr>
            <w:tcW w:w="2041" w:type="dxa"/>
          </w:tcPr>
          <w:p w14:paraId="44E566F0" w14:textId="77777777" w:rsidR="00066859" w:rsidRPr="000D515D" w:rsidRDefault="00066859" w:rsidP="00AB7100">
            <w:pPr>
              <w:pStyle w:val="Tabelle-Text"/>
              <w:rPr>
                <w:b/>
                <w:bCs w:val="0"/>
              </w:rPr>
            </w:pPr>
            <w:r w:rsidRPr="000D515D">
              <w:rPr>
                <w:b/>
                <w:bCs w:val="0"/>
              </w:rPr>
              <w:t>Principles</w:t>
            </w:r>
          </w:p>
        </w:tc>
        <w:tc>
          <w:tcPr>
            <w:tcW w:w="8035" w:type="dxa"/>
            <w:gridSpan w:val="2"/>
          </w:tcPr>
          <w:p w14:paraId="2FAAD609" w14:textId="77777777" w:rsidR="00066859" w:rsidRPr="000D515D" w:rsidRDefault="00066859" w:rsidP="00AB7100">
            <w:pPr>
              <w:pStyle w:val="Tabelle-Text"/>
              <w:rPr>
                <w:b/>
                <w:bCs w:val="0"/>
              </w:rPr>
            </w:pPr>
          </w:p>
        </w:tc>
      </w:tr>
      <w:tr w:rsidR="00066859" w:rsidRPr="000D515D" w14:paraId="3B8B4022" w14:textId="77777777" w:rsidTr="00E6756A">
        <w:trPr>
          <w:trHeight w:val="464"/>
        </w:trPr>
        <w:tc>
          <w:tcPr>
            <w:tcW w:w="2041" w:type="dxa"/>
          </w:tcPr>
          <w:p w14:paraId="41DD317E" w14:textId="77777777" w:rsidR="00066859" w:rsidRPr="00160C64" w:rsidRDefault="00066859" w:rsidP="00AB7100">
            <w:pPr>
              <w:pStyle w:val="Tabelle-Text"/>
            </w:pPr>
            <w:r>
              <w:t>Federal state</w:t>
            </w:r>
          </w:p>
        </w:tc>
        <w:tc>
          <w:tcPr>
            <w:tcW w:w="8035" w:type="dxa"/>
            <w:gridSpan w:val="2"/>
            <w:hideMark/>
          </w:tcPr>
          <w:p w14:paraId="5DC07667" w14:textId="21786DCD" w:rsidR="00066859" w:rsidRPr="000D515D" w:rsidRDefault="00066859" w:rsidP="00AB7100">
            <w:pPr>
              <w:pStyle w:val="Tabelle-Text"/>
            </w:pPr>
            <w:r>
              <w:t>Germany is</w:t>
            </w:r>
            <w:r w:rsidRPr="00C67280">
              <w:t xml:space="preserve"> a federation </w:t>
            </w:r>
            <w:r>
              <w:t>of</w:t>
            </w:r>
            <w:r w:rsidRPr="00C67280">
              <w:t xml:space="preserve"> 16 </w:t>
            </w:r>
            <w:r w:rsidR="00C44F2D">
              <w:t>s</w:t>
            </w:r>
            <w:r>
              <w:t>tates,</w:t>
            </w:r>
            <w:r w:rsidRPr="00C67280">
              <w:t xml:space="preserve"> each of which has its own rights and powers to legislate </w:t>
            </w:r>
            <w:r w:rsidRPr="00C67280">
              <w:fldChar w:fldCharType="begin"/>
            </w:r>
            <w:r w:rsidR="00216423">
              <w:instrText xml:space="preserve"> ADDIN ZOTERO_ITEM CSL_CITATION {"citationID":"10kOYLRO","properties":{"formattedCitation":"[7]","plainCitation":"[7]","noteIndex":0},"citationItems":[{"id":54,"uris":["http://zotero.org/users/5617569/items/KZMCTAGR"],"itemData":{"id":54,"type":"webpage","abstract":"Die Bundesrepublik Deutschland ist ein Bundesstaat, der aus einem Gesamtstaat (Bund) und 16 Gliedstaaten (Länder) besteht. Ein Wesensmerkmal der bundesstaatlichen Ordnung (Föderalismus)...","language":"de","title":"Gesetzgebungszuständigkeiten von Bund und Ländern","URL":"https://www.bundestag.de/parlament/aufgaben/gesetzgebung_neu/gesetzgebung/bundesstaatsprinzip-255460","author":[{"family":"German Bundestag","given":""}],"accessed":{"date-parts":[["2023",11,21]]},"issued":{"date-parts":[["2023",11,21]]}},"label":"page"}],"schema":"https://github.com/citation-style-language/schema/raw/master/csl-citation.json"} </w:instrText>
            </w:r>
            <w:r w:rsidRPr="00C67280">
              <w:fldChar w:fldCharType="separate"/>
            </w:r>
            <w:r w:rsidR="00216423">
              <w:t>[7]</w:t>
            </w:r>
            <w:r w:rsidRPr="00C67280">
              <w:fldChar w:fldCharType="end"/>
            </w:r>
          </w:p>
        </w:tc>
      </w:tr>
      <w:tr w:rsidR="00066859" w:rsidRPr="000D515D" w14:paraId="0B923817" w14:textId="77777777" w:rsidTr="00E6756A">
        <w:trPr>
          <w:trHeight w:val="463"/>
        </w:trPr>
        <w:tc>
          <w:tcPr>
            <w:tcW w:w="2041" w:type="dxa"/>
          </w:tcPr>
          <w:p w14:paraId="682835B6" w14:textId="77777777" w:rsidR="00066859" w:rsidRPr="00160C64" w:rsidRDefault="00066859" w:rsidP="00AB7100">
            <w:pPr>
              <w:pStyle w:val="Tabelle-Text"/>
              <w:rPr>
                <w:bCs w:val="0"/>
              </w:rPr>
            </w:pPr>
            <w:r w:rsidRPr="00160C64">
              <w:rPr>
                <w:bCs w:val="0"/>
              </w:rPr>
              <w:t>Right to legislate</w:t>
            </w:r>
          </w:p>
        </w:tc>
        <w:tc>
          <w:tcPr>
            <w:tcW w:w="8035" w:type="dxa"/>
            <w:gridSpan w:val="2"/>
          </w:tcPr>
          <w:p w14:paraId="69A16D64" w14:textId="2FE9F1BF" w:rsidR="00066859" w:rsidRDefault="00066859" w:rsidP="00AB7100">
            <w:pPr>
              <w:pStyle w:val="Tabelle-Text"/>
            </w:pPr>
            <w:r>
              <w:t>F</w:t>
            </w:r>
            <w:r w:rsidRPr="00C67280">
              <w:t xml:space="preserve">undamentally belongs to the </w:t>
            </w:r>
            <w:r w:rsidR="00E6756A">
              <w:t>s</w:t>
            </w:r>
            <w:r>
              <w:t>tates</w:t>
            </w:r>
            <w:r w:rsidRPr="00C67280">
              <w:t xml:space="preserve"> (Art. 70(1) GG)</w:t>
            </w:r>
          </w:p>
          <w:p w14:paraId="70EE9334" w14:textId="77777777" w:rsidR="00066859" w:rsidRPr="000D515D" w:rsidRDefault="00066859" w:rsidP="00AB7100">
            <w:pPr>
              <w:pStyle w:val="Tabelle-Text"/>
              <w:rPr>
                <w:b/>
                <w:bCs w:val="0"/>
              </w:rPr>
            </w:pPr>
            <w:r>
              <w:t>F</w:t>
            </w:r>
            <w:r w:rsidRPr="00C67280">
              <w:t>ederal government may only act in areas explicitly permitted in the GG (Art. 70 GG)</w:t>
            </w:r>
          </w:p>
        </w:tc>
      </w:tr>
      <w:tr w:rsidR="00066859" w:rsidRPr="000D515D" w14:paraId="3B63B51C" w14:textId="77777777" w:rsidTr="00E6756A">
        <w:trPr>
          <w:trHeight w:val="463"/>
        </w:trPr>
        <w:tc>
          <w:tcPr>
            <w:tcW w:w="2041" w:type="dxa"/>
          </w:tcPr>
          <w:p w14:paraId="037E8A20" w14:textId="12C9156C" w:rsidR="00066859" w:rsidRPr="00160C64" w:rsidRDefault="00066859" w:rsidP="00AB7100">
            <w:pPr>
              <w:pStyle w:val="Tabelle-Text"/>
            </w:pPr>
            <w:r>
              <w:t xml:space="preserve">States in federal </w:t>
            </w:r>
            <w:r w:rsidR="00E6756A">
              <w:t>policies</w:t>
            </w:r>
          </w:p>
        </w:tc>
        <w:tc>
          <w:tcPr>
            <w:tcW w:w="8035" w:type="dxa"/>
            <w:gridSpan w:val="2"/>
          </w:tcPr>
          <w:p w14:paraId="5B941131" w14:textId="77777777" w:rsidR="00E6756A" w:rsidRDefault="00066859" w:rsidP="00AB7100">
            <w:pPr>
              <w:pStyle w:val="Tabelle-Text"/>
            </w:pPr>
            <w:r w:rsidRPr="00C67280">
              <w:t xml:space="preserve">All federal laws must be presented to the </w:t>
            </w:r>
            <w:r>
              <w:rPr>
                <w:i/>
                <w:iCs/>
              </w:rPr>
              <w:t xml:space="preserve">Bundesrat </w:t>
            </w:r>
            <w:r w:rsidRPr="00A81CE6">
              <w:t>(F</w:t>
            </w:r>
            <w:r w:rsidRPr="00C67280">
              <w:t xml:space="preserve">ederal </w:t>
            </w:r>
            <w:r>
              <w:t>C</w:t>
            </w:r>
            <w:r w:rsidRPr="00C67280">
              <w:t>ouncil</w:t>
            </w:r>
            <w:r>
              <w:t xml:space="preserve">), which is constituted of representatives of the </w:t>
            </w:r>
            <w:r w:rsidR="00E6756A">
              <w:t>s</w:t>
            </w:r>
            <w:r>
              <w:t>tates</w:t>
            </w:r>
            <w:r w:rsidRPr="00C67280">
              <w:t xml:space="preserve"> (Art. 74(1) GG)</w:t>
            </w:r>
          </w:p>
          <w:p w14:paraId="2712702F" w14:textId="3AF63EE9" w:rsidR="00066859" w:rsidRDefault="00066859" w:rsidP="00AB7100">
            <w:pPr>
              <w:pStyle w:val="Tabelle-Text"/>
            </w:pPr>
            <w:r>
              <w:t>C</w:t>
            </w:r>
            <w:r w:rsidRPr="00C67280">
              <w:t xml:space="preserve">onsent laws require the explicit approval of the </w:t>
            </w:r>
            <w:r>
              <w:t>federal council</w:t>
            </w:r>
            <w:r w:rsidRPr="00C67280">
              <w:t xml:space="preserve"> (Art. 77(2) GG) while objection </w:t>
            </w:r>
            <w:r>
              <w:t xml:space="preserve">laws </w:t>
            </w:r>
            <w:r w:rsidRPr="00C67280">
              <w:t xml:space="preserve">do not </w:t>
            </w:r>
            <w:r w:rsidR="00E6756A">
              <w:t>require</w:t>
            </w:r>
            <w:r w:rsidRPr="00C67280">
              <w:t xml:space="preserve"> approval (Art. 77(3) GG)</w:t>
            </w:r>
          </w:p>
          <w:p w14:paraId="09667A05" w14:textId="57D8B122" w:rsidR="00066859" w:rsidRPr="000D515D" w:rsidRDefault="00E6756A" w:rsidP="00AB7100">
            <w:pPr>
              <w:pStyle w:val="Tabelle-Text"/>
              <w:rPr>
                <w:b/>
                <w:bCs w:val="0"/>
              </w:rPr>
            </w:pPr>
            <w:r>
              <w:t>The F</w:t>
            </w:r>
            <w:r w:rsidR="00066859">
              <w:t xml:space="preserve">ederal Council </w:t>
            </w:r>
            <w:r>
              <w:t>can</w:t>
            </w:r>
            <w:r w:rsidR="00066859" w:rsidRPr="00C67280">
              <w:t xml:space="preserve"> </w:t>
            </w:r>
            <w:r w:rsidR="00066859">
              <w:t xml:space="preserve">also </w:t>
            </w:r>
            <w:r w:rsidR="00066859" w:rsidRPr="00C67280">
              <w:t>initiate federal laws</w:t>
            </w:r>
          </w:p>
        </w:tc>
      </w:tr>
      <w:tr w:rsidR="00066859" w:rsidRPr="000D515D" w14:paraId="49B00258" w14:textId="77777777" w:rsidTr="00E6756A">
        <w:trPr>
          <w:trHeight w:val="463"/>
        </w:trPr>
        <w:tc>
          <w:tcPr>
            <w:tcW w:w="2041" w:type="dxa"/>
          </w:tcPr>
          <w:p w14:paraId="7B27BBD9" w14:textId="77777777" w:rsidR="00066859" w:rsidRDefault="00066859" w:rsidP="00AB7100">
            <w:pPr>
              <w:pStyle w:val="Tabelle-Text"/>
            </w:pPr>
            <w:r>
              <w:t>Municipal autonomy</w:t>
            </w:r>
          </w:p>
        </w:tc>
        <w:tc>
          <w:tcPr>
            <w:tcW w:w="8035" w:type="dxa"/>
            <w:gridSpan w:val="2"/>
          </w:tcPr>
          <w:p w14:paraId="3E5E7B61" w14:textId="77777777" w:rsidR="00066859" w:rsidRPr="00C67280" w:rsidRDefault="00066859" w:rsidP="00AB7100">
            <w:pPr>
              <w:pStyle w:val="Tabelle-Text"/>
            </w:pPr>
            <w:r w:rsidRPr="00160C64">
              <w:t xml:space="preserve">“Municipalities must be guaranteed the right to regulate all local affairs on their own responsibility within the limits prescribed by the laws” </w:t>
            </w:r>
            <w:r w:rsidRPr="00C67280">
              <w:t>(Art. 28(2) GG)</w:t>
            </w:r>
          </w:p>
        </w:tc>
      </w:tr>
      <w:tr w:rsidR="00066859" w:rsidRPr="000D515D" w14:paraId="5CE87FE7" w14:textId="77777777" w:rsidTr="00E6756A">
        <w:trPr>
          <w:trHeight w:val="20"/>
        </w:trPr>
        <w:tc>
          <w:tcPr>
            <w:tcW w:w="2041" w:type="dxa"/>
          </w:tcPr>
          <w:p w14:paraId="0056B61A" w14:textId="77777777" w:rsidR="00066859" w:rsidRPr="000D515D" w:rsidRDefault="00066859" w:rsidP="00AB7100">
            <w:pPr>
              <w:pStyle w:val="Tabelle-Text"/>
            </w:pPr>
            <w:r>
              <w:rPr>
                <w:b/>
                <w:bCs w:val="0"/>
              </w:rPr>
              <w:t>Legislative powers</w:t>
            </w:r>
          </w:p>
        </w:tc>
        <w:tc>
          <w:tcPr>
            <w:tcW w:w="4617" w:type="dxa"/>
          </w:tcPr>
          <w:p w14:paraId="1994A58A" w14:textId="77777777" w:rsidR="00066859" w:rsidRPr="000D515D" w:rsidRDefault="00066859" w:rsidP="00AB7100">
            <w:pPr>
              <w:pStyle w:val="Tabelle-Text"/>
              <w:rPr>
                <w:i/>
                <w:iCs/>
              </w:rPr>
            </w:pPr>
            <w:r w:rsidRPr="000D515D">
              <w:rPr>
                <w:i/>
                <w:iCs/>
              </w:rPr>
              <w:t>Definition</w:t>
            </w:r>
            <w:r>
              <w:rPr>
                <w:i/>
                <w:iCs/>
              </w:rPr>
              <w:t>s</w:t>
            </w:r>
          </w:p>
        </w:tc>
        <w:tc>
          <w:tcPr>
            <w:tcW w:w="3418" w:type="dxa"/>
          </w:tcPr>
          <w:p w14:paraId="769F6B69" w14:textId="77777777" w:rsidR="00066859" w:rsidRPr="000D515D" w:rsidRDefault="00066859" w:rsidP="00AB7100">
            <w:pPr>
              <w:pStyle w:val="Tabelle-Text"/>
              <w:rPr>
                <w:i/>
                <w:iCs/>
              </w:rPr>
            </w:pPr>
            <w:r w:rsidRPr="000D515D">
              <w:rPr>
                <w:i/>
                <w:iCs/>
              </w:rPr>
              <w:t>Examples</w:t>
            </w:r>
          </w:p>
        </w:tc>
      </w:tr>
      <w:tr w:rsidR="00066859" w:rsidRPr="000D515D" w14:paraId="6592E683" w14:textId="77777777" w:rsidTr="00E6756A">
        <w:trPr>
          <w:trHeight w:val="20"/>
        </w:trPr>
        <w:tc>
          <w:tcPr>
            <w:tcW w:w="2041" w:type="dxa"/>
          </w:tcPr>
          <w:p w14:paraId="5E7FAE63" w14:textId="77777777" w:rsidR="00066859" w:rsidRPr="00160C64" w:rsidRDefault="00066859" w:rsidP="00AB7100">
            <w:pPr>
              <w:pStyle w:val="Tabelle-Text"/>
            </w:pPr>
            <w:r>
              <w:t xml:space="preserve">Federal: </w:t>
            </w:r>
            <w:r w:rsidRPr="00160C64">
              <w:t>Exclusive</w:t>
            </w:r>
            <w:r>
              <w:t xml:space="preserve"> powers</w:t>
            </w:r>
            <w:r>
              <w:br/>
            </w:r>
            <w:r w:rsidRPr="00160C64">
              <w:t>(Art. 71, 73 GG)</w:t>
            </w:r>
          </w:p>
        </w:tc>
        <w:tc>
          <w:tcPr>
            <w:tcW w:w="4617" w:type="dxa"/>
          </w:tcPr>
          <w:p w14:paraId="6351F443" w14:textId="5D92966F" w:rsidR="00066859" w:rsidRPr="00160C64" w:rsidRDefault="00066859" w:rsidP="00AB7100">
            <w:pPr>
              <w:pStyle w:val="Tabelle-Text"/>
            </w:pPr>
            <w:r>
              <w:t>F</w:t>
            </w:r>
            <w:r w:rsidRPr="00C67280">
              <w:t xml:space="preserve">ederal government has the </w:t>
            </w:r>
            <w:r w:rsidR="00E6756A">
              <w:t>exclusive</w:t>
            </w:r>
            <w:r w:rsidRPr="00C67280">
              <w:t xml:space="preserve"> right to legislate</w:t>
            </w:r>
            <w:r>
              <w:t xml:space="preserve"> </w:t>
            </w:r>
            <w:r w:rsidRPr="00DC6490">
              <w:rPr>
                <w:i/>
                <w:iCs/>
              </w:rPr>
              <w:t>(but may transfer this right fully or partially to the States)</w:t>
            </w:r>
            <w:r>
              <w:t xml:space="preserve"> </w:t>
            </w:r>
            <w:r w:rsidRPr="00C67280">
              <w:t>(Art. 71(1) GG)</w:t>
            </w:r>
          </w:p>
        </w:tc>
        <w:tc>
          <w:tcPr>
            <w:tcW w:w="3418" w:type="dxa"/>
          </w:tcPr>
          <w:p w14:paraId="5A14A88C" w14:textId="77777777" w:rsidR="00066859" w:rsidRPr="000D515D" w:rsidRDefault="00066859" w:rsidP="00AB7100">
            <w:pPr>
              <w:pStyle w:val="Tabelle-Text"/>
              <w:rPr>
                <w:b/>
                <w:bCs w:val="0"/>
              </w:rPr>
            </w:pPr>
            <w:r w:rsidRPr="00BF007D">
              <w:t>Foreign affairs and statistics for federal purposes Art. 73(1) No. 1, 11, GG)</w:t>
            </w:r>
          </w:p>
        </w:tc>
      </w:tr>
      <w:tr w:rsidR="00066859" w:rsidRPr="000D515D" w14:paraId="331959F6" w14:textId="77777777" w:rsidTr="00E6756A">
        <w:trPr>
          <w:trHeight w:val="20"/>
        </w:trPr>
        <w:tc>
          <w:tcPr>
            <w:tcW w:w="2041" w:type="dxa"/>
          </w:tcPr>
          <w:p w14:paraId="4FA21FC2" w14:textId="77777777" w:rsidR="00066859" w:rsidRPr="00160C64" w:rsidRDefault="00066859" w:rsidP="00AB7100">
            <w:pPr>
              <w:pStyle w:val="Tabelle-Text"/>
              <w:ind w:left="42"/>
            </w:pPr>
            <w:r>
              <w:t xml:space="preserve">Federal: </w:t>
            </w:r>
            <w:r w:rsidRPr="00160C64">
              <w:t>Shared</w:t>
            </w:r>
            <w:r>
              <w:t xml:space="preserve"> powers</w:t>
            </w:r>
            <w:r>
              <w:br/>
              <w:t>(</w:t>
            </w:r>
            <w:r w:rsidRPr="00C67280">
              <w:t>Art. 72, 74 GG)</w:t>
            </w:r>
          </w:p>
        </w:tc>
        <w:tc>
          <w:tcPr>
            <w:tcW w:w="4617" w:type="dxa"/>
          </w:tcPr>
          <w:p w14:paraId="19A92C19" w14:textId="77777777" w:rsidR="00066859" w:rsidRPr="00C67280" w:rsidRDefault="00066859" w:rsidP="00AB7100">
            <w:pPr>
              <w:pStyle w:val="Tabelle-Text"/>
            </w:pPr>
            <w:r w:rsidRPr="00C67280">
              <w:t xml:space="preserve">Federal government may act without additional prerequisites </w:t>
            </w:r>
          </w:p>
          <w:p w14:paraId="0A0D6DAA" w14:textId="77777777" w:rsidR="00066859" w:rsidRPr="00C67280" w:rsidRDefault="00066859" w:rsidP="00AB7100">
            <w:pPr>
              <w:pStyle w:val="Tabelle-Text"/>
            </w:pPr>
            <w:r w:rsidRPr="00C67280">
              <w:t>States have the power to legislate if the federal government has not exercised its legislative power (Art. 72(1) GG)</w:t>
            </w:r>
          </w:p>
          <w:p w14:paraId="4034B72C" w14:textId="77777777" w:rsidR="00066859" w:rsidRPr="000D515D" w:rsidRDefault="00066859" w:rsidP="00AB7100">
            <w:pPr>
              <w:pStyle w:val="Tabelle-Text"/>
            </w:pPr>
            <w:r w:rsidRPr="00C67280">
              <w:t>States may enact divergent legislation in certain areas (Art. 72(3) GG)</w:t>
            </w:r>
          </w:p>
        </w:tc>
        <w:tc>
          <w:tcPr>
            <w:tcW w:w="3418" w:type="dxa"/>
          </w:tcPr>
          <w:p w14:paraId="4163F777" w14:textId="77777777" w:rsidR="00066859" w:rsidRPr="000D515D" w:rsidRDefault="00066859" w:rsidP="00AB7100">
            <w:pPr>
              <w:pStyle w:val="Tabelle-Text"/>
            </w:pPr>
            <w:r w:rsidRPr="00BF007D">
              <w:t>Food, agriculture and economic law, and certain aspects of public health (e.g., measures against common dangers incl. NCDs) (Art. 74(1) GG)</w:t>
            </w:r>
          </w:p>
        </w:tc>
      </w:tr>
      <w:tr w:rsidR="00066859" w:rsidRPr="000D515D" w14:paraId="32222EC9" w14:textId="77777777" w:rsidTr="00E6756A">
        <w:trPr>
          <w:trHeight w:val="20"/>
        </w:trPr>
        <w:tc>
          <w:tcPr>
            <w:tcW w:w="2041" w:type="dxa"/>
          </w:tcPr>
          <w:p w14:paraId="6E9D0203" w14:textId="77777777" w:rsidR="00066859" w:rsidRPr="00160C64" w:rsidRDefault="00066859" w:rsidP="00AB7100">
            <w:pPr>
              <w:pStyle w:val="Tabelle-Text"/>
              <w:ind w:left="42"/>
            </w:pPr>
            <w:r>
              <w:t>States</w:t>
            </w:r>
          </w:p>
        </w:tc>
        <w:tc>
          <w:tcPr>
            <w:tcW w:w="4617" w:type="dxa"/>
          </w:tcPr>
          <w:p w14:paraId="18633084" w14:textId="503F7EA3" w:rsidR="00066859" w:rsidRPr="00DC6490" w:rsidRDefault="00066859" w:rsidP="00AB7100">
            <w:pPr>
              <w:pStyle w:val="Tabelle-Text"/>
            </w:pPr>
            <w:r w:rsidRPr="00DC6490">
              <w:t xml:space="preserve">Right to legislate </w:t>
            </w:r>
            <w:r w:rsidR="00E6756A">
              <w:t xml:space="preserve">for </w:t>
            </w:r>
            <w:r w:rsidRPr="00DC6490">
              <w:t>all areas not explicitly mentioned in the Grundgesetz</w:t>
            </w:r>
          </w:p>
        </w:tc>
        <w:tc>
          <w:tcPr>
            <w:tcW w:w="3418" w:type="dxa"/>
          </w:tcPr>
          <w:p w14:paraId="3049025C" w14:textId="77777777" w:rsidR="00066859" w:rsidRDefault="00066859" w:rsidP="00AB7100">
            <w:pPr>
              <w:pStyle w:val="Tabelle-Text"/>
            </w:pPr>
            <w:r>
              <w:t>Restaurant law (Gaststättenrecht)</w:t>
            </w:r>
          </w:p>
          <w:p w14:paraId="7BEC450E" w14:textId="77777777" w:rsidR="00066859" w:rsidRPr="00BF007D" w:rsidRDefault="00066859" w:rsidP="00AB7100">
            <w:pPr>
              <w:pStyle w:val="Tabelle-Text"/>
            </w:pPr>
            <w:r>
              <w:t>Media regulation</w:t>
            </w:r>
          </w:p>
        </w:tc>
      </w:tr>
      <w:tr w:rsidR="00066859" w:rsidRPr="000D515D" w14:paraId="64EFF944" w14:textId="77777777" w:rsidTr="00E6756A">
        <w:trPr>
          <w:trHeight w:val="20"/>
        </w:trPr>
        <w:tc>
          <w:tcPr>
            <w:tcW w:w="2041" w:type="dxa"/>
          </w:tcPr>
          <w:p w14:paraId="6469A2DE" w14:textId="77777777" w:rsidR="00066859" w:rsidRPr="00DC6490" w:rsidRDefault="00066859" w:rsidP="00AB7100">
            <w:pPr>
              <w:pStyle w:val="Tabelle-Text"/>
              <w:ind w:left="42"/>
            </w:pPr>
            <w:r>
              <w:t>M</w:t>
            </w:r>
            <w:r w:rsidRPr="00DC6490">
              <w:t>unicipalities</w:t>
            </w:r>
          </w:p>
        </w:tc>
        <w:tc>
          <w:tcPr>
            <w:tcW w:w="4617" w:type="dxa"/>
          </w:tcPr>
          <w:p w14:paraId="439A1449" w14:textId="18970235" w:rsidR="00066859" w:rsidRPr="00DC6490" w:rsidRDefault="00066859" w:rsidP="00AB7100">
            <w:pPr>
              <w:pStyle w:val="Tabelle-Text"/>
            </w:pPr>
            <w:r w:rsidRPr="00DC6490">
              <w:t>Right to regulate all local affairs (Art. 28(2) GG, Details differ by state</w:t>
            </w:r>
            <w:r w:rsidR="00E6756A">
              <w:t xml:space="preserve"> and are </w:t>
            </w:r>
            <w:r w:rsidRPr="00DC6490">
              <w:t xml:space="preserve">laid out in the </w:t>
            </w:r>
            <w:r w:rsidR="00E6756A">
              <w:t>s</w:t>
            </w:r>
            <w:r w:rsidRPr="00DC6490">
              <w:t xml:space="preserve">tates’ </w:t>
            </w:r>
            <w:r w:rsidR="00E6756A">
              <w:t>municipality l</w:t>
            </w:r>
            <w:r w:rsidRPr="00DC6490">
              <w:t>aws</w:t>
            </w:r>
          </w:p>
        </w:tc>
        <w:tc>
          <w:tcPr>
            <w:tcW w:w="3418" w:type="dxa"/>
          </w:tcPr>
          <w:p w14:paraId="0909151B" w14:textId="77777777" w:rsidR="00066859" w:rsidRPr="00AA6DF8" w:rsidRDefault="00066859" w:rsidP="00AB7100">
            <w:pPr>
              <w:pStyle w:val="Tabelle-Text"/>
              <w:rPr>
                <w:lang w:val="en-US"/>
              </w:rPr>
            </w:pPr>
            <w:r w:rsidRPr="00AA6DF8">
              <w:rPr>
                <w:lang w:val="en-US"/>
              </w:rPr>
              <w:t xml:space="preserve">Maintenance of hospitals </w:t>
            </w:r>
          </w:p>
          <w:p w14:paraId="3C7B6574" w14:textId="77777777" w:rsidR="00066859" w:rsidRPr="00BF007D" w:rsidRDefault="00066859" w:rsidP="00AB7100">
            <w:pPr>
              <w:pStyle w:val="Tabelle-Text"/>
            </w:pPr>
            <w:r w:rsidRPr="00AA6DF8">
              <w:rPr>
                <w:lang w:val="en-US"/>
              </w:rPr>
              <w:t xml:space="preserve">External school matters </w:t>
            </w:r>
            <w:r>
              <w:rPr>
                <w:lang w:val="en-US"/>
              </w:rPr>
              <w:t>(</w:t>
            </w:r>
            <w:r w:rsidRPr="00AA6DF8">
              <w:rPr>
                <w:lang w:val="en-US"/>
              </w:rPr>
              <w:t xml:space="preserve">e.g. </w:t>
            </w:r>
            <w:r>
              <w:rPr>
                <w:lang w:val="en-US"/>
              </w:rPr>
              <w:t xml:space="preserve">provision of </w:t>
            </w:r>
            <w:r w:rsidRPr="00AA6DF8">
              <w:rPr>
                <w:lang w:val="en-US"/>
              </w:rPr>
              <w:t>school meals)</w:t>
            </w:r>
          </w:p>
        </w:tc>
      </w:tr>
    </w:tbl>
    <w:p w14:paraId="153C4ED6" w14:textId="77777777" w:rsidR="00066859" w:rsidRPr="00EE5401" w:rsidRDefault="00066859" w:rsidP="00EE5401"/>
    <w:p w14:paraId="57908672" w14:textId="55029A69" w:rsidR="008C3284" w:rsidRDefault="008C3284" w:rsidP="008C3284">
      <w:pPr>
        <w:pStyle w:val="berschrift2"/>
      </w:pPr>
      <w:bookmarkStart w:id="39" w:name="_Toc221783977"/>
      <w:r>
        <w:t>Primary competences of the European Union</w:t>
      </w:r>
      <w:bookmarkEnd w:id="39"/>
    </w:p>
    <w:p w14:paraId="75355D5E" w14:textId="348513E9" w:rsidR="008C3284" w:rsidRDefault="008C3284" w:rsidP="008C3284">
      <w:r>
        <w:t>Eleven indicators are classified as a primary competence of the EU. Eight of them – namely f</w:t>
      </w:r>
      <w:r w:rsidRPr="0040018F">
        <w:t xml:space="preserve">ood composition (COMP1 and COMP2), labelling (LABEL1 to LABEL5) and product and </w:t>
      </w:r>
      <w:r w:rsidRPr="0040018F">
        <w:lastRenderedPageBreak/>
        <w:t xml:space="preserve">packaging </w:t>
      </w:r>
      <w:r>
        <w:t xml:space="preserve">promotions </w:t>
      </w:r>
      <w:r w:rsidRPr="0040018F">
        <w:t>(PROMO5)</w:t>
      </w:r>
      <w:r>
        <w:t xml:space="preserve"> are a shared competence of the EU under the area of the internal market and consumer protection (Art. 4(2) TFEU; </w:t>
      </w:r>
      <w:r w:rsidRPr="0040018F">
        <w:t>see</w:t>
      </w:r>
      <w:r>
        <w:t xml:space="preserve"> also</w:t>
      </w:r>
      <w:r w:rsidRPr="0040018F">
        <w:t xml:space="preserve"> </w:t>
      </w:r>
      <w:r w:rsidRPr="0040018F">
        <w:fldChar w:fldCharType="begin"/>
      </w:r>
      <w:r w:rsidRPr="0040018F">
        <w:instrText xml:space="preserve"> REF _Ref181371963 \h </w:instrText>
      </w:r>
      <w:r>
        <w:instrText xml:space="preserve"> \* MERGEFORMAT </w:instrText>
      </w:r>
      <w:r w:rsidRPr="0040018F">
        <w:fldChar w:fldCharType="separate"/>
      </w:r>
      <w:r w:rsidRPr="0040018F">
        <w:t xml:space="preserve">table </w:t>
      </w:r>
      <w:r w:rsidRPr="0040018F">
        <w:rPr>
          <w:noProof/>
        </w:rPr>
        <w:t>3</w:t>
      </w:r>
      <w:r w:rsidRPr="0040018F">
        <w:fldChar w:fldCharType="end"/>
      </w:r>
      <w:r w:rsidRPr="0040018F">
        <w:t>).</w:t>
      </w:r>
      <w:r>
        <w:t xml:space="preserve"> As a result, </w:t>
      </w:r>
      <w:r w:rsidR="00ED45A5">
        <w:t xml:space="preserve">EU </w:t>
      </w:r>
      <w:r w:rsidRPr="0040018F">
        <w:t xml:space="preserve">Member States’ </w:t>
      </w:r>
      <w:r>
        <w:t>may only</w:t>
      </w:r>
      <w:r w:rsidRPr="0040018F">
        <w:t xml:space="preserve"> </w:t>
      </w:r>
      <w:r>
        <w:t xml:space="preserve">act on issues </w:t>
      </w:r>
      <w:r w:rsidRPr="0040018F">
        <w:t xml:space="preserve">where the EU has not yet introduced </w:t>
      </w:r>
      <w:r>
        <w:t>harmonizing</w:t>
      </w:r>
      <w:r w:rsidRPr="0040018F">
        <w:t xml:space="preserve"> regulations (Art. 2(2) TFEU). </w:t>
      </w:r>
      <w:r w:rsidR="00ED45A5">
        <w:t>Yet f</w:t>
      </w:r>
      <w:r>
        <w:t xml:space="preserve">ood law is largely </w:t>
      </w:r>
      <w:r w:rsidRPr="0040018F">
        <w:t xml:space="preserve">harmonized across the EU </w:t>
      </w:r>
      <w:r>
        <w:t>through</w:t>
      </w:r>
      <w:r w:rsidRPr="0040018F">
        <w:t xml:space="preserve"> both general legislation</w:t>
      </w:r>
      <w:r>
        <w:t xml:space="preserve"> – such as the </w:t>
      </w:r>
      <w:r w:rsidRPr="0040018F">
        <w:t>General Food Law Regulation (EU</w:t>
      </w:r>
      <w:r>
        <w:t xml:space="preserve"> </w:t>
      </w:r>
      <w:r w:rsidRPr="0040018F">
        <w:t>178/2002),</w:t>
      </w:r>
      <w:r>
        <w:t xml:space="preserve"> and the </w:t>
      </w:r>
      <w:r w:rsidRPr="0040018F">
        <w:t>Food Information Regulation (EU</w:t>
      </w:r>
      <w:r>
        <w:t xml:space="preserve"> </w:t>
      </w:r>
      <w:r w:rsidRPr="0040018F">
        <w:t>1169/2011)</w:t>
      </w:r>
      <w:r w:rsidRPr="00745118">
        <w:t>– and specific legislation (</w:t>
      </w:r>
      <w:r>
        <w:t xml:space="preserve">such the </w:t>
      </w:r>
      <w:r w:rsidRPr="0040018F">
        <w:t>Health Claims Regulation (EU</w:t>
      </w:r>
      <w:r>
        <w:t xml:space="preserve"> </w:t>
      </w:r>
      <w:r w:rsidRPr="0040018F">
        <w:t>192</w:t>
      </w:r>
      <w:r>
        <w:t>4</w:t>
      </w:r>
      <w:r w:rsidRPr="0040018F">
        <w:t>/2006</w:t>
      </w:r>
      <w:r w:rsidRPr="00745118">
        <w:t>)</w:t>
      </w:r>
      <w:r>
        <w:t xml:space="preserve"> or</w:t>
      </w:r>
      <w:r w:rsidRPr="00745118">
        <w:t xml:space="preserve"> EU 1925/2006 on addition of vitamins and minerals). This means that in these areas, Member States’ power to legislate hinges on the question if these regulations are considered exhaustive, which is subject to debate, and varies by topic (see following sections).</w:t>
      </w:r>
    </w:p>
    <w:p w14:paraId="1B13B77E" w14:textId="178AE536" w:rsidR="008C3284" w:rsidRPr="00BC4DBE" w:rsidRDefault="00ED45A5" w:rsidP="00330FF8">
      <w:pPr>
        <w:pStyle w:val="berschrift3"/>
      </w:pPr>
      <w:r>
        <w:t>Food composition and l</w:t>
      </w:r>
      <w:r w:rsidR="008C3284">
        <w:t>abelling</w:t>
      </w:r>
      <w:r w:rsidR="008C3284" w:rsidRPr="00BC4DBE">
        <w:t xml:space="preserve"> </w:t>
      </w:r>
    </w:p>
    <w:p w14:paraId="5E730DB3" w14:textId="6260CB0A" w:rsidR="008C3284" w:rsidRDefault="008C3284" w:rsidP="008C3284">
      <w:r w:rsidRPr="0040018F">
        <w:t xml:space="preserve">EU regulations </w:t>
      </w:r>
      <w:r>
        <w:t xml:space="preserve">on </w:t>
      </w:r>
      <w:r w:rsidR="00ED45A5">
        <w:t>food composition (</w:t>
      </w:r>
      <w:r w:rsidR="005D5800">
        <w:t xml:space="preserve">COMP1 and COMP2, e.g., EU 2019/649), </w:t>
      </w:r>
      <w:r w:rsidRPr="0040018F">
        <w:t>ingredient lists and nutrient declarations (LABEL1, see EU</w:t>
      </w:r>
      <w:r>
        <w:t xml:space="preserve"> </w:t>
      </w:r>
      <w:r w:rsidRPr="0040018F">
        <w:t>1169/2011), nutrition and health claims (LABEL2, see EU</w:t>
      </w:r>
      <w:r>
        <w:t xml:space="preserve"> </w:t>
      </w:r>
      <w:r w:rsidRPr="0040018F">
        <w:t>1925/2006) and front-of pack nutrition information (LABEL3, see EU</w:t>
      </w:r>
      <w:r>
        <w:t xml:space="preserve"> </w:t>
      </w:r>
      <w:r w:rsidRPr="0040018F">
        <w:t xml:space="preserve">1169/2011) are </w:t>
      </w:r>
      <w:r>
        <w:t xml:space="preserve">generally considered </w:t>
      </w:r>
      <w:r w:rsidRPr="0040018F">
        <w:t xml:space="preserve">exhaustive. This means </w:t>
      </w:r>
      <w:r w:rsidRPr="00927D1F">
        <w:t>that Member States can</w:t>
      </w:r>
      <w:r>
        <w:t xml:space="preserve"> implement </w:t>
      </w:r>
      <w:r w:rsidRPr="0040018F">
        <w:t xml:space="preserve">front-of-pack labelling </w:t>
      </w:r>
      <w:r>
        <w:t>schemes</w:t>
      </w:r>
      <w:r w:rsidRPr="0040018F">
        <w:t xml:space="preserve"> </w:t>
      </w:r>
      <w:r>
        <w:t>only</w:t>
      </w:r>
      <w:r w:rsidRPr="0040018F">
        <w:t xml:space="preserve"> </w:t>
      </w:r>
      <w:r>
        <w:t>as legally non-binding act</w:t>
      </w:r>
      <w:r w:rsidR="00ED45A5">
        <w:t>s</w:t>
      </w:r>
      <w:r>
        <w:t xml:space="preserve">, such as a recommendation to food business operators. Examples include the </w:t>
      </w:r>
      <w:r w:rsidRPr="0040018F">
        <w:t xml:space="preserve">Nutri-Score in </w:t>
      </w:r>
      <w:r w:rsidRPr="00D20571">
        <w:t>Belgium</w:t>
      </w:r>
      <w:r>
        <w:t xml:space="preserve">, </w:t>
      </w:r>
      <w:r w:rsidRPr="00D20571">
        <w:t>France</w:t>
      </w:r>
      <w:r>
        <w:t xml:space="preserve">, </w:t>
      </w:r>
      <w:r w:rsidRPr="00D20571">
        <w:t xml:space="preserve">Germany, Luxembourg, the Netherlands, Spain </w:t>
      </w:r>
      <w:r>
        <w:fldChar w:fldCharType="begin"/>
      </w:r>
      <w:r w:rsidR="00216423">
        <w:instrText xml:space="preserve"> ADDIN ZOTERO_ITEM CSL_CITATION {"citationID":"a7a5m3h9fd","properties":{"formattedCitation":"[8]","plainCitation":"[8]","noteIndex":0},"citationItems":[{"id":53,"uris":["http://zotero.org/users/5617569/items/USN5S7BY"],"itemData":{"id":53,"type":"webpage","title":"Der Nutri-Score-Algorithmus entwicklet sich weiter - für gesündere Ernährungsentscheidungen","URL":"https://www.bmel.de/SharedDocs/Downloads/DE/_Ernaehrung/Lebensmittel-Kennzeichnung/pm-nutriscor-weiterentwicklung-laender.pdf?__blob=publicationFile&amp;v=2","author":[{"family":"Federal Ministry of Food and Agriculture (BMEL)","given":""}],"accessed":{"date-parts":[["2025",5,20]]},"issued":{"date-parts":[["2023",4,24]]}}}],"schema":"https://github.com/citation-style-language/schema/raw/master/csl-citation.json"} </w:instrText>
      </w:r>
      <w:r>
        <w:fldChar w:fldCharType="separate"/>
      </w:r>
      <w:r w:rsidR="00216423">
        <w:t>[8]</w:t>
      </w:r>
      <w:r>
        <w:fldChar w:fldCharType="end"/>
      </w:r>
      <w:r>
        <w:t xml:space="preserve"> </w:t>
      </w:r>
      <w:r w:rsidRPr="00D20571">
        <w:t xml:space="preserve">and </w:t>
      </w:r>
      <w:r w:rsidRPr="0040018F">
        <w:t xml:space="preserve">the Keyhole </w:t>
      </w:r>
      <w:r>
        <w:t xml:space="preserve">label used </w:t>
      </w:r>
      <w:r w:rsidRPr="0040018F">
        <w:t xml:space="preserve">in Denmark and Sweden. </w:t>
      </w:r>
      <w:r>
        <w:t>The European Commission has also proposed a Green Claims Directive to regulate the use of environmental claims on products (</w:t>
      </w:r>
      <w:r w:rsidRPr="00425704">
        <w:t xml:space="preserve">LABEL5) </w:t>
      </w:r>
      <w:r w:rsidRPr="00425704">
        <w:fldChar w:fldCharType="begin"/>
      </w:r>
      <w:r w:rsidR="00216423">
        <w:instrText xml:space="preserve"> ADDIN ZOTERO_ITEM CSL_CITATION {"citationID":"agssuapvui","properties":{"formattedCitation":"[9]","plainCitation":"[9]","noteIndex":0},"citationItems":[{"id":98,"uris":["http://zotero.org/users/5617569/items/RF95E7FX"],"itemData":{"id":98,"type":"report","genre":"Press Release","language":"en","number":"530/24","publisher-place":"Brussels","source":"Zotero","title":"Green claims directive: Council ready to start talks with the European Parliament","author":[{"family":"European Council","given":""}],"issued":{"date-parts":[["2024",6,17]]}}}],"schema":"https://github.com/citation-style-language/schema/raw/master/csl-citation.json"} </w:instrText>
      </w:r>
      <w:r w:rsidRPr="00425704">
        <w:fldChar w:fldCharType="separate"/>
      </w:r>
      <w:r w:rsidR="00216423">
        <w:t>[9]</w:t>
      </w:r>
      <w:r w:rsidRPr="00425704">
        <w:fldChar w:fldCharType="end"/>
      </w:r>
      <w:r w:rsidRPr="00425704">
        <w:t>. Until</w:t>
      </w:r>
      <w:r>
        <w:t xml:space="preserve"> this Directive is formally adopted by the European Parliament and </w:t>
      </w:r>
      <w:r w:rsidRPr="00745118">
        <w:t>the Council, Member States may still introduce national regulations</w:t>
      </w:r>
      <w:r>
        <w:t xml:space="preserve"> which, however, must not contradict the rules of </w:t>
      </w:r>
      <w:r w:rsidR="00ED45A5">
        <w:t>other EU</w:t>
      </w:r>
      <w:r>
        <w:t xml:space="preserve"> Directive</w:t>
      </w:r>
      <w:r w:rsidR="00ED45A5">
        <w:t>s</w:t>
      </w:r>
      <w:r w:rsidRPr="00745118">
        <w:t>. EU labelling legislation also applies to the food service sector, including quick service restaurants (Chapter 1, Article 1(3) EU 1169/2011) (LABEL4). However, in the food service sector, it is argued that EU regulations may be supplemented by Member States as the principal of su</w:t>
      </w:r>
      <w:r w:rsidRPr="0040018F">
        <w:t>bsidiarity (Article 5(3) TEU) applies</w:t>
      </w:r>
      <w:r>
        <w:t xml:space="preserve">. This principle requires </w:t>
      </w:r>
      <w:r w:rsidRPr="001A6461">
        <w:t xml:space="preserve">the </w:t>
      </w:r>
      <w:r>
        <w:t>EU</w:t>
      </w:r>
      <w:r w:rsidRPr="001A6461">
        <w:t xml:space="preserve"> to demonstrate a need for common rules and measures</w:t>
      </w:r>
      <w:r>
        <w:t xml:space="preserve"> – </w:t>
      </w:r>
      <w:r w:rsidRPr="001A6461">
        <w:t xml:space="preserve">a requirement </w:t>
      </w:r>
      <w:r>
        <w:t xml:space="preserve">which </w:t>
      </w:r>
      <w:r w:rsidRPr="001A6461">
        <w:t xml:space="preserve">is </w:t>
      </w:r>
      <w:r>
        <w:t xml:space="preserve">contested </w:t>
      </w:r>
      <w:r w:rsidRPr="001A6461">
        <w:t>in the locally governed food service sector</w:t>
      </w:r>
      <w:r>
        <w:t>. Within</w:t>
      </w:r>
      <w:r w:rsidRPr="0040018F">
        <w:t xml:space="preserve"> Germany, </w:t>
      </w:r>
      <w:r w:rsidR="00ED45A5">
        <w:t>s</w:t>
      </w:r>
      <w:r>
        <w:t>tates have legislative power for the food service sector</w:t>
      </w:r>
      <w:r w:rsidRPr="0040018F">
        <w:t xml:space="preserve"> (Art. 74(1) No. 11 GG). </w:t>
      </w:r>
      <w:r>
        <w:t xml:space="preserve">States </w:t>
      </w:r>
      <w:r w:rsidRPr="0040018F">
        <w:t>may</w:t>
      </w:r>
      <w:r w:rsidRPr="0040018F">
        <w:rPr>
          <w:i/>
          <w:iCs/>
        </w:rPr>
        <w:t xml:space="preserve"> </w:t>
      </w:r>
      <w:r w:rsidRPr="0040018F">
        <w:t>supplement EU rules for food service outlets</w:t>
      </w:r>
      <w:r>
        <w:t xml:space="preserve"> </w:t>
      </w:r>
      <w:r w:rsidRPr="0040018F">
        <w:t>and</w:t>
      </w:r>
      <w:r>
        <w:t>, for example,</w:t>
      </w:r>
      <w:r w:rsidRPr="0040018F">
        <w:t xml:space="preserve"> </w:t>
      </w:r>
      <w:r>
        <w:t xml:space="preserve">may </w:t>
      </w:r>
      <w:r w:rsidRPr="0040018F">
        <w:t xml:space="preserve">introduce local labelling requirements </w:t>
      </w:r>
      <w:r>
        <w:t>for</w:t>
      </w:r>
      <w:r w:rsidRPr="0040018F">
        <w:t xml:space="preserve"> quick service restaurants. Beyond food service law, legislative </w:t>
      </w:r>
      <w:r>
        <w:t xml:space="preserve">powers </w:t>
      </w:r>
      <w:r w:rsidRPr="0040018F">
        <w:t>in food composition and labelling</w:t>
      </w:r>
      <w:r>
        <w:t xml:space="preserve">, </w:t>
      </w:r>
      <w:r w:rsidRPr="0040018F">
        <w:t xml:space="preserve">fall under the concurrent legislative </w:t>
      </w:r>
      <w:r>
        <w:t xml:space="preserve">powers </w:t>
      </w:r>
      <w:r w:rsidRPr="0040018F">
        <w:t xml:space="preserve">of the </w:t>
      </w:r>
      <w:r w:rsidRPr="0040018F">
        <w:lastRenderedPageBreak/>
        <w:t xml:space="preserve">federal government </w:t>
      </w:r>
      <w:r>
        <w:t xml:space="preserve">in the areas of </w:t>
      </w:r>
      <w:r w:rsidRPr="0040018F">
        <w:t>economic, agriculture and food</w:t>
      </w:r>
      <w:r>
        <w:t xml:space="preserve">, </w:t>
      </w:r>
      <w:r w:rsidRPr="0040018F">
        <w:t xml:space="preserve">and environmental </w:t>
      </w:r>
      <w:r>
        <w:t>law</w:t>
      </w:r>
      <w:r w:rsidRPr="0040018F">
        <w:t xml:space="preserve"> (Art. 74(1) No. 11, 17, 20, 29 GG). </w:t>
      </w:r>
    </w:p>
    <w:p w14:paraId="7EE17D51" w14:textId="77777777" w:rsidR="008C3284" w:rsidRPr="00571CF6" w:rsidRDefault="008C3284" w:rsidP="00330FF8">
      <w:pPr>
        <w:pStyle w:val="berschrift3"/>
      </w:pPr>
      <w:r w:rsidRPr="00571CF6">
        <w:t>Product packaging and promotions</w:t>
      </w:r>
    </w:p>
    <w:p w14:paraId="2B917ED8" w14:textId="0F65D7A7" w:rsidR="008C3284" w:rsidRPr="00571CF6" w:rsidRDefault="008C3284" w:rsidP="008C3284">
      <w:pPr>
        <w:rPr>
          <w:rFonts w:eastAsiaTheme="majorEastAsia"/>
          <w:shd w:val="clear" w:color="auto" w:fill="FFFFFF"/>
        </w:rPr>
      </w:pPr>
      <w:r w:rsidRPr="00571CF6">
        <w:rPr>
          <w:rFonts w:eastAsiaTheme="majorEastAsia"/>
          <w:shd w:val="clear" w:color="auto" w:fill="FFFFFF"/>
        </w:rPr>
        <w:t xml:space="preserve">Food product and packaging also fall under </w:t>
      </w:r>
      <w:r w:rsidRPr="00571CF6">
        <w:rPr>
          <w:shd w:val="clear" w:color="auto" w:fill="FFFFFF"/>
        </w:rPr>
        <w:t xml:space="preserve">the EU’s </w:t>
      </w:r>
      <w:r w:rsidRPr="00571CF6">
        <w:rPr>
          <w:rFonts w:eastAsiaTheme="majorEastAsia"/>
          <w:shd w:val="clear" w:color="auto" w:fill="FFFFFF"/>
        </w:rPr>
        <w:t>shared competence</w:t>
      </w:r>
      <w:r w:rsidRPr="00571CF6">
        <w:rPr>
          <w:shd w:val="clear" w:color="auto" w:fill="FFFFFF"/>
        </w:rPr>
        <w:t xml:space="preserve"> and rules are mostly </w:t>
      </w:r>
      <w:r w:rsidRPr="00571CF6">
        <w:rPr>
          <w:rFonts w:eastAsiaTheme="majorEastAsia"/>
          <w:shd w:val="clear" w:color="auto" w:fill="FFFFFF"/>
        </w:rPr>
        <w:t xml:space="preserve">harmonized </w:t>
      </w:r>
      <w:r w:rsidRPr="00571CF6">
        <w:rPr>
          <w:shd w:val="clear" w:color="auto" w:fill="FFFFFF"/>
        </w:rPr>
        <w:t xml:space="preserve">– </w:t>
      </w:r>
      <w:r w:rsidRPr="00571CF6">
        <w:rPr>
          <w:rFonts w:eastAsiaTheme="majorEastAsia"/>
          <w:shd w:val="clear" w:color="auto" w:fill="FFFFFF"/>
        </w:rPr>
        <w:t xml:space="preserve">for example, </w:t>
      </w:r>
      <w:r>
        <w:rPr>
          <w:rFonts w:eastAsiaTheme="majorEastAsia"/>
          <w:shd w:val="clear" w:color="auto" w:fill="FFFFFF"/>
        </w:rPr>
        <w:t xml:space="preserve">via </w:t>
      </w:r>
      <w:r w:rsidRPr="00571CF6">
        <w:rPr>
          <w:rFonts w:eastAsiaTheme="majorEastAsia"/>
          <w:shd w:val="clear" w:color="auto" w:fill="FFFFFF"/>
        </w:rPr>
        <w:t xml:space="preserve">the Food </w:t>
      </w:r>
      <w:r w:rsidRPr="00745118">
        <w:rPr>
          <w:rFonts w:eastAsiaTheme="majorEastAsia"/>
          <w:shd w:val="clear" w:color="auto" w:fill="FFFFFF"/>
        </w:rPr>
        <w:t xml:space="preserve">Information Regulation (EU 1169/2011) and </w:t>
      </w:r>
      <w:r>
        <w:rPr>
          <w:rFonts w:eastAsiaTheme="majorEastAsia"/>
          <w:shd w:val="clear" w:color="auto" w:fill="FFFFFF"/>
        </w:rPr>
        <w:t xml:space="preserve">via the </w:t>
      </w:r>
      <w:r w:rsidRPr="00745118">
        <w:rPr>
          <w:rFonts w:eastAsiaTheme="majorEastAsia"/>
          <w:shd w:val="clear" w:color="auto" w:fill="FFFFFF"/>
        </w:rPr>
        <w:t xml:space="preserve">Health Claims Regulation (EU 1924/2006). </w:t>
      </w:r>
      <w:r w:rsidRPr="00745118">
        <w:rPr>
          <w:shd w:val="clear" w:color="auto" w:fill="FFFFFF"/>
        </w:rPr>
        <w:t xml:space="preserve">However, </w:t>
      </w:r>
      <w:r w:rsidRPr="00745118">
        <w:t xml:space="preserve">it is contested whether EU regulations on promotional food packaging are exhaustive or can be supplemented at the national level. Examples from the related policy fields of tobacco and alcohol policy illustrate this point. In </w:t>
      </w:r>
      <w:r w:rsidRPr="00745118">
        <w:rPr>
          <w:rFonts w:eastAsiaTheme="majorEastAsia"/>
          <w:shd w:val="clear" w:color="auto" w:fill="FFFFFF"/>
        </w:rPr>
        <w:t>tobacco</w:t>
      </w:r>
      <w:r w:rsidRPr="00745118">
        <w:rPr>
          <w:shd w:val="clear" w:color="auto" w:fill="FFFFFF"/>
        </w:rPr>
        <w:t xml:space="preserve"> control</w:t>
      </w:r>
      <w:r w:rsidRPr="00745118">
        <w:rPr>
          <w:rFonts w:eastAsiaTheme="majorEastAsia"/>
          <w:shd w:val="clear" w:color="auto" w:fill="FFFFFF"/>
        </w:rPr>
        <w:t xml:space="preserve">, EU </w:t>
      </w:r>
      <w:r w:rsidRPr="00745118">
        <w:rPr>
          <w:shd w:val="clear" w:color="auto" w:fill="FFFFFF"/>
        </w:rPr>
        <w:t xml:space="preserve">legislation mandates that </w:t>
      </w:r>
      <w:r w:rsidRPr="00745118">
        <w:rPr>
          <w:rFonts w:eastAsiaTheme="majorEastAsia"/>
          <w:shd w:val="clear" w:color="auto" w:fill="FFFFFF"/>
        </w:rPr>
        <w:t xml:space="preserve">65 percent of the external surface of cigarette </w:t>
      </w:r>
      <w:r w:rsidRPr="00745118">
        <w:rPr>
          <w:shd w:val="clear" w:color="auto" w:fill="FFFFFF"/>
        </w:rPr>
        <w:t xml:space="preserve">packaging display </w:t>
      </w:r>
      <w:r w:rsidRPr="00745118">
        <w:rPr>
          <w:rFonts w:eastAsiaTheme="majorEastAsia"/>
          <w:shd w:val="clear" w:color="auto" w:fill="FFFFFF"/>
        </w:rPr>
        <w:t>health warnings (Art. 10(1) c Directive 2014/40)</w:t>
      </w:r>
      <w:r w:rsidRPr="00745118">
        <w:rPr>
          <w:shd w:val="clear" w:color="auto" w:fill="FFFFFF"/>
        </w:rPr>
        <w:t xml:space="preserve">, leaving Member States with limited room for additional national </w:t>
      </w:r>
      <w:r w:rsidRPr="00571CF6">
        <w:rPr>
          <w:shd w:val="clear" w:color="auto" w:fill="FFFFFF"/>
        </w:rPr>
        <w:t>regulation. In the alcohol sector, Ireland’s Public Health (Alcohol) Act 2018 introduce</w:t>
      </w:r>
      <w:r w:rsidR="00303DBF">
        <w:rPr>
          <w:shd w:val="clear" w:color="auto" w:fill="FFFFFF"/>
        </w:rPr>
        <w:t xml:space="preserve">d </w:t>
      </w:r>
      <w:r w:rsidR="00303DBF" w:rsidRPr="00571CF6">
        <w:rPr>
          <w:shd w:val="clear" w:color="auto" w:fill="FFFFFF"/>
        </w:rPr>
        <w:t>mandatory health warning</w:t>
      </w:r>
      <w:r w:rsidR="00303DBF">
        <w:rPr>
          <w:shd w:val="clear" w:color="auto" w:fill="FFFFFF"/>
        </w:rPr>
        <w:t>s</w:t>
      </w:r>
      <w:r w:rsidRPr="00571CF6">
        <w:rPr>
          <w:shd w:val="clear" w:color="auto" w:fill="FFFFFF"/>
        </w:rPr>
        <w:t xml:space="preserve"> on alcohol products starting in 2026 </w:t>
      </w:r>
      <w:r w:rsidRPr="00571CF6">
        <w:t xml:space="preserve">(Part 2, Subsection 12). </w:t>
      </w:r>
      <w:r w:rsidR="00303DBF">
        <w:t>D</w:t>
      </w:r>
      <w:r w:rsidRPr="00571CF6">
        <w:t>espite formal objections from several other Member States and industry stakeholders</w:t>
      </w:r>
      <w:r w:rsidR="00303DBF">
        <w:t>, the</w:t>
      </w:r>
      <w:r w:rsidR="00303DBF" w:rsidRPr="00571CF6">
        <w:t xml:space="preserve"> European Commission allowed the national law to proceed </w:t>
      </w:r>
      <w:r w:rsidRPr="00571CF6">
        <w:fldChar w:fldCharType="begin"/>
      </w:r>
      <w:r w:rsidR="00216423">
        <w:instrText xml:space="preserve"> ADDIN ZOTERO_ITEM CSL_CITATION {"citationID":"andpoih2jt","properties":{"formattedCitation":"[10]","plainCitation":"[10]","noteIndex":0},"citationItems":[{"id":833,"uris":["http://zotero.org/users/5617569/items/ES4ZLRIP"],"itemData":{"id":833,"type":"webpage","abstract":"Answer for question E-003413/22","language":"en","title":"Parliamentary question | Answer for question E-003413/22 | Answer given by Ms Kyriakides on behalf of the European Commission","URL":"https://www.europarl.europa.eu/doceo/document/E-9-2022-003413-ASW_EN.html","author":[{"family":"European Parliament","given":""}],"accessed":{"date-parts":[["2025",4,8]]},"issued":{"date-parts":[["2022",12,13]]}}}],"schema":"https://github.com/citation-style-language/schema/raw/master/csl-citation.json"} </w:instrText>
      </w:r>
      <w:r w:rsidRPr="00571CF6">
        <w:fldChar w:fldCharType="separate"/>
      </w:r>
      <w:r w:rsidR="00216423">
        <w:t>[10]</w:t>
      </w:r>
      <w:r w:rsidRPr="00571CF6">
        <w:fldChar w:fldCharType="end"/>
      </w:r>
      <w:r w:rsidRPr="00571CF6">
        <w:t xml:space="preserve">. Whether a similar decision would be applied to national rules on food packaging promotions remains uncertain. </w:t>
      </w:r>
      <w:r w:rsidR="00EE3AF5">
        <w:t>In</w:t>
      </w:r>
      <w:r w:rsidRPr="00571CF6">
        <w:t xml:space="preserve"> Germany, legislation on food packaging and promotional claims is a federal legislative power under economic and food law.</w:t>
      </w:r>
    </w:p>
    <w:p w14:paraId="07BBE609" w14:textId="77777777" w:rsidR="008C3284" w:rsidRPr="00571CF6" w:rsidRDefault="008C3284" w:rsidP="00330FF8">
      <w:pPr>
        <w:pStyle w:val="berschrift3"/>
      </w:pPr>
      <w:r>
        <w:t>Trade policy</w:t>
      </w:r>
    </w:p>
    <w:p w14:paraId="4E749846" w14:textId="1D95D0F3" w:rsidR="008C3284" w:rsidRDefault="008C3284" w:rsidP="008C3284">
      <w:r w:rsidRPr="0040018F">
        <w:t>Trade policy</w:t>
      </w:r>
      <w:r>
        <w:t xml:space="preserve">, </w:t>
      </w:r>
      <w:r w:rsidRPr="0040018F">
        <w:t>including trade and invest</w:t>
      </w:r>
      <w:r>
        <w:t>m</w:t>
      </w:r>
      <w:r w:rsidRPr="0040018F">
        <w:t>ent agreements</w:t>
      </w:r>
      <w:r>
        <w:t xml:space="preserve">, falls under the </w:t>
      </w:r>
      <w:r w:rsidRPr="0040018F">
        <w:t xml:space="preserve">exclusive competence of the EU (Art. 206(1), 207(1) TFEU). In </w:t>
      </w:r>
      <w:r>
        <w:t xml:space="preserve">the case of </w:t>
      </w:r>
      <w:r w:rsidRPr="0040018F">
        <w:t xml:space="preserve">mixed agreements </w:t>
      </w:r>
      <w:r>
        <w:t xml:space="preserve">(i.e. trade and investment agreements that touch </w:t>
      </w:r>
      <w:r w:rsidRPr="0040018F">
        <w:t xml:space="preserve">areas </w:t>
      </w:r>
      <w:r w:rsidRPr="00927D1F">
        <w:t>within Member State competence</w:t>
      </w:r>
      <w:r>
        <w:t>) approval by national parliaments is required</w:t>
      </w:r>
      <w:r w:rsidRPr="0040018F">
        <w:t xml:space="preserve">. In Germany, this means that trade agreements </w:t>
      </w:r>
      <w:r>
        <w:t>covering</w:t>
      </w:r>
      <w:r w:rsidRPr="0040018F">
        <w:t xml:space="preserve"> </w:t>
      </w:r>
      <w:r>
        <w:t>State</w:t>
      </w:r>
      <w:r w:rsidRPr="0040018F">
        <w:t xml:space="preserve"> </w:t>
      </w:r>
      <w:r>
        <w:t xml:space="preserve">powers </w:t>
      </w:r>
      <w:r w:rsidRPr="0040018F">
        <w:t>must also be approved by the</w:t>
      </w:r>
      <w:r>
        <w:t xml:space="preserve"> </w:t>
      </w:r>
      <w:r w:rsidRPr="00A81CE6">
        <w:rPr>
          <w:i/>
          <w:iCs/>
        </w:rPr>
        <w:t>Bundesrat</w:t>
      </w:r>
      <w:r>
        <w:t xml:space="preserve"> (Federal Council), </w:t>
      </w:r>
      <w:r w:rsidRPr="0040018F">
        <w:t xml:space="preserve">as was the case in December 2022 for </w:t>
      </w:r>
      <w:r>
        <w:t>certain provisions of</w:t>
      </w:r>
      <w:r w:rsidRPr="0040018F">
        <w:t xml:space="preserve"> CETA, the </w:t>
      </w:r>
      <w:r w:rsidRPr="00571CF6">
        <w:t>Comprehensive Economic and Trade Agreement</w:t>
      </w:r>
      <w:r>
        <w:t xml:space="preserve"> </w:t>
      </w:r>
      <w:r w:rsidRPr="0040018F">
        <w:t xml:space="preserve">with Canada. </w:t>
      </w:r>
      <w:r w:rsidR="00EE3AF5">
        <w:t xml:space="preserve">As Member States play a limited role in negotiating trade and investment agreements no supporting competence is assumed. </w:t>
      </w:r>
    </w:p>
    <w:p w14:paraId="6A028753" w14:textId="77777777" w:rsidR="008C3284" w:rsidRDefault="008C3284" w:rsidP="00330FF8">
      <w:pPr>
        <w:pStyle w:val="berschrift3"/>
      </w:pPr>
      <w:r>
        <w:t>Food waste</w:t>
      </w:r>
    </w:p>
    <w:p w14:paraId="7E0E6971" w14:textId="40966125" w:rsidR="008C3284" w:rsidRDefault="008C3284" w:rsidP="008C3284">
      <w:r>
        <w:t xml:space="preserve">Food waste falls under the EU’s shared competence. The Waste Framework Directive (2008/98/EC) harmonizes rules and establishes common principles – such as waste hierarchies – that also apply to the food supply chain. EU directives must be transposed into </w:t>
      </w:r>
      <w:r>
        <w:lastRenderedPageBreak/>
        <w:t xml:space="preserve">national law by Member States. In Germany, this was done in the </w:t>
      </w:r>
      <w:r w:rsidRPr="00571CF6">
        <w:t>Act to Promote the Circular Economy and Ensure Environmentally Sound Waste Management (Kreislaufwirtschaftsgesetz, KrWG).</w:t>
      </w:r>
      <w:r>
        <w:t xml:space="preserve"> Within Germany, </w:t>
      </w:r>
      <w:r w:rsidR="00DE77A8">
        <w:t>s</w:t>
      </w:r>
      <w:r>
        <w:t xml:space="preserve">tates may enact supporting legislation to address specific regional needs. For example, the Bavarian Waste Management Act (Abfallwirtschaftsgesetz, BayAbfG), outlines state-level provisions for waste collection, recycling, and disposal. </w:t>
      </w:r>
    </w:p>
    <w:p w14:paraId="027B8456" w14:textId="1882237E" w:rsidR="008C3284" w:rsidRDefault="008C3284" w:rsidP="008C3284">
      <w:r>
        <w:t xml:space="preserve">In addition, all levels of government may initiate voluntary programs to reduce food waste, such as connecting local supermarkets and food banks. In this context, the EU holds the primary competence, while the federal and state government have supporting powers. </w:t>
      </w:r>
    </w:p>
    <w:p w14:paraId="6A4BD16F" w14:textId="14877689" w:rsidR="00C161CF" w:rsidRDefault="00C161CF" w:rsidP="00C161CF">
      <w:pPr>
        <w:pStyle w:val="berschrift2"/>
      </w:pPr>
      <w:bookmarkStart w:id="40" w:name="_Toc221783978"/>
      <w:r>
        <w:t>Primary legislative powers of the federal government</w:t>
      </w:r>
      <w:bookmarkEnd w:id="40"/>
    </w:p>
    <w:p w14:paraId="2E350F79" w14:textId="77777777" w:rsidR="00C161CF" w:rsidRDefault="00C161CF" w:rsidP="00C161CF">
      <w:r w:rsidRPr="00D53D61">
        <w:t>Four Food-EPI indicators are a primary legislative power of the federal government:  PRICES1 and PRICES2 and LEAD2 and LEAD3</w:t>
      </w:r>
      <w:r>
        <w:t>.</w:t>
      </w:r>
    </w:p>
    <w:p w14:paraId="7DC516CC" w14:textId="23727DB5" w:rsidR="00C161CF" w:rsidRPr="00D53D61" w:rsidRDefault="00C161CF" w:rsidP="00330FF8">
      <w:pPr>
        <w:pStyle w:val="berschrift3"/>
      </w:pPr>
      <w:r>
        <w:t>Prices</w:t>
      </w:r>
    </w:p>
    <w:p w14:paraId="449F68BA" w14:textId="25B9FDDA" w:rsidR="00C161CF" w:rsidRDefault="00C161CF" w:rsidP="00C161CF">
      <w:r w:rsidRPr="00D53D61">
        <w:t>In principle, all levels of public budgets (EU, federal, state and municipal) may levy taxes or provide subsidies, thereby influencing food prices.</w:t>
      </w:r>
      <w:r>
        <w:t xml:space="preserve"> </w:t>
      </w:r>
      <w:r w:rsidRPr="00D53D61">
        <w:t xml:space="preserve">In Germany, VAT is a concurrent legislative </w:t>
      </w:r>
      <w:r>
        <w:t xml:space="preserve">power </w:t>
      </w:r>
      <w:r w:rsidRPr="00D53D61">
        <w:t>of the federal government (Art. 105; Art. 106(3), GG)</w:t>
      </w:r>
      <w:r>
        <w:t xml:space="preserve">. </w:t>
      </w:r>
      <w:r w:rsidRPr="00D53D61">
        <w:t xml:space="preserve">As tax revenues are shared between the federal, </w:t>
      </w:r>
      <w:r w:rsidR="00DE77A8">
        <w:t>s</w:t>
      </w:r>
      <w:r w:rsidRPr="00D53D61">
        <w:t xml:space="preserve">tate and in some cases municipal levels, changes to VAT rates require the consent of the </w:t>
      </w:r>
      <w:r w:rsidRPr="00A81CE6">
        <w:rPr>
          <w:i/>
          <w:iCs/>
        </w:rPr>
        <w:t>Bundestag</w:t>
      </w:r>
      <w:r>
        <w:t xml:space="preserve"> </w:t>
      </w:r>
      <w:r w:rsidRPr="00D53D61">
        <w:t xml:space="preserve">(Art. 106(3), GG). </w:t>
      </w:r>
      <w:r>
        <w:t xml:space="preserve">While the federal government holds the primary legislative power to regulate taxes, the </w:t>
      </w:r>
      <w:r w:rsidR="00DE77A8">
        <w:t>s</w:t>
      </w:r>
      <w:r>
        <w:t xml:space="preserve">tates may introduce local excise and expenditure taxes not already regulated at the federal level. Examples include tourist taxes (Kurtaxe) and the city of Tübingen’s packaging tax, which applies to single-use food packaging and disposable tableware used for takeaway foods and </w:t>
      </w:r>
      <w:r w:rsidRPr="00843D15">
        <w:t xml:space="preserve">beverages </w:t>
      </w:r>
      <w:r w:rsidRPr="00843D15">
        <w:fldChar w:fldCharType="begin"/>
      </w:r>
      <w:r w:rsidR="00216423">
        <w:instrText xml:space="preserve"> ADDIN ZOTERO_ITEM CSL_CITATION {"citationID":"a1t7d26qv2s","properties":{"formattedCitation":"[11]","plainCitation":"[11]","noteIndex":0},"citationItems":[{"id":62,"uris":["http://zotero.org/users/5617569/items/2ZGB5IFS"],"itemData":{"id":62,"type":"webpage","abstract":"Mit heute veröffentlichtem Beschluss hat der Erste Senat des Bundesverfassungsgerichts eine Verfassungsbeschwerde gegen die Satzung der Universitätsstadt Tübingen über die Erhebung einer Verpackungssteuer (Verpackungssteuersatzung) zurückgewiesen. Mit der Verpackungssteuersatzung erhebt die Universitätsstadt Tübingen seit dem 1. Januar 2022 eine Steuer auf den Verbrauch nicht wiederverwendbarer Verpackungen sowie nicht wiederverwendbaren Geschirrs und Bestecks, sofern Speisen und Getränke darin bzw. damit für den unmittelbaren Verzehr an Ort und Stelle oder als mitnehmbares take-away-Gericht oder -Getränk verkauft werden. Zur Entrichtung der Steuer ist der Endverkäufer von entsprechenden Speisen und Getränken verpflichtet. Die Beschwerdeführerin betrieb ein Schnellrestaurant im Gebiet der Universitätsstadt Tübingen. Gegen die Besteuerung des Verbrauchs der von ihr verwendeten Einwegartikel stellte sie einen Normenkontrollantrag, den das Bundesverwaltungsgericht mit Urteil vom 24. Mai 2023 im Wesentlichen abgelehnt hat. Die gegen diese Entscheidung gerichtete Verfassungsbeschwerde blieb ohne Erfolg. Insbesondere handelt es sich bei der Verpackungssteuer auch insoweit um eine „örtliche“ Verbrauchsteuer im Sinne des Art. 105 Abs. 2a Satz 1 Grundgesetz (GG), als der Verbrauch von Einwegartikeln beim Verkauf von „mitnehmbaren take-away-Gerichten oder -Getränken“ besteuert wird. Der mit der Verpackungssteuersatzung bezweckte Anreiz zur Verwendung von Mehrwegsystemen widerspricht auch keiner seit ihrem Inkrafttreten maßgeblichen Konzeption des bundesrechtlichen Abfallrechts.","genre":"Pressemitteilung, Nr. 6/2025","language":"de","title":"Erfolglose Verfassungsbeschwerde gegen Tübinger Verpackungssteuersatzung","URL":"https://www.bundesverfassungsgericht.de/SharedDocs/Pressemitteilungen/DE/2025/bvg25-006.html","author":[{"family":"Federal Constitutional Court","given":""}],"accessed":{"date-parts":[["2025",3,10]]},"issued":{"date-parts":[["2025",1,22]]}}}],"schema":"https://github.com/citation-style-language/schema/raw/master/csl-citation.json"} </w:instrText>
      </w:r>
      <w:r w:rsidRPr="00843D15">
        <w:fldChar w:fldCharType="separate"/>
      </w:r>
      <w:r w:rsidR="00216423">
        <w:t>[11]</w:t>
      </w:r>
      <w:r w:rsidRPr="00843D15">
        <w:fldChar w:fldCharType="end"/>
      </w:r>
      <w:r w:rsidRPr="00843D15">
        <w:t>.</w:t>
      </w:r>
      <w:r>
        <w:t xml:space="preserve"> Despite these local taxes on non-food items, tax rates on food and beverages are standardized at the federal level. At the same time, the </w:t>
      </w:r>
      <w:r w:rsidR="00DE77A8">
        <w:t>EU</w:t>
      </w:r>
      <w:r>
        <w:t xml:space="preserve"> define</w:t>
      </w:r>
      <w:r w:rsidR="00DE77A8">
        <w:t>d</w:t>
      </w:r>
      <w:r>
        <w:t xml:space="preserve"> general guardrails (supporting legislative power) </w:t>
      </w:r>
      <w:r w:rsidRPr="00D53D61">
        <w:t xml:space="preserve">under the EU’s shared competence </w:t>
      </w:r>
      <w:r>
        <w:t>of</w:t>
      </w:r>
      <w:r w:rsidRPr="00D53D61">
        <w:t xml:space="preserve"> regulations on the internal market (Art. 110ff TFEU)</w:t>
      </w:r>
      <w:r>
        <w:t xml:space="preserve">. </w:t>
      </w:r>
      <w:r w:rsidRPr="00D53D61">
        <w:t>Art. 113 of the TFEU authorizes the EU to harmonize “excise duties and other forms of indirect taxation to the extent that such harmonization is necessary to ensure the establishment and the functioning of the internal market and to avoid distortion of competition”.</w:t>
      </w:r>
      <w:r>
        <w:t xml:space="preserve"> </w:t>
      </w:r>
      <w:r w:rsidRPr="00DC42B0">
        <w:t xml:space="preserve"> </w:t>
      </w:r>
      <w:r w:rsidRPr="00D53D61">
        <w:t xml:space="preserve">EU regulation requires the standard value-added-tax rate (VAT) to be at least 15% (Art. 97(1), Council Directive 2006/112/EC). Member States may apply two reduced rates (not lower than 5%) and a zero-tax rate on essential goods, including food (Art. 98-99 Council </w:t>
      </w:r>
      <w:r w:rsidRPr="008900EC">
        <w:t xml:space="preserve">Directive 2006/112/EC). </w:t>
      </w:r>
      <w:r w:rsidRPr="008900EC">
        <w:lastRenderedPageBreak/>
        <w:t>Furthermore, one objective</w:t>
      </w:r>
      <w:r w:rsidRPr="00D53D61">
        <w:t xml:space="preserve"> of the EU common agriculture policy (CAP) is to “ensure that supplies reach consumers at reasonable prices” (Art. 39(1)(b) TFEU). </w:t>
      </w:r>
      <w:r>
        <w:t xml:space="preserve">In summary, the federal government hold the primary legislative power, </w:t>
      </w:r>
      <w:r w:rsidR="00DE77A8">
        <w:t>while the</w:t>
      </w:r>
      <w:r>
        <w:t xml:space="preserve"> EU </w:t>
      </w:r>
      <w:r w:rsidR="00DE77A8">
        <w:t xml:space="preserve">and the states </w:t>
      </w:r>
      <w:r>
        <w:t>have supporting powers</w:t>
      </w:r>
      <w:r w:rsidR="00D50DB7">
        <w:t xml:space="preserve">. </w:t>
      </w:r>
    </w:p>
    <w:p w14:paraId="01A4A2BF" w14:textId="3E549648" w:rsidR="00C161CF" w:rsidRDefault="00C161CF" w:rsidP="00330FF8">
      <w:pPr>
        <w:pStyle w:val="berschrift3"/>
      </w:pPr>
      <w:r>
        <w:t>Dietary guidelines</w:t>
      </w:r>
    </w:p>
    <w:p w14:paraId="18C575FB" w14:textId="17437AC8" w:rsidR="00C161CF" w:rsidRDefault="00C161CF" w:rsidP="008C3284">
      <w:r>
        <w:t>In Germany, dietary guidelines and population intake targets (indicators LEAD 2 and LEAD 3) are derived by the German Nutrition Society on behalf of the Federal Ministry of Food and Agriculture</w:t>
      </w:r>
      <w:r w:rsidRPr="00843D15">
        <w:t>.</w:t>
      </w:r>
      <w:r>
        <w:t xml:space="preserve"> </w:t>
      </w:r>
      <w:r w:rsidRPr="00843D15">
        <w:t xml:space="preserve">While </w:t>
      </w:r>
      <w:r w:rsidR="00DE77A8">
        <w:t>s</w:t>
      </w:r>
      <w:r w:rsidRPr="00843D15">
        <w:t xml:space="preserve">tates may technically supplement </w:t>
      </w:r>
      <w:r>
        <w:t xml:space="preserve">these </w:t>
      </w:r>
      <w:r w:rsidRPr="00843D15">
        <w:t>guidelines,</w:t>
      </w:r>
      <w:r>
        <w:t xml:space="preserve"> </w:t>
      </w:r>
      <w:r w:rsidRPr="00843D15">
        <w:t xml:space="preserve">LEAD2 and LEAD3 are </w:t>
      </w:r>
      <w:r>
        <w:t>generally</w:t>
      </w:r>
      <w:r w:rsidRPr="00843D15">
        <w:t xml:space="preserve"> understood </w:t>
      </w:r>
      <w:r>
        <w:t xml:space="preserve">as </w:t>
      </w:r>
      <w:r w:rsidRPr="00843D15">
        <w:t>a primary legislative power of the federal government</w:t>
      </w:r>
      <w:r>
        <w:t>, since dietary needs do not vary systematically across the country</w:t>
      </w:r>
      <w:r w:rsidRPr="00843D15">
        <w:t>.</w:t>
      </w:r>
    </w:p>
    <w:p w14:paraId="05150901" w14:textId="662495FF" w:rsidR="00C161CF" w:rsidRPr="00843D15" w:rsidRDefault="00C161CF" w:rsidP="00C161CF">
      <w:pPr>
        <w:pStyle w:val="berschrift2"/>
      </w:pPr>
      <w:bookmarkStart w:id="41" w:name="_Toc221783979"/>
      <w:r>
        <w:t>Primary</w:t>
      </w:r>
      <w:r w:rsidRPr="00843D15">
        <w:t xml:space="preserve"> legislative powers of the </w:t>
      </w:r>
      <w:r w:rsidR="007B5A5F">
        <w:t>s</w:t>
      </w:r>
      <w:r>
        <w:t>tates</w:t>
      </w:r>
      <w:bookmarkEnd w:id="41"/>
      <w:r w:rsidRPr="00843D15">
        <w:t xml:space="preserve"> </w:t>
      </w:r>
    </w:p>
    <w:p w14:paraId="13071E51" w14:textId="50E5E613" w:rsidR="00C161CF" w:rsidRDefault="00DE77A8" w:rsidP="00C161CF">
      <w:pPr>
        <w:rPr>
          <w:color w:val="FF0000"/>
        </w:rPr>
      </w:pPr>
      <w:r>
        <w:t>Five</w:t>
      </w:r>
      <w:r w:rsidR="00C161CF" w:rsidRPr="0006491D">
        <w:t xml:space="preserve"> indicators are </w:t>
      </w:r>
      <w:r>
        <w:t xml:space="preserve">a </w:t>
      </w:r>
      <w:r w:rsidR="00C161CF" w:rsidRPr="0006491D">
        <w:t xml:space="preserve">primary legislative power of the </w:t>
      </w:r>
      <w:r>
        <w:t>s</w:t>
      </w:r>
      <w:r w:rsidR="00C161CF">
        <w:t>tates</w:t>
      </w:r>
      <w:r>
        <w:t xml:space="preserve"> – </w:t>
      </w:r>
      <w:r w:rsidR="00C161CF" w:rsidRPr="0006491D">
        <w:t>food provision in schools and early childhood education services (PROV1),</w:t>
      </w:r>
      <w:r>
        <w:t xml:space="preserve"> the</w:t>
      </w:r>
      <w:r w:rsidR="00C161CF" w:rsidRPr="0006491D">
        <w:t xml:space="preserve"> retail food environment (RETAIL1, RETAIL2, RETAIL4) and support for municipal initiatives (PLAT5).</w:t>
      </w:r>
      <w:r w:rsidR="00C161CF" w:rsidRPr="00D374C2">
        <w:rPr>
          <w:color w:val="FF0000"/>
        </w:rPr>
        <w:t xml:space="preserve"> </w:t>
      </w:r>
    </w:p>
    <w:p w14:paraId="4CB57A29" w14:textId="77777777" w:rsidR="00C161CF" w:rsidRPr="00E36D53" w:rsidRDefault="00C161CF" w:rsidP="00330FF8">
      <w:pPr>
        <w:pStyle w:val="berschrift3"/>
      </w:pPr>
      <w:r>
        <w:t xml:space="preserve">Food provision </w:t>
      </w:r>
    </w:p>
    <w:p w14:paraId="691C5394" w14:textId="1B5E2EEF" w:rsidR="00C161CF" w:rsidRPr="00A81CE6" w:rsidRDefault="00C161CF" w:rsidP="00C161CF">
      <w:r>
        <w:t>In Germany, s</w:t>
      </w:r>
      <w:r w:rsidRPr="00CC6375">
        <w:t xml:space="preserve">chool and early childhood education are </w:t>
      </w:r>
      <w:r>
        <w:t xml:space="preserve">within the legislative powers of </w:t>
      </w:r>
      <w:r w:rsidR="00DE77A8">
        <w:t>s</w:t>
      </w:r>
      <w:r w:rsidRPr="00CC6375">
        <w:t>tate</w:t>
      </w:r>
      <w:r>
        <w:t>s</w:t>
      </w:r>
      <w:r w:rsidRPr="00CC6375">
        <w:t>. Food provision in schools is classified as “an external school matter” (</w:t>
      </w:r>
      <w:r w:rsidRPr="00C61B01">
        <w:rPr>
          <w:i/>
          <w:iCs/>
        </w:rPr>
        <w:t>äußere Schulangelegenheit</w:t>
      </w:r>
      <w:r w:rsidRPr="00CC6375">
        <w:t xml:space="preserve">) and is therefore the responsibility of school authorities – typically cities, districts and municipalities </w:t>
      </w:r>
      <w:r w:rsidRPr="00CC6375">
        <w:fldChar w:fldCharType="begin"/>
      </w:r>
      <w:r w:rsidR="00216423">
        <w:instrText xml:space="preserve"> ADDIN ZOTERO_ITEM CSL_CITATION {"citationID":"58ef0zYT","properties":{"formattedCitation":"[12]","plainCitation":"[12]","noteIndex":0},"citationItems":[{"id":914,"uris":["http://zotero.org/users/5617569/items/ZZFMET7U"],"itemData":{"id":914,"type":"article-journal","abstract":"Die wissenschaftliche Auseinandersetzung mit dem Handlungsfeld „Ernährung in der Schule“ zeichnet sich durch eine starke Ergebnisorientierung aus. Studien befassen sich etwa mit der Qualität von Verpflegungsangeboten oder mit dem Umfang und der Regelmäßigkeit von ernährungspädagogischen Maßnahmen. Vergleichsweise selten im Blickpunkt stehen jedoch die bildungspolitischen und schulrechtlichen Rahmenbedingungen, welche die Realisierung von Ernährungskonzepten an Schulen überhaupt möglich machen. Um über Situationsbeschreibungen hinaus konkrete Handlungsempfehlungen und wirksame Interventionsmaßnahmen ableiten zu können, erscheint es notwendig, eben diese Rahmenbedingungen stärker als bisher in den Fokus zu rücken. Das im vorliegenden Beitrag vorgestellte Strukturmodell soll verdeutlichen, welche AkteurInnen, auch jenseits des lokalen Settings Schule, an der Konstituierung von Ernährungskonzepten beteiligt sind und welche Handlungsspielräume und Verantwortlichkeiten ihnen jeweils obliegen.","container-title":"Ernährungs Umschau","DOI":"10.4455/eu.2020.007","ISSN":"0174-0008","issue":"67(1)","language":"de","page":"18-23","source":"DOI.org (CSL JSON)","title":"Ernährung in der Schule: Zwischen administrativen Zuständigkeiten und strukturellen Rahmenbedingungen","author":[{"family":"Jansen","given":"Catherina"},{"family":"Buyken","given":"Anette"},{"family":"Depa","given":"Julia"},{"family":"Kroke","given":"Anja"}],"issued":{"date-parts":[["2020",1,15]]}}}],"schema":"https://github.com/citation-style-language/schema/raw/master/csl-citation.json"} </w:instrText>
      </w:r>
      <w:r w:rsidRPr="00CC6375">
        <w:fldChar w:fldCharType="separate"/>
      </w:r>
      <w:r w:rsidR="00216423">
        <w:t>[12]</w:t>
      </w:r>
      <w:r w:rsidRPr="00CC6375">
        <w:fldChar w:fldCharType="end"/>
      </w:r>
      <w:r w:rsidRPr="00CC6375">
        <w:t>. These authorities are, in principle, free to determine how they carry out the tasks assigned to them</w:t>
      </w:r>
      <w:r>
        <w:t xml:space="preserve"> by the </w:t>
      </w:r>
      <w:r w:rsidR="00DE77A8">
        <w:t>s</w:t>
      </w:r>
      <w:r>
        <w:t>tates</w:t>
      </w:r>
      <w:r w:rsidRPr="00CC6375">
        <w:t xml:space="preserve"> </w:t>
      </w:r>
      <w:r w:rsidRPr="00CC6375">
        <w:fldChar w:fldCharType="begin"/>
      </w:r>
      <w:r w:rsidR="00216423">
        <w:instrText xml:space="preserve"> ADDIN ZOTERO_ITEM CSL_CITATION {"citationID":"B1IWnJRT","properties":{"formattedCitation":"[12]","plainCitation":"[12]","noteIndex":0},"citationItems":[{"id":914,"uris":["http://zotero.org/users/5617569/items/ZZFMET7U"],"itemData":{"id":914,"type":"article-journal","abstract":"Die wissenschaftliche Auseinandersetzung mit dem Handlungsfeld „Ernährung in der Schule“ zeichnet sich durch eine starke Ergebnisorientierung aus. Studien befassen sich etwa mit der Qualität von Verpflegungsangeboten oder mit dem Umfang und der Regelmäßigkeit von ernährungspädagogischen Maßnahmen. Vergleichsweise selten im Blickpunkt stehen jedoch die bildungspolitischen und schulrechtlichen Rahmenbedingungen, welche die Realisierung von Ernährungskonzepten an Schulen überhaupt möglich machen. Um über Situationsbeschreibungen hinaus konkrete Handlungsempfehlungen und wirksame Interventionsmaßnahmen ableiten zu können, erscheint es notwendig, eben diese Rahmenbedingungen stärker als bisher in den Fokus zu rücken. Das im vorliegenden Beitrag vorgestellte Strukturmodell soll verdeutlichen, welche AkteurInnen, auch jenseits des lokalen Settings Schule, an der Konstituierung von Ernährungskonzepten beteiligt sind und welche Handlungsspielräume und Verantwortlichkeiten ihnen jeweils obliegen.","container-title":"Ernährungs Umschau","DOI":"10.4455/eu.2020.007","ISSN":"0174-0008","issue":"67(1)","language":"de","page":"18-23","source":"DOI.org (CSL JSON)","title":"Ernährung in der Schule: Zwischen administrativen Zuständigkeiten und strukturellen Rahmenbedingungen","author":[{"family":"Jansen","given":"Catherina"},{"family":"Buyken","given":"Anette"},{"family":"Depa","given":"Julia"},{"family":"Kroke","given":"Anja"}],"issued":{"date-parts":[["2020",1,15]]}}}],"schema":"https://github.com/citation-style-language/schema/raw/master/csl-citation.json"} </w:instrText>
      </w:r>
      <w:r w:rsidRPr="00CC6375">
        <w:fldChar w:fldCharType="separate"/>
      </w:r>
      <w:r w:rsidR="00216423">
        <w:t>[12]</w:t>
      </w:r>
      <w:r w:rsidRPr="00CC6375">
        <w:fldChar w:fldCharType="end"/>
      </w:r>
      <w:r w:rsidRPr="00CC6375">
        <w:t xml:space="preserve">. However, </w:t>
      </w:r>
      <w:r>
        <w:t>S</w:t>
      </w:r>
      <w:r w:rsidRPr="00CC6375">
        <w:t xml:space="preserve">tates may impose requirements, such as adherence to specific food standards, provided they compensate municipalities for any additional financial burden. </w:t>
      </w:r>
    </w:p>
    <w:p w14:paraId="7EBF490D" w14:textId="0EA1AB9B" w:rsidR="00C161CF" w:rsidRPr="00CC6375" w:rsidRDefault="00C161CF" w:rsidP="00C161CF">
      <w:r w:rsidRPr="00CC6375">
        <w:t>The EU has a supporting competence for education and human health and may implement non-binding supportive measures, such as funding program</w:t>
      </w:r>
      <w:r>
        <w:t>s</w:t>
      </w:r>
      <w:r w:rsidRPr="00CC6375">
        <w:t xml:space="preserve"> (Art. 6 TFEU). One example is the EU School Fruit, Vegetables and Milk Scheme </w:t>
      </w:r>
      <w:r w:rsidRPr="00CC6375">
        <w:fldChar w:fldCharType="begin"/>
      </w:r>
      <w:r w:rsidR="00216423">
        <w:instrText xml:space="preserve"> ADDIN ZOTERO_ITEM CSL_CITATION {"citationID":"vLPQOLGC","properties":{"formattedCitation":"[13]","plainCitation":"[13]","noteIndex":0},"citationItems":[{"id":913,"uris":["http://zotero.org/users/5617569/items/6WAWQZZ9"],"itemData":{"id":913,"type":"webpage","abstract":"The EU school fruit, vegetables and milk scheme helps children to develop healthy eating habits.","container-title":"European Commission - Agriculture and rural development","language":"en","title":"School scheme explained","URL":"https://agriculture.ec.europa.eu/common-agricultural-policy/market-measures/school-fruit-vegetables-and-milk-scheme/school-scheme-explained_en","author":[{"family":"European Commission","given":""}],"accessed":{"date-parts":[["2024",10,29]]},"issued":{"date-parts":[["2024",10,28]]}}}],"schema":"https://github.com/citation-style-language/schema/raw/master/csl-citation.json"} </w:instrText>
      </w:r>
      <w:r w:rsidRPr="00CC6375">
        <w:fldChar w:fldCharType="separate"/>
      </w:r>
      <w:r w:rsidR="00216423">
        <w:t>[13]</w:t>
      </w:r>
      <w:r w:rsidRPr="00CC6375">
        <w:fldChar w:fldCharType="end"/>
      </w:r>
      <w:r w:rsidRPr="00CC6375">
        <w:t xml:space="preserve">. Similarly, the federal government may also introduce supporting initiatives – for example, the German Nutrition Society (DGE) develops and publishes voluntary quality standards for school and early childhood education services </w:t>
      </w:r>
      <w:r w:rsidRPr="00CC6375">
        <w:fldChar w:fldCharType="begin"/>
      </w:r>
      <w:r w:rsidR="00216423">
        <w:instrText xml:space="preserve"> ADDIN ZOTERO_ITEM CSL_CITATION {"citationID":"a19q0sf8o65","properties":{"formattedCitation":"[DGE 14,15]","plainCitation":"[DGE 14,15]","noteIndex":0},"citationItems":[{"id":64,"uris":["http://zotero.org/users/5617569/items/25IN9AK2"],"itemData":{"id":64,"type":"report","number":"5. Auflage, 2. korrigierter und aktualisierter Nachdruck","publisher":"Deutsche Gesellschaft für Ernährung","publisher-place":"Bonn","title":"DGE-Qualitätsstandard für die Verpflegung in Schulen","author":[{"family":"German Nutrition Society (DGE)","given":""}],"issued":{"date-parts":[["2023"]]}},"label":"page","suppress-author":true,"prefix":"DGE"},{"id":65,"uris":["http://zotero.org/users/5617569/items/I3YC28QV"],"itemData":{"id":65,"type":"report","number":"6. Auflage, 2. korrigierter und aktualisierter Nachdruck","publisher":"Deutsche Gesellschaft für Ernährung","publisher-place":"Bonn","title":"DGE-Qualitätsstandard für die Verpflegung in Kitas","author":[{"family":"German Nutrition Society (DGE)","given":""}],"issued":{"date-parts":[["2023"]]}},"label":"page","suppress-author":true}],"schema":"https://github.com/citation-style-language/schema/raw/master/csl-citation.json"} </w:instrText>
      </w:r>
      <w:r w:rsidRPr="00CC6375">
        <w:fldChar w:fldCharType="separate"/>
      </w:r>
      <w:r w:rsidR="00216423">
        <w:t>[DGE 14,15]</w:t>
      </w:r>
      <w:r w:rsidRPr="00CC6375">
        <w:fldChar w:fldCharType="end"/>
      </w:r>
      <w:r w:rsidRPr="00CC6375">
        <w:t>.</w:t>
      </w:r>
    </w:p>
    <w:p w14:paraId="0B627455" w14:textId="77777777" w:rsidR="00C161CF" w:rsidRPr="00CC6375" w:rsidRDefault="00C161CF" w:rsidP="00C161CF">
      <w:r w:rsidRPr="00CC6375">
        <w:lastRenderedPageBreak/>
        <w:t xml:space="preserve">In summary, the </w:t>
      </w:r>
      <w:r>
        <w:t>S</w:t>
      </w:r>
      <w:r w:rsidRPr="00CC6375">
        <w:t>tates hold the primary legislative power to regulate food provision in school and early childhood education settings, while the EU and the federal level have supporting powers.</w:t>
      </w:r>
    </w:p>
    <w:p w14:paraId="5B15970D" w14:textId="77777777" w:rsidR="00C161CF" w:rsidRPr="00E36D53" w:rsidRDefault="00C161CF" w:rsidP="00330FF8">
      <w:pPr>
        <w:pStyle w:val="berschrift3"/>
      </w:pPr>
      <w:r>
        <w:t xml:space="preserve">Retail food environment </w:t>
      </w:r>
    </w:p>
    <w:p w14:paraId="6650B413" w14:textId="1B008519" w:rsidR="00C161CF" w:rsidRPr="00A26376" w:rsidRDefault="00C161CF" w:rsidP="00DE77A8">
      <w:r w:rsidRPr="00CC6375">
        <w:t xml:space="preserve">Land </w:t>
      </w:r>
      <w:r>
        <w:t>use regulation</w:t>
      </w:r>
      <w:r w:rsidRPr="00CC6375">
        <w:t xml:space="preserve"> and regional planning (RETAIL1 and RETAIL2) fall under the concurrent </w:t>
      </w:r>
      <w:r>
        <w:t xml:space="preserve">legislative powers </w:t>
      </w:r>
      <w:r w:rsidRPr="00CC6375">
        <w:t xml:space="preserve">of the federal government (Art. 74(1) </w:t>
      </w:r>
      <w:r>
        <w:t>No</w:t>
      </w:r>
      <w:r w:rsidRPr="00CC6375">
        <w:t xml:space="preserve">. 30-31, GG). However, </w:t>
      </w:r>
      <w:r w:rsidR="00DE77A8">
        <w:t>s</w:t>
      </w:r>
      <w:r w:rsidRPr="00CC6375">
        <w:t xml:space="preserve">tates may enact divergent regulations, even in areas covered by federal law under Art. 72(3) </w:t>
      </w:r>
      <w:r>
        <w:t>No</w:t>
      </w:r>
      <w:r w:rsidRPr="00CC6375">
        <w:t xml:space="preserve">. 3-4, GG. States regulate regional planning in their regional planning laws (e.g., HBauO), and regional planning authorities are responsible for developing directives that define development goals and principles, such as designating open spaces, commercial areas (including food retailers) and residential areas. Cities and municipalities, in turn, develop </w:t>
      </w:r>
      <w:r w:rsidRPr="00DE77A8">
        <w:t>detailed</w:t>
      </w:r>
      <w:r w:rsidRPr="00CC6375">
        <w:t xml:space="preserve"> local or regional development plans that determine how spatial development is </w:t>
      </w:r>
      <w:r w:rsidRPr="00A26376">
        <w:t xml:space="preserve">implemented in sub-areas and set guidelines for infrastructure and retail locations </w:t>
      </w:r>
      <w:r w:rsidRPr="00A26376">
        <w:fldChar w:fldCharType="begin"/>
      </w:r>
      <w:r w:rsidR="00216423">
        <w:instrText xml:space="preserve"> ADDIN ZOTERO_ITEM CSL_CITATION {"citationID":"a2p1ar891f8","properties":{"formattedCitation":"[e.g., 16]","plainCitation":"[e.g., 16]","noteIndex":0},"citationItems":[{"id":59,"uris":["http://zotero.org/users/5617569/items/GE7WGR93"],"itemData":{"id":59,"type":"webpage","title":"Regionalplanung, Regionales Raumordnungsprogramm (RROP)","URL":"https://www.varel.de/buergerservice/dienstleistungen/regionalplanung-regionales-raumordnungsprogramm-rrop--901001864-0.html?myMedium=1","author":[{"family":"City of Varel","given":""}],"accessed":{"date-parts":[["2024",4,10]]},"issued":{"date-parts":[["2024"]]}},"prefix":"e.g.,"}],"schema":"https://github.com/citation-style-language/schema/raw/master/csl-citation.json"} </w:instrText>
      </w:r>
      <w:r w:rsidRPr="00A26376">
        <w:fldChar w:fldCharType="separate"/>
      </w:r>
      <w:r w:rsidR="00216423">
        <w:rPr>
          <w:rFonts w:eastAsiaTheme="minorHAnsi"/>
          <w:lang w:val="en-US"/>
        </w:rPr>
        <w:t>[e.g., 16]</w:t>
      </w:r>
      <w:r w:rsidRPr="00A26376">
        <w:fldChar w:fldCharType="end"/>
      </w:r>
      <w:r w:rsidRPr="00A26376">
        <w:t xml:space="preserve">. </w:t>
      </w:r>
    </w:p>
    <w:p w14:paraId="41191B63" w14:textId="15847B6E" w:rsidR="00C161CF" w:rsidRPr="00A26376" w:rsidRDefault="00C161CF" w:rsidP="00C161CF">
      <w:r w:rsidRPr="00A26376">
        <w:t xml:space="preserve">States have, for example, used their authority to restrict the establishment of gambling facilities near schools and childcare facilities. For example, the </w:t>
      </w:r>
      <w:r w:rsidR="00DE77A8" w:rsidRPr="00DE77A8">
        <w:t xml:space="preserve">North Rhine-Westphalia Act Implementing the Interstate Treaty on Gambling (GlüStV NRW) </w:t>
      </w:r>
      <w:r w:rsidR="00DE77A8">
        <w:t xml:space="preserve">states </w:t>
      </w:r>
      <w:r w:rsidRPr="00A26376">
        <w:t xml:space="preserve">that “arcades must maintain a minimum distance of 200 meters from schools and facilities for child and youth welfare” (Paragraph 5 (5)(6), GlüStV NRW). </w:t>
      </w:r>
    </w:p>
    <w:p w14:paraId="7B3C80AC" w14:textId="029EA1B6" w:rsidR="00C161CF" w:rsidRPr="00C233A0" w:rsidRDefault="00C161CF" w:rsidP="00C161CF">
      <w:r w:rsidRPr="00A26376">
        <w:t xml:space="preserve">Since 2006, </w:t>
      </w:r>
      <w:r w:rsidR="00DE77A8">
        <w:t>s</w:t>
      </w:r>
      <w:r w:rsidRPr="00A26376">
        <w:t xml:space="preserve">tates also have the legislative power over store </w:t>
      </w:r>
      <w:r w:rsidR="00DE77A8">
        <w:t>and restaurant operations</w:t>
      </w:r>
      <w:r w:rsidRPr="00A26376">
        <w:t xml:space="preserve"> (Art. 74(1) No. 11, GG) and all </w:t>
      </w:r>
      <w:r w:rsidR="00DE77A8">
        <w:t>s</w:t>
      </w:r>
      <w:r>
        <w:t>tates</w:t>
      </w:r>
      <w:r w:rsidRPr="00A26376">
        <w:t xml:space="preserve"> – except Bavaria –  enacted </w:t>
      </w:r>
      <w:r>
        <w:t xml:space="preserve">their own </w:t>
      </w:r>
      <w:r w:rsidRPr="00A26376">
        <w:t xml:space="preserve">legislation regulating store operations </w:t>
      </w:r>
      <w:r w:rsidRPr="00A26376">
        <w:fldChar w:fldCharType="begin"/>
      </w:r>
      <w:r w:rsidR="00216423">
        <w:instrText xml:space="preserve"> ADDIN ZOTERO_ITEM CSL_CITATION {"citationID":"m7ciHqez","properties":{"formattedCitation":"[17]","plainCitation":"[17]","noteIndex":0},"citationItems":[{"id":657,"uris":["http://zotero.org/users/5617569/items/NCR8HWD9"],"itemData":{"id":657,"type":"webpage","container-title":"Saarheim","title":"Ladenöffnungsgesetze der Länder","URL":"https://www.saarheim.de/Gesetze_Laender/loeg_laender.htm","author":[{"family":"Grupp","given":"Klaus"},{"family":"Stelkens","given":"Ulrich"}],"accessed":{"date-parts":[["2023",12,13]]},"issued":{"date-parts":[["2023"]]}}}],"schema":"https://github.com/citation-style-language/schema/raw/master/csl-citation.json"} </w:instrText>
      </w:r>
      <w:r w:rsidRPr="00A26376">
        <w:fldChar w:fldCharType="separate"/>
      </w:r>
      <w:r w:rsidR="00216423">
        <w:t>[17]</w:t>
      </w:r>
      <w:r w:rsidRPr="00A26376">
        <w:fldChar w:fldCharType="end"/>
      </w:r>
      <w:r>
        <w:t xml:space="preserve">. </w:t>
      </w:r>
      <w:r w:rsidRPr="000247DB">
        <w:t>In Bavaria, the former federal law on store opening</w:t>
      </w:r>
      <w:r w:rsidR="00DE77A8">
        <w:t xml:space="preserve">s </w:t>
      </w:r>
      <w:r w:rsidRPr="000247DB">
        <w:t>still applies</w:t>
      </w:r>
      <w:r>
        <w:t xml:space="preserve"> (</w:t>
      </w:r>
      <w:r w:rsidRPr="000247DB">
        <w:t>LadSchlG</w:t>
      </w:r>
      <w:r>
        <w:t xml:space="preserve">). States </w:t>
      </w:r>
      <w:r w:rsidRPr="00A26376">
        <w:t>typically justify</w:t>
      </w:r>
      <w:r>
        <w:t xml:space="preserve"> their</w:t>
      </w:r>
      <w:r w:rsidRPr="00A26376">
        <w:t xml:space="preserve"> rules on the basis of the</w:t>
      </w:r>
      <w:r>
        <w:t xml:space="preserve"> constitutional provision of the</w:t>
      </w:r>
      <w:r w:rsidRPr="00A26376">
        <w:t xml:space="preserve"> protection of employee health and the observance of rest on Sunday and holidays</w:t>
      </w:r>
      <w:r>
        <w:t xml:space="preserve"> (Art. 139 </w:t>
      </w:r>
      <w:r w:rsidRPr="002E3B55">
        <w:t>Weimarer Reichsverfassung</w:t>
      </w:r>
      <w:r>
        <w:t>, Art. 140 GG;</w:t>
      </w:r>
      <w:r w:rsidRPr="00A26376">
        <w:t xml:space="preserve"> </w:t>
      </w:r>
      <w:r w:rsidRPr="00A26376">
        <w:fldChar w:fldCharType="begin"/>
      </w:r>
      <w:r w:rsidR="00216423">
        <w:instrText xml:space="preserve"> ADDIN ZOTERO_ITEM CSL_CITATION {"citationID":"YNVV6l65","properties":{"formattedCitation":"[18]","plainCitation":"[18]","noteIndex":0},"citationItems":[{"id":60,"uris":["http://zotero.org/users/5617569/items/DAFC24R8"],"itemData":{"id":60,"type":"webpage","container-title":"KommunalWiki","language":"de","title":"Ladenöffnungszeiten","URL":"https://kommunalwiki.boell.de/index.php/Laden%C3%B6ffnungszeiten","author":[{"family":"Heinrich Böll Foundation","given":""}],"accessed":{"date-parts":[["2023",12,13]]},"issued":{"date-parts":[["2023"]]}}}],"schema":"https://github.com/citation-style-language/schema/raw/master/csl-citation.json"} </w:instrText>
      </w:r>
      <w:r w:rsidRPr="00A26376">
        <w:fldChar w:fldCharType="separate"/>
      </w:r>
      <w:r w:rsidR="00216423">
        <w:t>[18]</w:t>
      </w:r>
      <w:r w:rsidRPr="00A26376">
        <w:fldChar w:fldCharType="end"/>
      </w:r>
      <w:r>
        <w:t>).</w:t>
      </w:r>
      <w:r w:rsidRPr="00A26376">
        <w:t xml:space="preserve"> </w:t>
      </w:r>
      <w:r w:rsidR="00DE77A8">
        <w:t>However, s</w:t>
      </w:r>
      <w:r w:rsidRPr="00A26376">
        <w:t xml:space="preserve">tates also include provisions on the types of products that can be sold in specific locations and at certain times. For example, North Rhine-Westphalia’s Store Opening Hours Act </w:t>
      </w:r>
      <w:r>
        <w:t>States</w:t>
      </w:r>
      <w:r w:rsidRPr="00A26376">
        <w:t xml:space="preserve"> that “retail outlets in spa resorts, tourist, recreational, and pilgrimage sites with particularly high tourism may remain open on a maximum of 40 Sundays or holidays per year for up to eight hours. In addition to goods characteristic of these locations, </w:t>
      </w:r>
      <w:r w:rsidRPr="00C233A0">
        <w:t xml:space="preserve">items for immediate consumption, fresh fruits, tobacco products, flowers, and newspapers may be sold” (Paragraph 6(2) LÖG NRW). And Baden-Württemberg banned off-premises alcohol sales by supermarkets, kiosks and gas stations </w:t>
      </w:r>
      <w:r w:rsidRPr="00C233A0">
        <w:lastRenderedPageBreak/>
        <w:t xml:space="preserve">from 10 p.m. to 5 a.m. between 2010 and 2017 </w:t>
      </w:r>
      <w:r w:rsidRPr="00C233A0">
        <w:fldChar w:fldCharType="begin"/>
      </w:r>
      <w:r w:rsidR="00216423">
        <w:instrText xml:space="preserve"> ADDIN ZOTERO_ITEM CSL_CITATION {"citationID":"a151a2gj9om","properties":{"formattedCitation":"[19]","plainCitation":"[19]","noteIndex":0},"citationItems":[{"id":847,"uris":["http://zotero.org/users/5617569/items/HFMZR4L7"],"itemData":{"id":847,"type":"article-journal","abstract":"The question whether alcohol consumption affects violent crime is a crucial one, and may lead to a demand for alcohol availability regulation. In this study, we explore the effects of a state-level ban on late-night off-premise alcohol sales on recorded violent crime incidents. We study the ban that was in effect from 2010 to 2017 in the German state Baden-Württemberg. The results show that that the policy reduced both late-night simple assault and aggravated assault, but had no significant effect on late-night rape or robbery.","container-title":"International Review of Law and Economics","DOI":"10.1016/j.irle.2019.105850","ISSN":"0144-8188","journalAbbreviation":"International Review of Law and Economics","page":"105850","source":"ScienceDirect","title":"The effect of a ban on late-night off-premise alcohol sales on violent crime: Evidence from Germany","title-short":"The effect of a ban on late-night off-premise alcohol sales on violent crime","volume":"60","author":[{"family":"Baumann","given":"Florian"},{"family":"Buchwald","given":"Achim"},{"family":"Friehe","given":"Tim"},{"family":"Hottenrott","given":"Hanna"},{"family":"Mechtel","given":"Mario"}],"issued":{"date-parts":[["2019",12,1]]}}}],"schema":"https://github.com/citation-style-language/schema/raw/master/csl-citation.json"} </w:instrText>
      </w:r>
      <w:r w:rsidRPr="00C233A0">
        <w:fldChar w:fldCharType="separate"/>
      </w:r>
      <w:r w:rsidR="00216423">
        <w:t>[19]</w:t>
      </w:r>
      <w:r w:rsidRPr="00C233A0">
        <w:fldChar w:fldCharType="end"/>
      </w:r>
      <w:r w:rsidRPr="00C233A0">
        <w:t xml:space="preserve">. The Federal Constitutional Court upheld this law as constitutional (BVerfG, 29 September 2010, 1 BvR 1789/10). </w:t>
      </w:r>
    </w:p>
    <w:p w14:paraId="5B215346" w14:textId="68CEEA65" w:rsidR="00C161CF" w:rsidRPr="00C233A0" w:rsidRDefault="00C161CF" w:rsidP="00C161CF">
      <w:r w:rsidRPr="00C233A0">
        <w:t xml:space="preserve">In addition, </w:t>
      </w:r>
      <w:r w:rsidR="00DE77A8">
        <w:t>s</w:t>
      </w:r>
      <w:r w:rsidRPr="00C233A0">
        <w:t xml:space="preserve">tates have the legislative </w:t>
      </w:r>
      <w:r>
        <w:t>power</w:t>
      </w:r>
      <w:r w:rsidRPr="00C233A0">
        <w:t xml:space="preserve"> to regulate food service outlets (Art. 74(1) No. 11, GG). </w:t>
      </w:r>
      <w:r w:rsidR="00DE77A8">
        <w:t>S</w:t>
      </w:r>
      <w:r>
        <w:t xml:space="preserve">moking </w:t>
      </w:r>
      <w:r w:rsidR="00DE77A8">
        <w:t xml:space="preserve">regulations </w:t>
      </w:r>
      <w:r>
        <w:t xml:space="preserve">and </w:t>
      </w:r>
      <w:r w:rsidRPr="00C233A0">
        <w:t>the sale of alcohol in restaurants</w:t>
      </w:r>
      <w:r w:rsidR="00DE77A8">
        <w:t xml:space="preserve"> </w:t>
      </w:r>
      <w:r>
        <w:t xml:space="preserve">is </w:t>
      </w:r>
      <w:r w:rsidR="00DE77A8">
        <w:t xml:space="preserve">already </w:t>
      </w:r>
      <w:r>
        <w:t xml:space="preserve">regulated in existing </w:t>
      </w:r>
      <w:r w:rsidRPr="00C233A0">
        <w:t xml:space="preserve">state laws. For example, Bavaria’s Health Protection Act (GSG) bans smoking and Baden-Württemberg’s Restaurant Code (LGastG) prohibits food service outlets to offer alcohol in a manner to encourage abuse or excessive consumption (Paragraph 2(1) LGastG). </w:t>
      </w:r>
      <w:r w:rsidR="00DE77A8">
        <w:t>Thus</w:t>
      </w:r>
      <w:r>
        <w:t>,</w:t>
      </w:r>
      <w:r w:rsidRPr="00C233A0">
        <w:t xml:space="preserve"> </w:t>
      </w:r>
      <w:r w:rsidR="00DE77A8">
        <w:t>s</w:t>
      </w:r>
      <w:r w:rsidRPr="00C233A0">
        <w:t xml:space="preserve">tates </w:t>
      </w:r>
      <w:r w:rsidR="00DE77A8">
        <w:t>may</w:t>
      </w:r>
      <w:r w:rsidRPr="00C233A0">
        <w:t xml:space="preserve"> adopt food environment related measures in food service outlets such as in the U</w:t>
      </w:r>
      <w:r>
        <w:t>nited States</w:t>
      </w:r>
      <w:r w:rsidRPr="00C233A0">
        <w:t xml:space="preserve"> where various cities require </w:t>
      </w:r>
      <w:r>
        <w:t xml:space="preserve">that </w:t>
      </w:r>
      <w:r w:rsidRPr="00C233A0">
        <w:t>children’s menus by default include healthy beverages like water (e.g., New Orleans (30)</w:t>
      </w:r>
      <w:r>
        <w:t>)</w:t>
      </w:r>
      <w:r w:rsidRPr="00C233A0">
        <w:t xml:space="preserve">. At the same time, voluntary support for restaurants and fast-food chains can be offered by all levels of government. </w:t>
      </w:r>
    </w:p>
    <w:p w14:paraId="77E39033" w14:textId="42BFACFA" w:rsidR="00C161CF" w:rsidRDefault="00C161CF" w:rsidP="008C3284">
      <w:r w:rsidRPr="00C233A0">
        <w:t xml:space="preserve">In summary, </w:t>
      </w:r>
      <w:r w:rsidR="00DE77A8">
        <w:t>s</w:t>
      </w:r>
      <w:r>
        <w:t>tates</w:t>
      </w:r>
      <w:r w:rsidRPr="00C233A0">
        <w:t xml:space="preserve"> have the primary legislative power to introduce zoning regulations, manage land use and regulate food service outlets, while the federal</w:t>
      </w:r>
      <w:r w:rsidRPr="00C233A0">
        <w:rPr>
          <w:i/>
          <w:iCs/>
        </w:rPr>
        <w:t xml:space="preserve"> </w:t>
      </w:r>
      <w:r w:rsidRPr="00C233A0">
        <w:t xml:space="preserve">and the EU have supporting powers in this policy area. </w:t>
      </w:r>
    </w:p>
    <w:p w14:paraId="1D7636D6" w14:textId="3734F0DF" w:rsidR="00DE77A8" w:rsidRDefault="00DE77A8" w:rsidP="00DE77A8">
      <w:pPr>
        <w:pStyle w:val="berschrift2"/>
      </w:pPr>
      <w:bookmarkStart w:id="42" w:name="_Toc221783980"/>
      <w:r>
        <w:t>Shared legislative power</w:t>
      </w:r>
      <w:bookmarkEnd w:id="42"/>
    </w:p>
    <w:p w14:paraId="34D54967" w14:textId="38F5A82A" w:rsidR="00DE77A8" w:rsidRPr="00DE77A8" w:rsidRDefault="00DE77A8" w:rsidP="00DE77A8">
      <w:pPr>
        <w:rPr>
          <w:lang w:eastAsia="en-US"/>
        </w:rPr>
      </w:pPr>
      <w:r>
        <w:rPr>
          <w:lang w:eastAsia="en-US"/>
        </w:rPr>
        <w:t>Food-EPI indicators that focus on non-binding instruments and voluntary measures (e.g., PRICES on subsidies</w:t>
      </w:r>
      <w:r w:rsidR="007F5F5B">
        <w:rPr>
          <w:lang w:eastAsia="en-US"/>
        </w:rPr>
        <w:t xml:space="preserve">) are generally considered a shared legislative power / competence as multiple government levels may introduce measures at the same time. Food promotion is also considered a shared competence, as the legislative power / competence shifts depending on how a law is defined (see following). </w:t>
      </w:r>
    </w:p>
    <w:p w14:paraId="4A6308D1" w14:textId="77777777" w:rsidR="00DE77A8" w:rsidRPr="0006491D" w:rsidRDefault="00DE77A8" w:rsidP="00DE77A8">
      <w:pPr>
        <w:pStyle w:val="berschrift3"/>
      </w:pPr>
      <w:r>
        <w:t>Food promotion</w:t>
      </w:r>
    </w:p>
    <w:p w14:paraId="2A6BB13F" w14:textId="1FE852BE" w:rsidR="007F5F5B" w:rsidRDefault="00DE77A8" w:rsidP="007F5F5B">
      <w:r w:rsidRPr="0006491D">
        <w:t xml:space="preserve">Food advertising in general is </w:t>
      </w:r>
      <w:r>
        <w:t>governed by the</w:t>
      </w:r>
      <w:r w:rsidRPr="0006491D">
        <w:t xml:space="preserve"> EU Food Information Regulation (EU 1169/2011)</w:t>
      </w:r>
      <w:r>
        <w:t xml:space="preserve"> through a system of maximum harmonisation, meaning that </w:t>
      </w:r>
      <w:r w:rsidRPr="00927D1F">
        <w:t>Member States</w:t>
      </w:r>
      <w:r>
        <w:t xml:space="preserve"> can neither adopt stricter nor more lenient rules. </w:t>
      </w:r>
      <w:r w:rsidRPr="0074201C">
        <w:t xml:space="preserve">This </w:t>
      </w:r>
      <w:r>
        <w:t>R</w:t>
      </w:r>
      <w:r w:rsidRPr="0074201C">
        <w:t xml:space="preserve">egulation </w:t>
      </w:r>
      <w:r w:rsidRPr="007F5F5B">
        <w:t>is</w:t>
      </w:r>
      <w:r w:rsidRPr="0074201C">
        <w:t xml:space="preserve"> accompanied by EU legal acts concerning specific</w:t>
      </w:r>
      <w:r>
        <w:t xml:space="preserve"> forms of</w:t>
      </w:r>
      <w:r w:rsidRPr="0074201C">
        <w:t xml:space="preserve"> advertising</w:t>
      </w:r>
      <w:r>
        <w:t xml:space="preserve">, </w:t>
      </w:r>
      <w:r w:rsidRPr="0074201C">
        <w:t>such as advertising</w:t>
      </w:r>
      <w:r>
        <w:t xml:space="preserve"> for</w:t>
      </w:r>
      <w:r w:rsidRPr="0074201C">
        <w:t xml:space="preserve"> infant and toddler food (EU 609/2023) and advertising with health and nutrition claims (EU 192</w:t>
      </w:r>
      <w:r>
        <w:t>5</w:t>
      </w:r>
      <w:r w:rsidRPr="0074201C">
        <w:t xml:space="preserve">/2006). In Germany, advertising falls under economic and food law and is thus classified as a concurrent </w:t>
      </w:r>
      <w:r>
        <w:t xml:space="preserve">power </w:t>
      </w:r>
      <w:r w:rsidRPr="0074201C">
        <w:t xml:space="preserve">of the federal government (Art. 74(1) No. 11, 20 GG) (for comparison see the Federal Tobacco Products Act). However, </w:t>
      </w:r>
      <w:r w:rsidR="007F5F5B">
        <w:t>if</w:t>
      </w:r>
      <w:r w:rsidRPr="0074201C">
        <w:t xml:space="preserve"> regulatory proposals specifically target an advertising medium </w:t>
      </w:r>
      <w:r w:rsidRPr="0074201C">
        <w:lastRenderedPageBreak/>
        <w:t>rather than food and drink products in general, the legislative authority shift</w:t>
      </w:r>
      <w:r w:rsidR="007F5F5B">
        <w:t>s</w:t>
      </w:r>
      <w:r>
        <w:t xml:space="preserve"> towards the </w:t>
      </w:r>
      <w:r w:rsidR="007F5F5B">
        <w:t>s</w:t>
      </w:r>
      <w:r>
        <w:t>tates</w:t>
      </w:r>
      <w:r w:rsidRPr="0074201C">
        <w:t xml:space="preserve"> </w:t>
      </w:r>
      <w:r w:rsidRPr="0074201C">
        <w:fldChar w:fldCharType="begin"/>
      </w:r>
      <w:r w:rsidR="00216423">
        <w:instrText xml:space="preserve"> ADDIN ZOTERO_ITEM CSL_CITATION {"citationID":"tvMWkyET","properties":{"formattedCitation":"[20]","plainCitation":"[20]","noteIndex":0},"citationItems":[{"id":67,"uris":["http://zotero.org/users/5617569/items/63U8RSCL"],"itemData":{"id":67,"type":"report","publisher":"Deutscher Bundestag","publisher-place":"Berlin","title":"Zuständigkeiten von Bund, Ländern und der EU im Medien und Telekommunikationsrecht","URL":"https://www.bundestag.de/resource/blob/414758/56625ce3f32429cedc2ca5def04f87a1/wd-10-029-07-pdf-data.pdf","author":[{"family":"Research Services of the Federal Parliament","given":""}],"accessed":{"date-parts":[["2023",11,27]]},"issued":{"date-parts":[["2007",3,30]]}}}],"schema":"https://github.com/citation-style-language/schema/raw/master/csl-citation.json"} </w:instrText>
      </w:r>
      <w:r w:rsidRPr="0074201C">
        <w:fldChar w:fldCharType="separate"/>
      </w:r>
      <w:r w:rsidR="00216423">
        <w:t>[20]</w:t>
      </w:r>
      <w:r w:rsidRPr="0074201C">
        <w:fldChar w:fldCharType="end"/>
      </w:r>
      <w:r>
        <w:t>.</w:t>
      </w:r>
    </w:p>
    <w:p w14:paraId="69F4498F" w14:textId="6D6DB77F" w:rsidR="007F5F5B" w:rsidRDefault="007F5F5B" w:rsidP="00DE77A8">
      <w:r>
        <w:t>Specifically, for</w:t>
      </w:r>
      <w:r w:rsidR="00DE77A8" w:rsidRPr="0074201C">
        <w:t xml:space="preserve"> broadcast, and none broadcast media (PROMO1 and PROMO2)</w:t>
      </w:r>
      <w:r>
        <w:t xml:space="preserve"> states hold the primary legislative power</w:t>
      </w:r>
      <w:r w:rsidR="00DE77A8" w:rsidRPr="0074201C">
        <w:t xml:space="preserve"> </w:t>
      </w:r>
      <w:r>
        <w:t xml:space="preserve">– </w:t>
      </w:r>
      <w:r w:rsidR="00DE77A8" w:rsidRPr="0074201C">
        <w:t xml:space="preserve">including the organization of services and program content (Art. 30(1), GG). The federal government has the legislative </w:t>
      </w:r>
      <w:r w:rsidR="00DE77A8">
        <w:t xml:space="preserve">power </w:t>
      </w:r>
      <w:r w:rsidR="00DE77A8" w:rsidRPr="0074201C">
        <w:t>only within the framework of maintaining relations with foreign nations (Art. 32; Art. 73(1), GG) and for technical infrastructure (Art. 73(1) No. 7, GG) (19)</w:t>
      </w:r>
      <w:r>
        <w:t xml:space="preserve"> and EU </w:t>
      </w:r>
      <w:r w:rsidR="00DE77A8">
        <w:t>competence</w:t>
      </w:r>
      <w:r w:rsidR="00DE77A8" w:rsidRPr="0074201C">
        <w:t xml:space="preserve"> is limited to cross-cutting areas such as the free movement of goods (Art. 28, 30, 34, 35, TFEU), free movement of persons, services and capital (Art. 45-62, TFEU), competition (Art. 101-109, TFEU), technological harmonization (Art. 11, TFEU), education (Art. 165-166, TFEU), culture (Art. 167 TFEU), and industry (Art. 173, TFEU). Germany’s 16 </w:t>
      </w:r>
      <w:r>
        <w:t>s</w:t>
      </w:r>
      <w:r w:rsidR="00DE77A8">
        <w:t>t</w:t>
      </w:r>
      <w:r w:rsidR="00DE77A8" w:rsidRPr="0074201C">
        <w:t>ates unify and coordinate their media regulation through the State Media Treaty (MStV) and the Interstate Treaty on the Protection of Minors in the Media (JMStV) that regulates all aspects of youth protection. The MStV establishes advertising principles and labelling obligations, stating for example, that “advertising must not promote behaviours that endanger health or safety” (Paragraph 8(1) No. 4, MStV)</w:t>
      </w:r>
      <w:r w:rsidR="00DE77A8">
        <w:t xml:space="preserve">. </w:t>
      </w:r>
      <w:r w:rsidR="00DE77A8" w:rsidRPr="0074201C">
        <w:t xml:space="preserve">The JMStV includes rules on advertising for alcoholic beverages (Paragraph 6(5), JMStV). A constitutional law report by the Research Services of the Federal Parliament on a proposed federal law on food advertising directed at children concluded that "the closer the connection </w:t>
      </w:r>
      <w:r w:rsidR="00DE77A8" w:rsidRPr="002E7966">
        <w:t xml:space="preserve">to broadcasting, the more likely it is that legislative competence will be assumed in favour of the </w:t>
      </w:r>
      <w:r>
        <w:t>s</w:t>
      </w:r>
      <w:r w:rsidR="00DE77A8">
        <w:t>tates</w:t>
      </w:r>
      <w:r w:rsidR="00DE77A8" w:rsidRPr="002E7966">
        <w:t xml:space="preserve">" </w:t>
      </w:r>
      <w:r w:rsidR="00DE77A8" w:rsidRPr="002E7966">
        <w:fldChar w:fldCharType="begin"/>
      </w:r>
      <w:r w:rsidR="00216423">
        <w:instrText xml:space="preserve"> ADDIN ZOTERO_ITEM CSL_CITATION {"citationID":"poRifeO1","properties":{"formattedCitation":"[21]","plainCitation":"[21]","noteIndex":0},"citationItems":[{"id":68,"uris":["http://zotero.org/users/5617569/items/3Q5BG4ZF"],"itemData":{"id":68,"type":"report","language":"de","number":"WD 3 - 3000 - 098/23","publisher":"Deutscher Bundestag","publisher-place":"Berlin","source":"Zotero","title":"Verbot für an Kinder gerichtete Lebensmittelwerbung - Verfassungsrechtlicher Rahmen","author":[{"family":"Research Services of the Federal Parliament","given":""}],"issued":{"date-parts":[["2023"]]}}}],"schema":"https://github.com/citation-style-language/schema/raw/master/csl-citation.json"} </w:instrText>
      </w:r>
      <w:r w:rsidR="00DE77A8" w:rsidRPr="002E7966">
        <w:fldChar w:fldCharType="separate"/>
      </w:r>
      <w:r w:rsidR="00216423">
        <w:t>[21]</w:t>
      </w:r>
      <w:r w:rsidR="00DE77A8" w:rsidRPr="002E7966">
        <w:fldChar w:fldCharType="end"/>
      </w:r>
      <w:r w:rsidR="00DE77A8" w:rsidRPr="002E7966">
        <w:t xml:space="preserve">. This supports the view that </w:t>
      </w:r>
      <w:r>
        <w:t>s</w:t>
      </w:r>
      <w:r w:rsidR="00DE77A8" w:rsidRPr="002E7966">
        <w:t xml:space="preserve">tates may establish rules on food and drink advertising in both broadcast and non-broadcast media – as is already done in the case of alcohol. </w:t>
      </w:r>
      <w:r w:rsidR="00DE77A8">
        <w:t>In general</w:t>
      </w:r>
      <w:r w:rsidR="00DE77A8" w:rsidRPr="0074201C">
        <w:t xml:space="preserve">, the </w:t>
      </w:r>
      <w:r w:rsidR="00DE77A8">
        <w:t xml:space="preserve">stronger the focus on the medium of advertising, rather than on the product that is regulated, the stronger the argument in favour of primary legislative powers of the States </w:t>
      </w:r>
      <w:r w:rsidR="00DE77A8" w:rsidRPr="0074201C">
        <w:fldChar w:fldCharType="begin"/>
      </w:r>
      <w:r w:rsidR="00216423">
        <w:instrText xml:space="preserve"> ADDIN ZOTERO_ITEM CSL_CITATION {"citationID":"HLnYLQBT","properties":{"formattedCitation":"[20]","plainCitation":"[20]","noteIndex":0},"citationItems":[{"id":67,"uris":["http://zotero.org/users/5617569/items/63U8RSCL"],"itemData":{"id":67,"type":"report","publisher":"Deutscher Bundestag","publisher-place":"Berlin","title":"Zuständigkeiten von Bund, Ländern und der EU im Medien und Telekommunikationsrecht","URL":"https://www.bundestag.de/resource/blob/414758/56625ce3f32429cedc2ca5def04f87a1/wd-10-029-07-pdf-data.pdf","author":[{"family":"Research Services of the Federal Parliament","given":""}],"accessed":{"date-parts":[["2023",11,27]]},"issued":{"date-parts":[["2007",3,30]]}}}],"schema":"https://github.com/citation-style-language/schema/raw/master/csl-citation.json"} </w:instrText>
      </w:r>
      <w:r w:rsidR="00DE77A8" w:rsidRPr="0074201C">
        <w:fldChar w:fldCharType="separate"/>
      </w:r>
      <w:r w:rsidR="00216423">
        <w:t>[20]</w:t>
      </w:r>
      <w:r w:rsidR="00DE77A8" w:rsidRPr="0074201C">
        <w:fldChar w:fldCharType="end"/>
      </w:r>
      <w:r w:rsidR="00DE77A8" w:rsidRPr="0074201C">
        <w:t>.</w:t>
      </w:r>
    </w:p>
    <w:p w14:paraId="03D4084E" w14:textId="0CB6EF94" w:rsidR="00DE77A8" w:rsidRPr="007F5F5B" w:rsidRDefault="00DE77A8" w:rsidP="00DE77A8">
      <w:r w:rsidRPr="002E7966">
        <w:t>States also hold the primary legislative power to regulate food promotion and sponsorships in settings where children gather (PROMO3), as school and early childhood education are state competence</w:t>
      </w:r>
      <w:r>
        <w:t>s</w:t>
      </w:r>
      <w:r w:rsidRPr="002E7966">
        <w:t xml:space="preserve"> </w:t>
      </w:r>
      <w:r w:rsidRPr="002E7966">
        <w:fldChar w:fldCharType="begin"/>
      </w:r>
      <w:r w:rsidR="00216423">
        <w:instrText xml:space="preserve"> ADDIN ZOTERO_ITEM CSL_CITATION {"citationID":"FlM5rMYC","properties":{"formattedCitation":"[22]","plainCitation":"[22]","noteIndex":0},"citationItems":[{"id":"49T2H3Bx/brfSeR4n","uris":["http://zotero.org/users/5617569/items/DDDP96FZ"],"itemData":{"id":61,"type":"webpage","abstract":"Alle Menschen sollen eine inklusive und hochwertige Bildung erhalten. Darauf hat sich die Staatengemeinschaft in der Agenda 2030 verpflichtet.","container-title":"Die Bundesregierung informiert | Startseite","language":"de","title":"Hochwertige Bildung weltweit | Bundesregierung","URL":"https://www.bundesregierung.de/breg-de/schwerpunkte-der-bundesregierung/nachhaltigkeitspolitik/bildung-weltweit-1004538","author":[{"family":"Federal Government of Germany","given":""}],"accessed":{"date-parts":[["2024",11,15]]},"issued":{"date-parts":[["2023",8,15]]}}}],"schema":"https://github.com/citation-style-language/schema/raw/master/csl-citation.json"} </w:instrText>
      </w:r>
      <w:r w:rsidRPr="002E7966">
        <w:fldChar w:fldCharType="separate"/>
      </w:r>
      <w:r w:rsidR="00216423">
        <w:t>[22]</w:t>
      </w:r>
      <w:r w:rsidRPr="002E7966">
        <w:fldChar w:fldCharType="end"/>
      </w:r>
      <w:r w:rsidRPr="002E7966">
        <w:t xml:space="preserve">. </w:t>
      </w:r>
      <w:r>
        <w:t xml:space="preserve">Many </w:t>
      </w:r>
      <w:r>
        <w:rPr>
          <w:rFonts w:eastAsiaTheme="majorEastAsia"/>
          <w:shd w:val="clear" w:color="auto" w:fill="FFFFFF"/>
        </w:rPr>
        <w:t>s</w:t>
      </w:r>
      <w:r w:rsidRPr="002E7966">
        <w:rPr>
          <w:rFonts w:eastAsiaTheme="majorEastAsia"/>
          <w:shd w:val="clear" w:color="auto" w:fill="FFFFFF"/>
        </w:rPr>
        <w:t>tate school laws include such provisions (e.g., Brandenburg’s School Act, BbgSchulG).</w:t>
      </w:r>
      <w:r w:rsidRPr="002E7966">
        <w:rPr>
          <w:shd w:val="clear" w:color="auto" w:fill="FFFFFF"/>
        </w:rPr>
        <w:t xml:space="preserve"> The EU and federal government assume a </w:t>
      </w:r>
      <w:r w:rsidR="00402B30">
        <w:rPr>
          <w:shd w:val="clear" w:color="auto" w:fill="FFFFFF"/>
        </w:rPr>
        <w:t>shared</w:t>
      </w:r>
      <w:r w:rsidRPr="002E7966">
        <w:rPr>
          <w:shd w:val="clear" w:color="auto" w:fill="FFFFFF"/>
        </w:rPr>
        <w:t xml:space="preserve"> power as general rules on food advertising also apply to settings where children gather</w:t>
      </w:r>
      <w:r>
        <w:rPr>
          <w:shd w:val="clear" w:color="auto" w:fill="FFFFFF"/>
        </w:rPr>
        <w:t xml:space="preserve"> (see above)</w:t>
      </w:r>
      <w:r w:rsidRPr="002E7966">
        <w:rPr>
          <w:shd w:val="clear" w:color="auto" w:fill="FFFFFF"/>
        </w:rPr>
        <w:t xml:space="preserve">.  </w:t>
      </w:r>
    </w:p>
    <w:p w14:paraId="784F3DA6" w14:textId="765B2114" w:rsidR="00DE77A8" w:rsidRDefault="00DE77A8" w:rsidP="00402B30">
      <w:pPr>
        <w:rPr>
          <w:color w:val="FF0000"/>
        </w:rPr>
      </w:pPr>
      <w:r>
        <w:t>Outdoor advertising (</w:t>
      </w:r>
      <w:r w:rsidRPr="00C61B01">
        <w:rPr>
          <w:i/>
          <w:iCs/>
        </w:rPr>
        <w:t>Außenwerbung</w:t>
      </w:r>
      <w:r>
        <w:t xml:space="preserve">) </w:t>
      </w:r>
      <w:r w:rsidRPr="00E36D53">
        <w:t xml:space="preserve">in general falls under the concurrent </w:t>
      </w:r>
      <w:r>
        <w:t>legislative powers</w:t>
      </w:r>
      <w:r w:rsidRPr="00E36D53">
        <w:t xml:space="preserve"> of the federal government in the areas of economic, food and public welfare law (Art. 74(1), </w:t>
      </w:r>
      <w:r>
        <w:t>No</w:t>
      </w:r>
      <w:r w:rsidRPr="00E36D53">
        <w:t xml:space="preserve">. 11, 20, 7, GG). For comparison, the Federal Tobacco Products Act includes regulations on restricting outdoor advertising (Paragraph 20a, TabakerzG) </w:t>
      </w:r>
      <w:r w:rsidRPr="00E36D53">
        <w:fldChar w:fldCharType="begin"/>
      </w:r>
      <w:r w:rsidR="00216423">
        <w:instrText xml:space="preserve"> ADDIN ZOTERO_ITEM CSL_CITATION {"citationID":"M05FGE9T","properties":{"formattedCitation":"[23]","plainCitation":"[23]","noteIndex":0},"citationItems":[{"id":238,"uris":["http://zotero.org/users/5617569/items/KB3QHGU8"],"itemData":{"id":238,"type":"report","abstract":"Beauftragt durch den Zentralverband der Werbewirtschaft – ZAW","genre":"Rechtsgutachten","publisher":"Universität Leipzig","title":"Verfassungsfragen marktbezogener Kommunikation: Werbeverbote für Tabakprodukte","URL":"https://www.bmel.de/SharedDocs/Downloads/DE/Glaeserne-Gesetze/Stellungnahmen/2-gesetz-aenderung-tabakerzeugnisgesetz_FAW-RG-Degenhart.pdf?__blob=publicationFile&amp;v=3","author":[{"family":"Degenhart","given":"Prof. Dr. Christoph"}],"accessed":{"date-parts":[["2023",11,27]]},"issued":{"date-parts":[["2015"]]}}}],"schema":"https://github.com/citation-style-language/schema/raw/master/csl-citation.json"} </w:instrText>
      </w:r>
      <w:r w:rsidRPr="00E36D53">
        <w:fldChar w:fldCharType="separate"/>
      </w:r>
      <w:r w:rsidR="00216423">
        <w:t>[23]</w:t>
      </w:r>
      <w:r w:rsidRPr="00E36D53">
        <w:fldChar w:fldCharType="end"/>
      </w:r>
      <w:r w:rsidRPr="00E36D53">
        <w:t>. It remains</w:t>
      </w:r>
      <w:r>
        <w:t>,</w:t>
      </w:r>
      <w:r w:rsidRPr="008A2E31">
        <w:t xml:space="preserve"> </w:t>
      </w:r>
      <w:r w:rsidRPr="00E36D53">
        <w:t>however</w:t>
      </w:r>
      <w:r>
        <w:t>,</w:t>
      </w:r>
      <w:r w:rsidRPr="00E36D53">
        <w:t xml:space="preserve"> </w:t>
      </w:r>
      <w:r>
        <w:lastRenderedPageBreak/>
        <w:t>contested</w:t>
      </w:r>
      <w:r w:rsidRPr="00E36D53">
        <w:t xml:space="preserve"> whether the legal justifications used for regulation tobacco advertising on infrastructure at the federal level can be applied to food</w:t>
      </w:r>
      <w:r>
        <w:t xml:space="preserve">. It </w:t>
      </w:r>
      <w:r w:rsidRPr="00402B30">
        <w:t>is particularly debated</w:t>
      </w:r>
      <w:r>
        <w:t xml:space="preserve"> whether federal legislation restricting food promotion on infrastructure would be justified by the need to preserve legal and economic unity (within the meani</w:t>
      </w:r>
      <w:r w:rsidRPr="00E36D53">
        <w:t>ng of Article 72(1), GG) and</w:t>
      </w:r>
      <w:r>
        <w:t>/</w:t>
      </w:r>
      <w:r w:rsidRPr="00E36D53">
        <w:t xml:space="preserve">or to protect public health (within the meaning of Article 74(1) No. 19 GG). </w:t>
      </w:r>
    </w:p>
    <w:p w14:paraId="12FCF4AE" w14:textId="3F085B53" w:rsidR="00DE77A8" w:rsidRDefault="00DE77A8" w:rsidP="00DE77A8">
      <w:r w:rsidRPr="00E36D53">
        <w:t xml:space="preserve">Independent of product type, rules on advertising on infrastructure are currently specified in the building codes of the </w:t>
      </w:r>
      <w:r>
        <w:t>States</w:t>
      </w:r>
      <w:r w:rsidRPr="00E36D53">
        <w:t xml:space="preserve"> (e.g., Paragraph 13, HBauO). In addition, both </w:t>
      </w:r>
      <w:r w:rsidR="00402B30">
        <w:t>s</w:t>
      </w:r>
      <w:r w:rsidRPr="00E36D53">
        <w:t xml:space="preserve">tates and municipalities may adopt regulations for state-owned infrastructure – whether fixed or moveable (e.g., public transport) – based on their contractual freedom. For example, the Friedrichshain-Kreuzberg district council in Berlin adopted a resolution prohibiting “discriminatory, misogynistic, and sexist outdoor advertising on district-owned spaces" </w:t>
      </w:r>
      <w:r w:rsidRPr="00E36D53">
        <w:fldChar w:fldCharType="begin"/>
      </w:r>
      <w:r w:rsidR="00216423">
        <w:instrText xml:space="preserve"> ADDIN ZOTERO_ITEM CSL_CITATION {"citationID":"arv097sc7d","properties":{"formattedCitation":"[DS 1013-01/IV, (24)]","plainCitation":"[DS 1013-01/IV, (24)]","noteIndex":0},"citationItems":[{"id":97,"uris":["http://zotero.org/users/5617569/items/QJLW4NY8"],"itemData":{"id":97,"type":"legislation","number":"Drucksache DS 1013-01/IV","title":"Initiative against misogynistic, sexist, and discriminatory advertising","author":[{"family":"Friedrichshain-Kreuzberg District Administration (Berlin)","given":""}],"issued":{"date-parts":[["2014",2,26]]}},"label":"page","prefix":"DS 1013-01/IV, (","suffix":")"}],"schema":"https://github.com/citation-style-language/schema/raw/master/csl-citation.json"} </w:instrText>
      </w:r>
      <w:r w:rsidRPr="00E36D53">
        <w:fldChar w:fldCharType="separate"/>
      </w:r>
      <w:r w:rsidR="00216423">
        <w:t>[DS 1013-01/IV, (24)]</w:t>
      </w:r>
      <w:r w:rsidRPr="00E36D53">
        <w:fldChar w:fldCharType="end"/>
      </w:r>
      <w:r w:rsidRPr="00E36D53">
        <w:t xml:space="preserve">. </w:t>
      </w:r>
    </w:p>
    <w:p w14:paraId="6353D477" w14:textId="206E1FAF" w:rsidR="00DE77A8" w:rsidRDefault="00402B30" w:rsidP="008C3284">
      <w:r>
        <w:t xml:space="preserve">In summary, the EU and the federal government may introduce general regulations on food marketing, the states have the authority to implement medium-specific local regulations </w:t>
      </w:r>
    </w:p>
    <w:p w14:paraId="45DF07B2" w14:textId="77777777" w:rsidR="00402B30" w:rsidRDefault="00402B30" w:rsidP="005D2ED3">
      <w:pPr>
        <w:pStyle w:val="berschrift2"/>
        <w:sectPr w:rsidR="00402B30" w:rsidSect="00851D7C">
          <w:footerReference w:type="default" r:id="rId28"/>
          <w:pgSz w:w="12240" w:h="15840"/>
          <w:pgMar w:top="1077" w:right="1077" w:bottom="1077" w:left="1077" w:header="720" w:footer="720" w:gutter="0"/>
          <w:cols w:space="720"/>
          <w:docGrid w:linePitch="360"/>
        </w:sectPr>
      </w:pPr>
    </w:p>
    <w:p w14:paraId="3F82FE12" w14:textId="3DAB95D4" w:rsidR="005D2ED3" w:rsidRDefault="005D2ED3" w:rsidP="005D2ED3">
      <w:pPr>
        <w:pStyle w:val="berschrift2"/>
      </w:pPr>
      <w:bookmarkStart w:id="43" w:name="_Toc221783981"/>
      <w:r>
        <w:lastRenderedPageBreak/>
        <w:t>Overview</w:t>
      </w:r>
      <w:r w:rsidR="0008592B">
        <w:t xml:space="preserve"> for all Food-EPI indicators: Who may act?</w:t>
      </w:r>
      <w:bookmarkEnd w:id="43"/>
    </w:p>
    <w:p w14:paraId="5C71B2A7" w14:textId="7C5D2187" w:rsidR="00672F33" w:rsidRDefault="00672F33" w:rsidP="001E40B4">
      <w:pPr>
        <w:pStyle w:val="Beschriftung"/>
      </w:pPr>
      <w:bookmarkStart w:id="44" w:name="_Toc222325234"/>
      <w:r w:rsidRPr="00B80FA8">
        <w:t xml:space="preserve">Table </w:t>
      </w:r>
      <w:r>
        <w:fldChar w:fldCharType="begin"/>
      </w:r>
      <w:r>
        <w:instrText xml:space="preserve"> SEQ Table \* ARABIC </w:instrText>
      </w:r>
      <w:r>
        <w:fldChar w:fldCharType="separate"/>
      </w:r>
      <w:r w:rsidR="005F23E9">
        <w:rPr>
          <w:noProof/>
        </w:rPr>
        <w:t>10</w:t>
      </w:r>
      <w:r>
        <w:rPr>
          <w:noProof/>
        </w:rPr>
        <w:fldChar w:fldCharType="end"/>
      </w:r>
      <w:r w:rsidRPr="00B80FA8">
        <w:t xml:space="preserve"> </w:t>
      </w:r>
      <w:r w:rsidR="00A43328">
        <w:t>Competence and l</w:t>
      </w:r>
      <w:r w:rsidRPr="00B80FA8">
        <w:t>egislative</w:t>
      </w:r>
      <w:r w:rsidR="00383F76">
        <w:t>: P</w:t>
      </w:r>
      <w:r w:rsidRPr="00B80FA8">
        <w:t>olicy</w:t>
      </w:r>
      <w:bookmarkEnd w:id="44"/>
      <w:r w:rsidRPr="00B80FA8">
        <w:t xml:space="preserve"> </w:t>
      </w:r>
    </w:p>
    <w:tbl>
      <w:tblPr>
        <w:tblStyle w:val="Tabellenraster1"/>
        <w:tblW w:w="3108" w:type="pct"/>
        <w:tblInd w:w="5171" w:type="dxa"/>
        <w:tblBorders>
          <w:top w:val="single" w:sz="4" w:space="0" w:color="181C62" w:themeColor="text1"/>
          <w:left w:val="single" w:sz="4" w:space="0" w:color="181C62" w:themeColor="text1"/>
          <w:bottom w:val="single" w:sz="4" w:space="0" w:color="181C62" w:themeColor="text1"/>
          <w:right w:val="single" w:sz="4" w:space="0" w:color="181C62" w:themeColor="text1"/>
          <w:insideH w:val="single" w:sz="4" w:space="0" w:color="181C62" w:themeColor="text1"/>
          <w:insideV w:val="single" w:sz="4" w:space="0" w:color="181C62" w:themeColor="text1"/>
        </w:tblBorders>
        <w:tblLook w:val="04A0" w:firstRow="1" w:lastRow="0" w:firstColumn="1" w:lastColumn="0" w:noHBand="0" w:noVBand="1"/>
      </w:tblPr>
      <w:tblGrid>
        <w:gridCol w:w="2250"/>
        <w:gridCol w:w="1271"/>
        <w:gridCol w:w="1199"/>
        <w:gridCol w:w="1626"/>
        <w:gridCol w:w="2149"/>
      </w:tblGrid>
      <w:tr w:rsidR="005F23E9" w:rsidRPr="001B2A74" w14:paraId="28C048AB" w14:textId="77777777" w:rsidTr="0048409F">
        <w:trPr>
          <w:trHeight w:val="304"/>
        </w:trPr>
        <w:tc>
          <w:tcPr>
            <w:tcW w:w="1324"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48" w:space="0" w:color="890B3E" w:themeColor="background2" w:themeShade="80"/>
            </w:tcBorders>
            <w:noWrap/>
          </w:tcPr>
          <w:p w14:paraId="38F9DD0E" w14:textId="77777777" w:rsidR="005F23E9" w:rsidRPr="001B2A74" w:rsidRDefault="005F23E9" w:rsidP="00B57EDF">
            <w:pPr>
              <w:pStyle w:val="Tabelle-berschrift"/>
            </w:pPr>
            <w:r w:rsidRPr="005F23E9">
              <w:t xml:space="preserve">Competence / Power:    </w:t>
            </w:r>
          </w:p>
        </w:tc>
        <w:tc>
          <w:tcPr>
            <w:tcW w:w="748" w:type="pct"/>
            <w:tcBorders>
              <w:top w:val="single" w:sz="8" w:space="0" w:color="D9D9D9" w:themeColor="background1" w:themeShade="D9"/>
              <w:left w:val="single" w:sz="48" w:space="0" w:color="890B3E" w:themeColor="background2" w:themeShade="80"/>
              <w:bottom w:val="single" w:sz="8" w:space="0" w:color="D9D9D9" w:themeColor="background1" w:themeShade="D9"/>
              <w:right w:val="single" w:sz="48" w:space="0" w:color="EF3A84" w:themeColor="background2"/>
            </w:tcBorders>
            <w:noWrap/>
          </w:tcPr>
          <w:p w14:paraId="64A235EE" w14:textId="77777777" w:rsidR="005F23E9" w:rsidRPr="001B2A74" w:rsidRDefault="005F23E9" w:rsidP="00B57EDF">
            <w:pPr>
              <w:pStyle w:val="Tabelle-berschrift"/>
            </w:pPr>
            <w:r w:rsidRPr="001B2A74">
              <w:t>Primary</w:t>
            </w:r>
          </w:p>
        </w:tc>
        <w:tc>
          <w:tcPr>
            <w:tcW w:w="706" w:type="pct"/>
            <w:tcBorders>
              <w:top w:val="single" w:sz="8" w:space="0" w:color="D9D9D9" w:themeColor="background1" w:themeShade="D9"/>
              <w:left w:val="single" w:sz="48" w:space="0" w:color="EF3A84" w:themeColor="background2"/>
              <w:bottom w:val="single" w:sz="8" w:space="0" w:color="D9D9D9" w:themeColor="background1" w:themeShade="D9"/>
              <w:right w:val="single" w:sz="48" w:space="0" w:color="F8B0CD" w:themeColor="background2" w:themeTint="66"/>
            </w:tcBorders>
            <w:noWrap/>
          </w:tcPr>
          <w:p w14:paraId="3DFBCF1E" w14:textId="77777777" w:rsidR="005F23E9" w:rsidRPr="001B2A74" w:rsidRDefault="005F23E9" w:rsidP="00B57EDF">
            <w:pPr>
              <w:pStyle w:val="Tabelle-berschrift"/>
            </w:pPr>
            <w:r w:rsidRPr="001B2A74">
              <w:t>Shared</w:t>
            </w:r>
          </w:p>
        </w:tc>
        <w:tc>
          <w:tcPr>
            <w:tcW w:w="957" w:type="pct"/>
            <w:tcBorders>
              <w:top w:val="single" w:sz="8" w:space="0" w:color="D9D9D9" w:themeColor="background1" w:themeShade="D9"/>
              <w:left w:val="single" w:sz="48" w:space="0" w:color="F8B0CD" w:themeColor="background2" w:themeTint="66"/>
              <w:bottom w:val="single" w:sz="8" w:space="0" w:color="D9D9D9" w:themeColor="background1" w:themeShade="D9"/>
              <w:right w:val="nil"/>
            </w:tcBorders>
            <w:noWrap/>
          </w:tcPr>
          <w:p w14:paraId="00457BB5" w14:textId="77777777" w:rsidR="005F23E9" w:rsidRPr="001B2A74" w:rsidRDefault="005F23E9" w:rsidP="00B57EDF">
            <w:pPr>
              <w:pStyle w:val="Tabelle-berschrift"/>
            </w:pPr>
            <w:r w:rsidRPr="001B2A74">
              <w:t>Supporting</w:t>
            </w:r>
          </w:p>
        </w:tc>
        <w:tc>
          <w:tcPr>
            <w:tcW w:w="1265" w:type="pct"/>
            <w:tcBorders>
              <w:top w:val="single" w:sz="8" w:space="0" w:color="D9D9D9" w:themeColor="background1" w:themeShade="D9"/>
              <w:left w:val="nil"/>
              <w:bottom w:val="single" w:sz="8" w:space="0" w:color="D9D9D9" w:themeColor="background1" w:themeShade="D9"/>
              <w:right w:val="single" w:sz="8" w:space="0" w:color="D9D9D9" w:themeColor="background1" w:themeShade="D9"/>
            </w:tcBorders>
            <w:noWrap/>
          </w:tcPr>
          <w:p w14:paraId="04A77F03" w14:textId="77777777" w:rsidR="005F23E9" w:rsidRPr="001B2A74" w:rsidRDefault="005F23E9" w:rsidP="00B57EDF">
            <w:pPr>
              <w:pStyle w:val="Tabelle-berschrift"/>
            </w:pPr>
            <w:r w:rsidRPr="001B2A74">
              <w:t>No/very limited</w:t>
            </w:r>
          </w:p>
        </w:tc>
      </w:tr>
    </w:tbl>
    <w:p w14:paraId="63B1D9B5" w14:textId="77777777" w:rsidR="005F23E9" w:rsidRPr="005F23E9" w:rsidRDefault="005F23E9" w:rsidP="005F23E9"/>
    <w:tbl>
      <w:tblPr>
        <w:tblStyle w:val="Tabellenraster"/>
        <w:tblW w:w="13608" w:type="dxa"/>
        <w:tblInd w:w="-5"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ayout w:type="fixed"/>
        <w:tblLook w:val="04A0" w:firstRow="1" w:lastRow="0" w:firstColumn="1" w:lastColumn="0" w:noHBand="0" w:noVBand="1"/>
      </w:tblPr>
      <w:tblGrid>
        <w:gridCol w:w="223"/>
        <w:gridCol w:w="1191"/>
        <w:gridCol w:w="854"/>
        <w:gridCol w:w="1276"/>
        <w:gridCol w:w="850"/>
        <w:gridCol w:w="851"/>
        <w:gridCol w:w="851"/>
        <w:gridCol w:w="7512"/>
      </w:tblGrid>
      <w:tr w:rsidR="00F621EE" w:rsidRPr="00E67C31" w14:paraId="4AA0F61D" w14:textId="2659C4A2" w:rsidTr="00E67C31">
        <w:trPr>
          <w:cnfStyle w:val="100000000000" w:firstRow="1" w:lastRow="0" w:firstColumn="0" w:lastColumn="0" w:oddVBand="0" w:evenVBand="0" w:oddHBand="0" w:evenHBand="0" w:firstRowFirstColumn="0" w:firstRowLastColumn="0" w:lastRowFirstColumn="0" w:lastRowLastColumn="0"/>
          <w:trHeight w:val="260"/>
          <w:tblHeader/>
        </w:trPr>
        <w:tc>
          <w:tcPr>
            <w:tcW w:w="3544" w:type="dxa"/>
            <w:gridSpan w:val="4"/>
            <w:tcBorders>
              <w:top w:val="none" w:sz="0" w:space="0" w:color="auto"/>
              <w:left w:val="none" w:sz="0" w:space="0" w:color="auto"/>
            </w:tcBorders>
            <w:shd w:val="clear" w:color="auto" w:fill="F2F2F2" w:themeFill="background1" w:themeFillShade="F2"/>
            <w:noWrap/>
            <w:hideMark/>
          </w:tcPr>
          <w:p w14:paraId="128BEF66" w14:textId="77777777" w:rsidR="00F621EE" w:rsidRPr="00E67C31" w:rsidRDefault="00F621EE" w:rsidP="00B57EDF">
            <w:pPr>
              <w:pStyle w:val="Tabelle-berschrift"/>
              <w:rPr>
                <w:b/>
                <w:bCs/>
              </w:rPr>
            </w:pPr>
          </w:p>
        </w:tc>
        <w:tc>
          <w:tcPr>
            <w:tcW w:w="2552" w:type="dxa"/>
            <w:gridSpan w:val="3"/>
            <w:tcBorders>
              <w:top w:val="none" w:sz="0" w:space="0" w:color="auto"/>
            </w:tcBorders>
            <w:shd w:val="clear" w:color="auto" w:fill="F2F2F2" w:themeFill="background1" w:themeFillShade="F2"/>
            <w:noWrap/>
            <w:hideMark/>
          </w:tcPr>
          <w:p w14:paraId="1D6BC63E" w14:textId="77777777" w:rsidR="00F621EE" w:rsidRPr="00E67C31" w:rsidRDefault="00F621EE" w:rsidP="00B57EDF">
            <w:pPr>
              <w:pStyle w:val="Tabelle-berschrift"/>
              <w:rPr>
                <w:b/>
                <w:bCs/>
              </w:rPr>
            </w:pPr>
            <w:r w:rsidRPr="00E67C31">
              <w:rPr>
                <w:b/>
                <w:bCs/>
              </w:rPr>
              <w:t>Power</w:t>
            </w:r>
          </w:p>
        </w:tc>
        <w:tc>
          <w:tcPr>
            <w:tcW w:w="7512" w:type="dxa"/>
            <w:tcBorders>
              <w:top w:val="none" w:sz="0" w:space="0" w:color="auto"/>
              <w:right w:val="none" w:sz="0" w:space="0" w:color="auto"/>
            </w:tcBorders>
            <w:shd w:val="clear" w:color="auto" w:fill="F2F2F2" w:themeFill="background1" w:themeFillShade="F2"/>
          </w:tcPr>
          <w:p w14:paraId="5CD951B1" w14:textId="77777777" w:rsidR="00F621EE" w:rsidRPr="00E67C31" w:rsidRDefault="00F621EE" w:rsidP="00B57EDF">
            <w:pPr>
              <w:pStyle w:val="Tabelle-berschrift"/>
              <w:rPr>
                <w:b/>
                <w:bCs/>
              </w:rPr>
            </w:pPr>
          </w:p>
        </w:tc>
      </w:tr>
      <w:tr w:rsidR="00F621EE" w:rsidRPr="00E67C31" w14:paraId="3A880A3A" w14:textId="1A0D2D39" w:rsidTr="00E67C31">
        <w:trPr>
          <w:cnfStyle w:val="100000000000" w:firstRow="1" w:lastRow="0" w:firstColumn="0" w:lastColumn="0" w:oddVBand="0" w:evenVBand="0" w:oddHBand="0" w:evenHBand="0" w:firstRowFirstColumn="0" w:firstRowLastColumn="0" w:lastRowFirstColumn="0" w:lastRowLastColumn="0"/>
          <w:trHeight w:val="340"/>
          <w:tblHeader/>
        </w:trPr>
        <w:tc>
          <w:tcPr>
            <w:tcW w:w="223" w:type="dxa"/>
            <w:tcBorders>
              <w:left w:val="none" w:sz="0" w:space="0" w:color="auto"/>
              <w:bottom w:val="none" w:sz="0" w:space="0" w:color="auto"/>
            </w:tcBorders>
            <w:shd w:val="clear" w:color="auto" w:fill="F2F2F2" w:themeFill="background1" w:themeFillShade="F2"/>
            <w:noWrap/>
            <w:hideMark/>
          </w:tcPr>
          <w:p w14:paraId="1C0E9C37" w14:textId="77777777" w:rsidR="00F621EE" w:rsidRPr="00E67C31" w:rsidRDefault="00F621EE" w:rsidP="00B57EDF">
            <w:pPr>
              <w:pStyle w:val="Tabelle-berschrift"/>
              <w:rPr>
                <w:b/>
                <w:bCs/>
              </w:rPr>
            </w:pPr>
            <w:r w:rsidRPr="00E67C31">
              <w:rPr>
                <w:b/>
                <w:bCs/>
              </w:rPr>
              <w:t>#</w:t>
            </w:r>
          </w:p>
        </w:tc>
        <w:tc>
          <w:tcPr>
            <w:tcW w:w="1191" w:type="dxa"/>
            <w:tcBorders>
              <w:bottom w:val="none" w:sz="0" w:space="0" w:color="auto"/>
            </w:tcBorders>
            <w:shd w:val="clear" w:color="auto" w:fill="F2F2F2" w:themeFill="background1" w:themeFillShade="F2"/>
            <w:noWrap/>
            <w:hideMark/>
          </w:tcPr>
          <w:p w14:paraId="778BB01C" w14:textId="77777777" w:rsidR="00F621EE" w:rsidRPr="00E67C31" w:rsidRDefault="00F621EE" w:rsidP="00B57EDF">
            <w:pPr>
              <w:pStyle w:val="Tabelle-berschrift"/>
              <w:rPr>
                <w:b/>
                <w:bCs/>
              </w:rPr>
            </w:pPr>
            <w:r w:rsidRPr="00E67C31">
              <w:rPr>
                <w:b/>
                <w:bCs/>
              </w:rPr>
              <w:t>Domain</w:t>
            </w:r>
          </w:p>
        </w:tc>
        <w:tc>
          <w:tcPr>
            <w:tcW w:w="2130" w:type="dxa"/>
            <w:gridSpan w:val="2"/>
            <w:tcBorders>
              <w:bottom w:val="none" w:sz="0" w:space="0" w:color="auto"/>
            </w:tcBorders>
            <w:shd w:val="clear" w:color="auto" w:fill="F2F2F2" w:themeFill="background1" w:themeFillShade="F2"/>
            <w:noWrap/>
            <w:hideMark/>
          </w:tcPr>
          <w:p w14:paraId="44F022F9" w14:textId="77777777" w:rsidR="00F621EE" w:rsidRPr="00E67C31" w:rsidRDefault="00F621EE" w:rsidP="00B57EDF">
            <w:pPr>
              <w:pStyle w:val="Tabelle-berschrift"/>
              <w:rPr>
                <w:b/>
                <w:bCs/>
              </w:rPr>
            </w:pPr>
            <w:r w:rsidRPr="00E67C31">
              <w:rPr>
                <w:b/>
                <w:bCs/>
              </w:rPr>
              <w:t>Indicator</w:t>
            </w:r>
          </w:p>
        </w:tc>
        <w:tc>
          <w:tcPr>
            <w:tcW w:w="850" w:type="dxa"/>
            <w:tcBorders>
              <w:bottom w:val="none" w:sz="0" w:space="0" w:color="auto"/>
            </w:tcBorders>
            <w:shd w:val="clear" w:color="auto" w:fill="F2F2F2" w:themeFill="background1" w:themeFillShade="F2"/>
            <w:noWrap/>
            <w:hideMark/>
          </w:tcPr>
          <w:p w14:paraId="4B7A8D96" w14:textId="77777777" w:rsidR="00F621EE" w:rsidRPr="00E67C31" w:rsidRDefault="00F621EE" w:rsidP="00B57EDF">
            <w:pPr>
              <w:pStyle w:val="Tabelle-berschrift"/>
              <w:rPr>
                <w:b/>
                <w:bCs/>
              </w:rPr>
            </w:pPr>
            <w:r w:rsidRPr="00E67C31">
              <w:rPr>
                <w:b/>
                <w:bCs/>
              </w:rPr>
              <w:t>EU</w:t>
            </w:r>
          </w:p>
        </w:tc>
        <w:tc>
          <w:tcPr>
            <w:tcW w:w="851" w:type="dxa"/>
            <w:tcBorders>
              <w:bottom w:val="none" w:sz="0" w:space="0" w:color="auto"/>
            </w:tcBorders>
            <w:shd w:val="clear" w:color="auto" w:fill="F2F2F2" w:themeFill="background1" w:themeFillShade="F2"/>
            <w:noWrap/>
            <w:hideMark/>
          </w:tcPr>
          <w:p w14:paraId="3796993F" w14:textId="77777777" w:rsidR="00F621EE" w:rsidRPr="00E67C31" w:rsidRDefault="00F621EE" w:rsidP="00B57EDF">
            <w:pPr>
              <w:pStyle w:val="Tabelle-berschrift"/>
              <w:rPr>
                <w:b/>
                <w:bCs/>
              </w:rPr>
            </w:pPr>
            <w:r w:rsidRPr="00E67C31">
              <w:rPr>
                <w:b/>
                <w:bCs/>
              </w:rPr>
              <w:t xml:space="preserve">Federal </w:t>
            </w:r>
          </w:p>
        </w:tc>
        <w:tc>
          <w:tcPr>
            <w:tcW w:w="851" w:type="dxa"/>
            <w:tcBorders>
              <w:bottom w:val="none" w:sz="0" w:space="0" w:color="auto"/>
            </w:tcBorders>
            <w:shd w:val="clear" w:color="auto" w:fill="F2F2F2" w:themeFill="background1" w:themeFillShade="F2"/>
            <w:noWrap/>
            <w:hideMark/>
          </w:tcPr>
          <w:p w14:paraId="2781D2FD" w14:textId="77777777" w:rsidR="00F621EE" w:rsidRPr="00E67C31" w:rsidRDefault="00F621EE" w:rsidP="00B57EDF">
            <w:pPr>
              <w:pStyle w:val="Tabelle-berschrift"/>
              <w:rPr>
                <w:b/>
                <w:bCs/>
              </w:rPr>
            </w:pPr>
            <w:r w:rsidRPr="00E67C31">
              <w:rPr>
                <w:b/>
                <w:bCs/>
              </w:rPr>
              <w:t>State</w:t>
            </w:r>
          </w:p>
        </w:tc>
        <w:tc>
          <w:tcPr>
            <w:tcW w:w="7512" w:type="dxa"/>
            <w:tcBorders>
              <w:bottom w:val="none" w:sz="0" w:space="0" w:color="auto"/>
              <w:right w:val="none" w:sz="0" w:space="0" w:color="auto"/>
            </w:tcBorders>
            <w:shd w:val="clear" w:color="auto" w:fill="F2F2F2" w:themeFill="background1" w:themeFillShade="F2"/>
          </w:tcPr>
          <w:p w14:paraId="068CA2F3" w14:textId="2DD8DE45" w:rsidR="00F621EE" w:rsidRPr="00E67C31" w:rsidRDefault="00F621EE" w:rsidP="00B57EDF">
            <w:pPr>
              <w:pStyle w:val="Tabelle-berschrift"/>
              <w:rPr>
                <w:b/>
                <w:bCs/>
              </w:rPr>
            </w:pPr>
            <w:r w:rsidRPr="00E67C31">
              <w:rPr>
                <w:b/>
                <w:bCs/>
              </w:rPr>
              <w:t>Explanation</w:t>
            </w:r>
          </w:p>
        </w:tc>
      </w:tr>
      <w:tr w:rsidR="00F621EE" w:rsidRPr="00BF007D" w14:paraId="1540E7CD" w14:textId="1E14E49D" w:rsidTr="0048409F">
        <w:trPr>
          <w:trHeight w:val="260"/>
        </w:trPr>
        <w:tc>
          <w:tcPr>
            <w:tcW w:w="223" w:type="dxa"/>
            <w:vMerge w:val="restart"/>
            <w:noWrap/>
            <w:hideMark/>
          </w:tcPr>
          <w:p w14:paraId="0FFD3681" w14:textId="77777777" w:rsidR="00F621EE" w:rsidRPr="00E46DA3" w:rsidRDefault="00F621EE" w:rsidP="00B57EDF">
            <w:pPr>
              <w:pStyle w:val="Tabelle-Text"/>
            </w:pPr>
            <w:r w:rsidRPr="00E46DA3">
              <w:t>1</w:t>
            </w:r>
          </w:p>
          <w:p w14:paraId="0020A7C4" w14:textId="77777777" w:rsidR="00F621EE" w:rsidRPr="00E46DA3" w:rsidRDefault="00F621EE" w:rsidP="00B57EDF">
            <w:pPr>
              <w:pStyle w:val="Tabelle-Text"/>
            </w:pPr>
          </w:p>
        </w:tc>
        <w:tc>
          <w:tcPr>
            <w:tcW w:w="1191" w:type="dxa"/>
            <w:vMerge w:val="restart"/>
            <w:noWrap/>
            <w:hideMark/>
          </w:tcPr>
          <w:p w14:paraId="7FD0C6D1" w14:textId="77777777" w:rsidR="00F621EE" w:rsidRPr="00E46DA3" w:rsidRDefault="00F621EE" w:rsidP="00B57EDF">
            <w:pPr>
              <w:pStyle w:val="Tabelle-Text"/>
            </w:pPr>
            <w:r w:rsidRPr="00E46DA3">
              <w:t>Food composition</w:t>
            </w:r>
          </w:p>
        </w:tc>
        <w:tc>
          <w:tcPr>
            <w:tcW w:w="854" w:type="dxa"/>
            <w:noWrap/>
            <w:hideMark/>
          </w:tcPr>
          <w:p w14:paraId="07683E1C" w14:textId="77777777" w:rsidR="00F621EE" w:rsidRPr="00BF007D" w:rsidRDefault="00F621EE" w:rsidP="00B57EDF">
            <w:pPr>
              <w:pStyle w:val="Tabelle-Text"/>
            </w:pPr>
            <w:r w:rsidRPr="00BF007D">
              <w:t>COMP1</w:t>
            </w:r>
          </w:p>
        </w:tc>
        <w:tc>
          <w:tcPr>
            <w:tcW w:w="1276" w:type="dxa"/>
            <w:noWrap/>
            <w:hideMark/>
          </w:tcPr>
          <w:p w14:paraId="4523758A" w14:textId="77777777" w:rsidR="00F621EE" w:rsidRPr="00197709" w:rsidRDefault="00F621EE" w:rsidP="00B57EDF">
            <w:pPr>
              <w:pStyle w:val="Tabelle-Text"/>
            </w:pPr>
            <w:r w:rsidRPr="00197709">
              <w:t>Processed foods</w:t>
            </w:r>
          </w:p>
        </w:tc>
        <w:tc>
          <w:tcPr>
            <w:tcW w:w="850" w:type="dxa"/>
            <w:shd w:val="clear" w:color="auto" w:fill="800040"/>
            <w:noWrap/>
            <w:hideMark/>
          </w:tcPr>
          <w:p w14:paraId="7C60FFE7" w14:textId="77777777" w:rsidR="00F621EE" w:rsidRPr="00BF007D" w:rsidRDefault="00F621EE" w:rsidP="00B57EDF">
            <w:pPr>
              <w:pStyle w:val="Tabelle-Text"/>
            </w:pPr>
          </w:p>
        </w:tc>
        <w:tc>
          <w:tcPr>
            <w:tcW w:w="851" w:type="dxa"/>
            <w:shd w:val="clear" w:color="auto" w:fill="F8B0CD" w:themeFill="background2" w:themeFillTint="66"/>
            <w:noWrap/>
            <w:hideMark/>
          </w:tcPr>
          <w:p w14:paraId="2C4F1768" w14:textId="77777777" w:rsidR="00F621EE" w:rsidRDefault="00F621EE" w:rsidP="00B57EDF">
            <w:pPr>
              <w:pStyle w:val="Tabelle-Text"/>
            </w:pPr>
          </w:p>
          <w:p w14:paraId="03660EAE" w14:textId="77777777" w:rsidR="0048409F" w:rsidRDefault="0048409F" w:rsidP="0048409F">
            <w:pPr>
              <w:rPr>
                <w:bCs/>
                <w:sz w:val="20"/>
                <w:szCs w:val="20"/>
              </w:rPr>
            </w:pPr>
          </w:p>
          <w:p w14:paraId="304639C7" w14:textId="77777777" w:rsidR="0048409F" w:rsidRPr="0048409F" w:rsidRDefault="0048409F" w:rsidP="0048409F"/>
        </w:tc>
        <w:tc>
          <w:tcPr>
            <w:tcW w:w="851" w:type="dxa"/>
            <w:noWrap/>
            <w:hideMark/>
          </w:tcPr>
          <w:p w14:paraId="112360B0" w14:textId="77777777" w:rsidR="00F621EE" w:rsidRPr="002716DE" w:rsidRDefault="00F621EE" w:rsidP="00B57EDF">
            <w:pPr>
              <w:pStyle w:val="Tabelle-Text"/>
            </w:pPr>
          </w:p>
        </w:tc>
        <w:tc>
          <w:tcPr>
            <w:tcW w:w="7512" w:type="dxa"/>
          </w:tcPr>
          <w:p w14:paraId="2293175B" w14:textId="40994545" w:rsidR="00F621EE" w:rsidRPr="002716DE" w:rsidRDefault="00F621EE" w:rsidP="00B57EDF">
            <w:pPr>
              <w:pStyle w:val="Tabelle-Text"/>
            </w:pPr>
            <w:r>
              <w:rPr>
                <w:shd w:val="clear" w:color="auto" w:fill="FFFFFF"/>
              </w:rPr>
              <w:t>EU’s s</w:t>
            </w:r>
            <w:r w:rsidRPr="001B2A74">
              <w:rPr>
                <w:shd w:val="clear" w:color="auto" w:fill="FFFFFF"/>
              </w:rPr>
              <w:t xml:space="preserve">hared competence under the internal market and consumer protection </w:t>
            </w:r>
            <w:r>
              <w:rPr>
                <w:shd w:val="clear" w:color="auto" w:fill="FFFFFF"/>
              </w:rPr>
              <w:t xml:space="preserve">competence </w:t>
            </w:r>
            <w:r w:rsidRPr="001B2A74">
              <w:rPr>
                <w:shd w:val="clear" w:color="auto" w:fill="FFFFFF"/>
              </w:rPr>
              <w:t>(Art. 4(2) TFEU). Member States’ may only act where the EU has not adopted legislations (Art. 2(2) TFEU). The EU enacted both general food (e.g., requirements on food safety (EU178/2002)) and specific legislations (e.g., EU1925/2006 governing the addition of vitamins, minerals and certain types of other substances to foods). In Germany, food composition is part of the concurrent legislative competence of the federal government under economic and food law (Art. 74(1) No. 11, 20 GG).</w:t>
            </w:r>
          </w:p>
        </w:tc>
      </w:tr>
      <w:tr w:rsidR="00F621EE" w:rsidRPr="00BF007D" w14:paraId="4EE02780" w14:textId="443377D4" w:rsidTr="0048409F">
        <w:trPr>
          <w:trHeight w:val="325"/>
        </w:trPr>
        <w:tc>
          <w:tcPr>
            <w:tcW w:w="223" w:type="dxa"/>
            <w:vMerge/>
            <w:noWrap/>
            <w:hideMark/>
          </w:tcPr>
          <w:p w14:paraId="76096F39" w14:textId="77777777" w:rsidR="00F621EE" w:rsidRPr="00E46DA3" w:rsidRDefault="00F621EE" w:rsidP="00B57EDF">
            <w:pPr>
              <w:pStyle w:val="Tabelle-Text"/>
            </w:pPr>
          </w:p>
        </w:tc>
        <w:tc>
          <w:tcPr>
            <w:tcW w:w="1191" w:type="dxa"/>
            <w:vMerge/>
            <w:noWrap/>
            <w:hideMark/>
          </w:tcPr>
          <w:p w14:paraId="62FCD00C" w14:textId="77777777" w:rsidR="00F621EE" w:rsidRPr="00E46DA3" w:rsidRDefault="00F621EE" w:rsidP="00B57EDF">
            <w:pPr>
              <w:pStyle w:val="Tabelle-Text"/>
            </w:pPr>
          </w:p>
        </w:tc>
        <w:tc>
          <w:tcPr>
            <w:tcW w:w="854" w:type="dxa"/>
            <w:noWrap/>
            <w:hideMark/>
          </w:tcPr>
          <w:p w14:paraId="17C63D3F" w14:textId="77777777" w:rsidR="00F621EE" w:rsidRPr="00BF007D" w:rsidRDefault="00F621EE" w:rsidP="00B57EDF">
            <w:pPr>
              <w:pStyle w:val="Tabelle-Text"/>
            </w:pPr>
            <w:r w:rsidRPr="00BF007D">
              <w:t>COMP2</w:t>
            </w:r>
          </w:p>
        </w:tc>
        <w:tc>
          <w:tcPr>
            <w:tcW w:w="1276" w:type="dxa"/>
            <w:noWrap/>
            <w:hideMark/>
          </w:tcPr>
          <w:p w14:paraId="2B28480B" w14:textId="77777777" w:rsidR="00F621EE" w:rsidRPr="00197709" w:rsidRDefault="00F621EE" w:rsidP="00B57EDF">
            <w:pPr>
              <w:pStyle w:val="Tabelle-Text"/>
            </w:pPr>
            <w:r w:rsidRPr="00197709">
              <w:t xml:space="preserve">Out-of-home </w:t>
            </w:r>
            <w:r>
              <w:t>settings</w:t>
            </w:r>
          </w:p>
        </w:tc>
        <w:tc>
          <w:tcPr>
            <w:tcW w:w="850" w:type="dxa"/>
            <w:shd w:val="clear" w:color="auto" w:fill="800040"/>
            <w:noWrap/>
            <w:hideMark/>
          </w:tcPr>
          <w:p w14:paraId="4360A3A4" w14:textId="77777777" w:rsidR="00F621EE" w:rsidRPr="00BF007D" w:rsidRDefault="00F621EE" w:rsidP="00B57EDF">
            <w:pPr>
              <w:pStyle w:val="Tabelle-Text"/>
            </w:pPr>
          </w:p>
        </w:tc>
        <w:tc>
          <w:tcPr>
            <w:tcW w:w="851" w:type="dxa"/>
            <w:shd w:val="clear" w:color="auto" w:fill="F8B0CD" w:themeFill="background2" w:themeFillTint="66"/>
            <w:noWrap/>
            <w:hideMark/>
          </w:tcPr>
          <w:p w14:paraId="6D7295A7" w14:textId="77777777" w:rsidR="00F621EE" w:rsidRPr="00BF007D" w:rsidRDefault="00F621EE" w:rsidP="00B57EDF">
            <w:pPr>
              <w:pStyle w:val="Tabelle-Text"/>
            </w:pPr>
          </w:p>
        </w:tc>
        <w:tc>
          <w:tcPr>
            <w:tcW w:w="851" w:type="dxa"/>
            <w:noWrap/>
            <w:hideMark/>
          </w:tcPr>
          <w:p w14:paraId="5FE42805" w14:textId="77777777" w:rsidR="00F621EE" w:rsidRPr="002716DE" w:rsidRDefault="00F621EE" w:rsidP="00B57EDF">
            <w:pPr>
              <w:pStyle w:val="Tabelle-Text"/>
            </w:pPr>
          </w:p>
        </w:tc>
        <w:tc>
          <w:tcPr>
            <w:tcW w:w="7512" w:type="dxa"/>
          </w:tcPr>
          <w:p w14:paraId="0588D42A" w14:textId="21A3FB7F" w:rsidR="00F621EE" w:rsidRPr="002716DE" w:rsidRDefault="00F621EE" w:rsidP="00B57EDF">
            <w:pPr>
              <w:pStyle w:val="Tabelle-Text"/>
            </w:pPr>
            <w:r w:rsidRPr="001B2A74">
              <w:rPr>
                <w:shd w:val="clear" w:color="auto" w:fill="FFFFFF"/>
              </w:rPr>
              <w:t xml:space="preserve">See COMP1; EU legislation on food composition also applies to out-of-home settings. In Germany, the food service sector falls under the legislative competence of the states (Art. 74(1) No. 11 GG), but this primarily concerns operational aspects such as permits and inspections. Regulations on food composition are derived from specialized laws (e.g., youth protection and food law). Thus, setting targets or limits for problematic nutrients is an EU </w:t>
            </w:r>
            <w:r>
              <w:rPr>
                <w:shd w:val="clear" w:color="auto" w:fill="FFFFFF"/>
              </w:rPr>
              <w:t xml:space="preserve">competence and the </w:t>
            </w:r>
            <w:r w:rsidRPr="001B2A74">
              <w:rPr>
                <w:shd w:val="clear" w:color="auto" w:fill="FFFFFF"/>
              </w:rPr>
              <w:t xml:space="preserve">federal </w:t>
            </w:r>
            <w:r>
              <w:rPr>
                <w:shd w:val="clear" w:color="auto" w:fill="FFFFFF"/>
              </w:rPr>
              <w:t>government has a supporting power</w:t>
            </w:r>
            <w:r w:rsidRPr="001B2A74">
              <w:rPr>
                <w:shd w:val="clear" w:color="auto" w:fill="FFFFFF"/>
              </w:rPr>
              <w:t>.</w:t>
            </w:r>
          </w:p>
        </w:tc>
      </w:tr>
      <w:tr w:rsidR="00F621EE" w:rsidRPr="00BF007D" w14:paraId="69F4BEF0" w14:textId="4B9BD922" w:rsidTr="0048409F">
        <w:trPr>
          <w:trHeight w:val="260"/>
        </w:trPr>
        <w:tc>
          <w:tcPr>
            <w:tcW w:w="223" w:type="dxa"/>
            <w:vMerge w:val="restart"/>
            <w:noWrap/>
            <w:hideMark/>
          </w:tcPr>
          <w:p w14:paraId="0858319F" w14:textId="77777777" w:rsidR="00F621EE" w:rsidRPr="00E46DA3" w:rsidRDefault="00F621EE" w:rsidP="00B57EDF">
            <w:pPr>
              <w:pStyle w:val="Tabelle-Text"/>
            </w:pPr>
            <w:r w:rsidRPr="00E46DA3">
              <w:t>2</w:t>
            </w:r>
          </w:p>
        </w:tc>
        <w:tc>
          <w:tcPr>
            <w:tcW w:w="1191" w:type="dxa"/>
            <w:vMerge w:val="restart"/>
            <w:noWrap/>
            <w:hideMark/>
          </w:tcPr>
          <w:p w14:paraId="3A744541" w14:textId="77777777" w:rsidR="00F621EE" w:rsidRPr="00E46DA3" w:rsidRDefault="00F621EE" w:rsidP="00B57EDF">
            <w:pPr>
              <w:pStyle w:val="Tabelle-Text"/>
            </w:pPr>
            <w:r w:rsidRPr="00E46DA3">
              <w:t xml:space="preserve">Food labelling </w:t>
            </w:r>
          </w:p>
          <w:p w14:paraId="199193B3" w14:textId="77777777" w:rsidR="00F621EE" w:rsidRPr="00E46DA3" w:rsidRDefault="00F621EE" w:rsidP="00B57EDF">
            <w:pPr>
              <w:pStyle w:val="Tabelle-Text"/>
            </w:pPr>
            <w:r w:rsidRPr="00E46DA3">
              <w:t xml:space="preserve"> </w:t>
            </w:r>
          </w:p>
        </w:tc>
        <w:tc>
          <w:tcPr>
            <w:tcW w:w="854" w:type="dxa"/>
            <w:noWrap/>
            <w:hideMark/>
          </w:tcPr>
          <w:p w14:paraId="00DBFFA4" w14:textId="77777777" w:rsidR="00F621EE" w:rsidRPr="00BF007D" w:rsidRDefault="00F621EE" w:rsidP="00B57EDF">
            <w:pPr>
              <w:pStyle w:val="Tabelle-Text"/>
            </w:pPr>
            <w:r w:rsidRPr="00BF007D">
              <w:t>LABEL1</w:t>
            </w:r>
          </w:p>
        </w:tc>
        <w:tc>
          <w:tcPr>
            <w:tcW w:w="1276" w:type="dxa"/>
            <w:noWrap/>
            <w:hideMark/>
          </w:tcPr>
          <w:p w14:paraId="12EAE03E" w14:textId="77777777" w:rsidR="00F621EE" w:rsidRPr="00197709" w:rsidRDefault="00F621EE" w:rsidP="00B57EDF">
            <w:pPr>
              <w:pStyle w:val="Tabelle-Text"/>
            </w:pPr>
            <w:r w:rsidRPr="00197709">
              <w:t>Ingredient lists and nutrient declarations</w:t>
            </w:r>
          </w:p>
        </w:tc>
        <w:tc>
          <w:tcPr>
            <w:tcW w:w="850" w:type="dxa"/>
            <w:shd w:val="clear" w:color="auto" w:fill="800040"/>
            <w:noWrap/>
            <w:hideMark/>
          </w:tcPr>
          <w:p w14:paraId="57A95DB3" w14:textId="77777777" w:rsidR="00F621EE" w:rsidRPr="00BF007D" w:rsidRDefault="00F621EE" w:rsidP="00B57EDF">
            <w:pPr>
              <w:pStyle w:val="Tabelle-Text"/>
            </w:pPr>
          </w:p>
        </w:tc>
        <w:tc>
          <w:tcPr>
            <w:tcW w:w="851" w:type="dxa"/>
            <w:shd w:val="clear" w:color="auto" w:fill="F8B0CD" w:themeFill="background2" w:themeFillTint="66"/>
            <w:noWrap/>
            <w:hideMark/>
          </w:tcPr>
          <w:p w14:paraId="177C83B2" w14:textId="77777777" w:rsidR="00F621EE" w:rsidRPr="002716DE" w:rsidRDefault="00F621EE" w:rsidP="00B57EDF">
            <w:pPr>
              <w:pStyle w:val="Tabelle-Text"/>
            </w:pPr>
          </w:p>
        </w:tc>
        <w:tc>
          <w:tcPr>
            <w:tcW w:w="851" w:type="dxa"/>
            <w:noWrap/>
            <w:hideMark/>
          </w:tcPr>
          <w:p w14:paraId="1ED4EF80" w14:textId="77777777" w:rsidR="00F621EE" w:rsidRPr="002716DE" w:rsidRDefault="00F621EE" w:rsidP="00B57EDF">
            <w:pPr>
              <w:pStyle w:val="Tabelle-Text"/>
            </w:pPr>
          </w:p>
        </w:tc>
        <w:tc>
          <w:tcPr>
            <w:tcW w:w="7512" w:type="dxa"/>
            <w:vMerge w:val="restart"/>
          </w:tcPr>
          <w:p w14:paraId="34E5C58B" w14:textId="1EA36995" w:rsidR="00F621EE" w:rsidRPr="002716DE" w:rsidRDefault="00F621EE" w:rsidP="00B57EDF">
            <w:pPr>
              <w:pStyle w:val="Tabelle-Text"/>
            </w:pPr>
            <w:r w:rsidRPr="001B2A74">
              <w:rPr>
                <w:shd w:val="clear" w:color="auto" w:fill="FFFFFF"/>
              </w:rPr>
              <w:t>EU</w:t>
            </w:r>
            <w:r>
              <w:rPr>
                <w:shd w:val="clear" w:color="auto" w:fill="FFFFFF"/>
              </w:rPr>
              <w:t>’s</w:t>
            </w:r>
            <w:r w:rsidRPr="001B2A74">
              <w:rPr>
                <w:shd w:val="clear" w:color="auto" w:fill="FFFFFF"/>
              </w:rPr>
              <w:t xml:space="preserve"> shared competence under internal market and consumer protection, (Art. 4(2) TFEU)</w:t>
            </w:r>
            <w:r>
              <w:rPr>
                <w:shd w:val="clear" w:color="auto" w:fill="FFFFFF"/>
              </w:rPr>
              <w:t>. R</w:t>
            </w:r>
            <w:r w:rsidRPr="001B2A74">
              <w:rPr>
                <w:shd w:val="clear" w:color="auto" w:fill="FFFFFF"/>
              </w:rPr>
              <w:t xml:space="preserve">ules </w:t>
            </w:r>
            <w:r>
              <w:rPr>
                <w:shd w:val="clear" w:color="auto" w:fill="FFFFFF"/>
              </w:rPr>
              <w:t xml:space="preserve">are </w:t>
            </w:r>
            <w:r w:rsidRPr="001B2A74">
              <w:rPr>
                <w:shd w:val="clear" w:color="auto" w:fill="FFFFFF"/>
              </w:rPr>
              <w:t>largely harmonized in various EU regulations, particularly the Food Information (EU1169/2011) and Health Claims Regulation (EU1925/2006). Member States’ may only act where the EU’s rules are none exhaustive or where EU regulation can be supplemented (known as minimal harmonization (Art. 2(2) TFEU). EU regulations on ingredients list and nutrient declarations (LABEL1, see EU1169/2011), nutrition and health claims (LABEL2, see EU1925/2006) and front-</w:t>
            </w:r>
            <w:r w:rsidRPr="001B2A74">
              <w:rPr>
                <w:shd w:val="clear" w:color="auto" w:fill="FFFFFF"/>
              </w:rPr>
              <w:lastRenderedPageBreak/>
              <w:t>of pack nutrition information (LABEL3, see EU1169/2011) are generally considered exhaustive. As a result, Member States may only introduce front-of-pack labelling rules like the Nutri-Score (</w:t>
            </w:r>
            <w:r w:rsidRPr="001B2A74">
              <w:t>Belgium, France, Germany, Luxembourg, the Netherlands, Spain)</w:t>
            </w:r>
            <w:r w:rsidRPr="001B2A74">
              <w:rPr>
                <w:shd w:val="clear" w:color="auto" w:fill="FFFFFF"/>
              </w:rPr>
              <w:t xml:space="preserve"> or the Keyhole (Denmark, Sweden) on a voluntary basis.  </w:t>
            </w:r>
          </w:p>
        </w:tc>
      </w:tr>
      <w:tr w:rsidR="00F621EE" w:rsidRPr="00BF007D" w14:paraId="62D0E8C3" w14:textId="1ACF05C1" w:rsidTr="0048409F">
        <w:trPr>
          <w:trHeight w:val="260"/>
        </w:trPr>
        <w:tc>
          <w:tcPr>
            <w:tcW w:w="223" w:type="dxa"/>
            <w:vMerge/>
            <w:noWrap/>
            <w:hideMark/>
          </w:tcPr>
          <w:p w14:paraId="6D4DFB4A" w14:textId="77777777" w:rsidR="00F621EE" w:rsidRPr="00E46DA3" w:rsidRDefault="00F621EE" w:rsidP="00B57EDF">
            <w:pPr>
              <w:pStyle w:val="Tabelle-Text"/>
            </w:pPr>
          </w:p>
        </w:tc>
        <w:tc>
          <w:tcPr>
            <w:tcW w:w="1191" w:type="dxa"/>
            <w:vMerge/>
            <w:noWrap/>
            <w:hideMark/>
          </w:tcPr>
          <w:p w14:paraId="63AE3A9F" w14:textId="77777777" w:rsidR="00F621EE" w:rsidRPr="00E46DA3" w:rsidRDefault="00F621EE" w:rsidP="00B57EDF">
            <w:pPr>
              <w:pStyle w:val="Tabelle-Text"/>
            </w:pPr>
          </w:p>
        </w:tc>
        <w:tc>
          <w:tcPr>
            <w:tcW w:w="854" w:type="dxa"/>
            <w:noWrap/>
            <w:hideMark/>
          </w:tcPr>
          <w:p w14:paraId="2E0BBF74" w14:textId="77777777" w:rsidR="00F621EE" w:rsidRPr="00BF007D" w:rsidRDefault="00F621EE" w:rsidP="00B57EDF">
            <w:pPr>
              <w:pStyle w:val="Tabelle-Text"/>
            </w:pPr>
            <w:r w:rsidRPr="00BF007D">
              <w:t>LABEL2</w:t>
            </w:r>
          </w:p>
        </w:tc>
        <w:tc>
          <w:tcPr>
            <w:tcW w:w="1276" w:type="dxa"/>
            <w:noWrap/>
            <w:hideMark/>
          </w:tcPr>
          <w:p w14:paraId="13BC88E1" w14:textId="77777777" w:rsidR="00F621EE" w:rsidRPr="00197709" w:rsidRDefault="00F621EE" w:rsidP="00B57EDF">
            <w:pPr>
              <w:pStyle w:val="Tabelle-Text"/>
            </w:pPr>
            <w:r w:rsidRPr="00197709">
              <w:t>Nutrition and health claims</w:t>
            </w:r>
          </w:p>
        </w:tc>
        <w:tc>
          <w:tcPr>
            <w:tcW w:w="850" w:type="dxa"/>
            <w:shd w:val="clear" w:color="auto" w:fill="800040"/>
            <w:noWrap/>
            <w:hideMark/>
          </w:tcPr>
          <w:p w14:paraId="42DBDB02" w14:textId="77777777" w:rsidR="00F621EE" w:rsidRPr="00BF007D" w:rsidRDefault="00F621EE" w:rsidP="00B57EDF">
            <w:pPr>
              <w:pStyle w:val="Tabelle-Text"/>
            </w:pPr>
          </w:p>
        </w:tc>
        <w:tc>
          <w:tcPr>
            <w:tcW w:w="851" w:type="dxa"/>
            <w:shd w:val="clear" w:color="auto" w:fill="F8B0CD" w:themeFill="background2" w:themeFillTint="66"/>
            <w:noWrap/>
            <w:hideMark/>
          </w:tcPr>
          <w:p w14:paraId="076DA935" w14:textId="77777777" w:rsidR="00F621EE" w:rsidRPr="002716DE" w:rsidRDefault="00F621EE" w:rsidP="00B57EDF">
            <w:pPr>
              <w:pStyle w:val="Tabelle-Text"/>
            </w:pPr>
          </w:p>
        </w:tc>
        <w:tc>
          <w:tcPr>
            <w:tcW w:w="851" w:type="dxa"/>
            <w:noWrap/>
            <w:hideMark/>
          </w:tcPr>
          <w:p w14:paraId="150102B0" w14:textId="77777777" w:rsidR="00F621EE" w:rsidRPr="002716DE" w:rsidRDefault="00F621EE" w:rsidP="00B57EDF">
            <w:pPr>
              <w:pStyle w:val="Tabelle-Text"/>
            </w:pPr>
          </w:p>
        </w:tc>
        <w:tc>
          <w:tcPr>
            <w:tcW w:w="7512" w:type="dxa"/>
            <w:vMerge/>
          </w:tcPr>
          <w:p w14:paraId="131C832D" w14:textId="77777777" w:rsidR="00F621EE" w:rsidRPr="002716DE" w:rsidRDefault="00F621EE" w:rsidP="00B57EDF">
            <w:pPr>
              <w:pStyle w:val="Tabelle-Text"/>
            </w:pPr>
          </w:p>
        </w:tc>
      </w:tr>
      <w:tr w:rsidR="00F621EE" w:rsidRPr="00BF007D" w14:paraId="3CFB084C" w14:textId="1E280352" w:rsidTr="0048409F">
        <w:trPr>
          <w:trHeight w:val="260"/>
        </w:trPr>
        <w:tc>
          <w:tcPr>
            <w:tcW w:w="223" w:type="dxa"/>
            <w:vMerge/>
            <w:noWrap/>
            <w:hideMark/>
          </w:tcPr>
          <w:p w14:paraId="037E5DFB" w14:textId="77777777" w:rsidR="00F621EE" w:rsidRPr="00E46DA3" w:rsidRDefault="00F621EE" w:rsidP="00B57EDF">
            <w:pPr>
              <w:pStyle w:val="Tabelle-Text"/>
            </w:pPr>
          </w:p>
        </w:tc>
        <w:tc>
          <w:tcPr>
            <w:tcW w:w="1191" w:type="dxa"/>
            <w:vMerge/>
            <w:noWrap/>
            <w:hideMark/>
          </w:tcPr>
          <w:p w14:paraId="21E81132" w14:textId="77777777" w:rsidR="00F621EE" w:rsidRPr="00E46DA3" w:rsidRDefault="00F621EE" w:rsidP="00B57EDF">
            <w:pPr>
              <w:pStyle w:val="Tabelle-Text"/>
            </w:pPr>
          </w:p>
        </w:tc>
        <w:tc>
          <w:tcPr>
            <w:tcW w:w="854" w:type="dxa"/>
            <w:noWrap/>
            <w:hideMark/>
          </w:tcPr>
          <w:p w14:paraId="5EE868AE" w14:textId="77777777" w:rsidR="00F621EE" w:rsidRPr="00BF007D" w:rsidRDefault="00F621EE" w:rsidP="00B57EDF">
            <w:pPr>
              <w:pStyle w:val="Tabelle-Text"/>
            </w:pPr>
            <w:r w:rsidRPr="00BF007D">
              <w:t>LABEL3</w:t>
            </w:r>
          </w:p>
        </w:tc>
        <w:tc>
          <w:tcPr>
            <w:tcW w:w="1276" w:type="dxa"/>
            <w:noWrap/>
            <w:hideMark/>
          </w:tcPr>
          <w:p w14:paraId="1504B9EC" w14:textId="77777777" w:rsidR="00F621EE" w:rsidRPr="00197709" w:rsidRDefault="00F621EE" w:rsidP="00B57EDF">
            <w:pPr>
              <w:pStyle w:val="Tabelle-Text"/>
            </w:pPr>
            <w:r w:rsidRPr="00197709">
              <w:t>Front-of-pack nutrition information</w:t>
            </w:r>
          </w:p>
        </w:tc>
        <w:tc>
          <w:tcPr>
            <w:tcW w:w="850" w:type="dxa"/>
            <w:shd w:val="clear" w:color="auto" w:fill="800040"/>
            <w:noWrap/>
            <w:hideMark/>
          </w:tcPr>
          <w:p w14:paraId="715D5CFC" w14:textId="77777777" w:rsidR="00F621EE" w:rsidRPr="00BF007D" w:rsidRDefault="00F621EE" w:rsidP="00B57EDF">
            <w:pPr>
              <w:pStyle w:val="Tabelle-Text"/>
            </w:pPr>
          </w:p>
        </w:tc>
        <w:tc>
          <w:tcPr>
            <w:tcW w:w="851" w:type="dxa"/>
            <w:shd w:val="clear" w:color="auto" w:fill="F8B0CD" w:themeFill="background2" w:themeFillTint="66"/>
            <w:noWrap/>
            <w:hideMark/>
          </w:tcPr>
          <w:p w14:paraId="25C52FFA" w14:textId="77777777" w:rsidR="00F621EE" w:rsidRPr="002716DE" w:rsidRDefault="00F621EE" w:rsidP="00B57EDF">
            <w:pPr>
              <w:pStyle w:val="Tabelle-Text"/>
            </w:pPr>
          </w:p>
        </w:tc>
        <w:tc>
          <w:tcPr>
            <w:tcW w:w="851" w:type="dxa"/>
            <w:noWrap/>
            <w:hideMark/>
          </w:tcPr>
          <w:p w14:paraId="18CE4A09" w14:textId="77777777" w:rsidR="00F621EE" w:rsidRPr="002716DE" w:rsidRDefault="00F621EE" w:rsidP="00B57EDF">
            <w:pPr>
              <w:pStyle w:val="Tabelle-Text"/>
            </w:pPr>
          </w:p>
        </w:tc>
        <w:tc>
          <w:tcPr>
            <w:tcW w:w="7512" w:type="dxa"/>
            <w:vMerge/>
          </w:tcPr>
          <w:p w14:paraId="001418D7" w14:textId="77777777" w:rsidR="00F621EE" w:rsidRPr="002716DE" w:rsidRDefault="00F621EE" w:rsidP="00B57EDF">
            <w:pPr>
              <w:pStyle w:val="Tabelle-Text"/>
            </w:pPr>
          </w:p>
        </w:tc>
      </w:tr>
      <w:tr w:rsidR="00F621EE" w:rsidRPr="00BF007D" w14:paraId="16712B9C" w14:textId="7211E598" w:rsidTr="0048409F">
        <w:trPr>
          <w:trHeight w:val="260"/>
        </w:trPr>
        <w:tc>
          <w:tcPr>
            <w:tcW w:w="223" w:type="dxa"/>
            <w:vMerge/>
            <w:noWrap/>
            <w:hideMark/>
          </w:tcPr>
          <w:p w14:paraId="057A1AF6" w14:textId="77777777" w:rsidR="00F621EE" w:rsidRPr="00E46DA3" w:rsidRDefault="00F621EE" w:rsidP="00B57EDF">
            <w:pPr>
              <w:pStyle w:val="Tabelle-Text"/>
            </w:pPr>
          </w:p>
        </w:tc>
        <w:tc>
          <w:tcPr>
            <w:tcW w:w="1191" w:type="dxa"/>
            <w:vMerge/>
            <w:noWrap/>
            <w:hideMark/>
          </w:tcPr>
          <w:p w14:paraId="3869108E" w14:textId="77777777" w:rsidR="00F621EE" w:rsidRPr="00E46DA3" w:rsidRDefault="00F621EE" w:rsidP="00B57EDF">
            <w:pPr>
              <w:pStyle w:val="Tabelle-Text"/>
            </w:pPr>
          </w:p>
        </w:tc>
        <w:tc>
          <w:tcPr>
            <w:tcW w:w="854" w:type="dxa"/>
            <w:noWrap/>
            <w:hideMark/>
          </w:tcPr>
          <w:p w14:paraId="31ACF27A" w14:textId="77777777" w:rsidR="00F621EE" w:rsidRPr="00BF007D" w:rsidRDefault="00F621EE" w:rsidP="00B57EDF">
            <w:pPr>
              <w:pStyle w:val="Tabelle-Text"/>
            </w:pPr>
            <w:r w:rsidRPr="00BF007D">
              <w:t>LABEL4</w:t>
            </w:r>
          </w:p>
        </w:tc>
        <w:tc>
          <w:tcPr>
            <w:tcW w:w="1276" w:type="dxa"/>
            <w:noWrap/>
            <w:hideMark/>
          </w:tcPr>
          <w:p w14:paraId="52DEF275" w14:textId="77777777" w:rsidR="00F621EE" w:rsidRPr="00197709" w:rsidRDefault="00F621EE" w:rsidP="00B57EDF">
            <w:pPr>
              <w:pStyle w:val="Tabelle-Text"/>
            </w:pPr>
            <w:r>
              <w:t>Out-of-home settings</w:t>
            </w:r>
          </w:p>
        </w:tc>
        <w:tc>
          <w:tcPr>
            <w:tcW w:w="850" w:type="dxa"/>
            <w:shd w:val="clear" w:color="auto" w:fill="800040"/>
            <w:noWrap/>
            <w:hideMark/>
          </w:tcPr>
          <w:p w14:paraId="4E085EED" w14:textId="77777777" w:rsidR="00F621EE" w:rsidRPr="00BF007D" w:rsidRDefault="00F621EE" w:rsidP="00B57EDF">
            <w:pPr>
              <w:pStyle w:val="Tabelle-Text"/>
            </w:pPr>
          </w:p>
        </w:tc>
        <w:tc>
          <w:tcPr>
            <w:tcW w:w="851" w:type="dxa"/>
            <w:noWrap/>
            <w:hideMark/>
          </w:tcPr>
          <w:p w14:paraId="322E7D92" w14:textId="77777777" w:rsidR="00F621EE" w:rsidRPr="002716DE" w:rsidRDefault="00F621EE" w:rsidP="00B57EDF">
            <w:pPr>
              <w:pStyle w:val="Tabelle-Text"/>
            </w:pPr>
          </w:p>
        </w:tc>
        <w:tc>
          <w:tcPr>
            <w:tcW w:w="851" w:type="dxa"/>
            <w:shd w:val="clear" w:color="auto" w:fill="F8B0CD" w:themeFill="background2" w:themeFillTint="66"/>
            <w:noWrap/>
            <w:hideMark/>
          </w:tcPr>
          <w:p w14:paraId="3C940ADA" w14:textId="77777777" w:rsidR="00F621EE" w:rsidRPr="00BF007D" w:rsidRDefault="00F621EE" w:rsidP="00B57EDF">
            <w:pPr>
              <w:pStyle w:val="Tabelle-Text"/>
            </w:pPr>
          </w:p>
        </w:tc>
        <w:tc>
          <w:tcPr>
            <w:tcW w:w="7512" w:type="dxa"/>
          </w:tcPr>
          <w:p w14:paraId="33A1EAEF" w14:textId="4F23C02F" w:rsidR="00F621EE" w:rsidRPr="00BF007D" w:rsidRDefault="00F621EE" w:rsidP="00B57EDF">
            <w:pPr>
              <w:pStyle w:val="Tabelle-Text"/>
            </w:pPr>
            <w:r>
              <w:t>E</w:t>
            </w:r>
            <w:r w:rsidRPr="001B2A74">
              <w:rPr>
                <w:shd w:val="clear" w:color="auto" w:fill="FFFFFF"/>
              </w:rPr>
              <w:t>U food labelling regulations also apply to the food service sector, including quick service restaurants (Chapter 1, Article 1(3) EU1169/2011). These regulations may be supplemented, as the principle of subsidiarity (Article 5(3) TEU) applies – requiring the EU to demonstrate a need for common rules. This is considered challenging in the context of quick service restaurants, which are locally governed. In Germany, regulation of the food service sector – including restaurant operation, licensing, inspections, and in some cases labelling – are a legislative competence of the federal states (Art. 74(1) No. 11 GG). Accordingly, the states hold supporting competence and may introduce local labelling requirements for quick service restaurants.</w:t>
            </w:r>
          </w:p>
        </w:tc>
      </w:tr>
      <w:tr w:rsidR="00F621EE" w:rsidRPr="00BF007D" w14:paraId="7B67AAC0" w14:textId="5F7CC138" w:rsidTr="0048409F">
        <w:trPr>
          <w:trHeight w:val="280"/>
        </w:trPr>
        <w:tc>
          <w:tcPr>
            <w:tcW w:w="223" w:type="dxa"/>
            <w:vMerge/>
            <w:noWrap/>
            <w:hideMark/>
          </w:tcPr>
          <w:p w14:paraId="0EA2AE0E" w14:textId="77777777" w:rsidR="00F621EE" w:rsidRPr="00E46DA3" w:rsidRDefault="00F621EE" w:rsidP="00B57EDF">
            <w:pPr>
              <w:pStyle w:val="Tabelle-Text"/>
            </w:pPr>
          </w:p>
        </w:tc>
        <w:tc>
          <w:tcPr>
            <w:tcW w:w="1191" w:type="dxa"/>
            <w:vMerge/>
            <w:noWrap/>
            <w:hideMark/>
          </w:tcPr>
          <w:p w14:paraId="11FC1346" w14:textId="77777777" w:rsidR="00F621EE" w:rsidRPr="00E46DA3" w:rsidRDefault="00F621EE" w:rsidP="00B57EDF">
            <w:pPr>
              <w:pStyle w:val="Tabelle-Text"/>
            </w:pPr>
          </w:p>
        </w:tc>
        <w:tc>
          <w:tcPr>
            <w:tcW w:w="854" w:type="dxa"/>
            <w:noWrap/>
            <w:hideMark/>
          </w:tcPr>
          <w:p w14:paraId="0E7C2326" w14:textId="77777777" w:rsidR="00F621EE" w:rsidRPr="00BF007D" w:rsidRDefault="00F621EE" w:rsidP="00B57EDF">
            <w:pPr>
              <w:pStyle w:val="Tabelle-Text"/>
            </w:pPr>
            <w:r w:rsidRPr="00BF007D">
              <w:t>LABEL5</w:t>
            </w:r>
          </w:p>
        </w:tc>
        <w:tc>
          <w:tcPr>
            <w:tcW w:w="1276" w:type="dxa"/>
            <w:noWrap/>
            <w:hideMark/>
          </w:tcPr>
          <w:p w14:paraId="4B5D1D8E" w14:textId="77777777" w:rsidR="00F621EE" w:rsidRPr="00197709" w:rsidRDefault="00F621EE" w:rsidP="00B57EDF">
            <w:pPr>
              <w:pStyle w:val="Tabelle-Text"/>
            </w:pPr>
            <w:r w:rsidRPr="00197709">
              <w:t>Ecological impact</w:t>
            </w:r>
          </w:p>
        </w:tc>
        <w:tc>
          <w:tcPr>
            <w:tcW w:w="850" w:type="dxa"/>
            <w:shd w:val="clear" w:color="auto" w:fill="800040"/>
            <w:noWrap/>
            <w:hideMark/>
          </w:tcPr>
          <w:p w14:paraId="4E43A5A1" w14:textId="77777777" w:rsidR="00F621EE" w:rsidRPr="00BF007D" w:rsidRDefault="00F621EE" w:rsidP="00B57EDF">
            <w:pPr>
              <w:pStyle w:val="Tabelle-Text"/>
            </w:pPr>
          </w:p>
        </w:tc>
        <w:tc>
          <w:tcPr>
            <w:tcW w:w="851" w:type="dxa"/>
            <w:shd w:val="clear" w:color="auto" w:fill="F8B0CD" w:themeFill="background2" w:themeFillTint="66"/>
            <w:noWrap/>
            <w:hideMark/>
          </w:tcPr>
          <w:p w14:paraId="1435F18D" w14:textId="77777777" w:rsidR="00F621EE" w:rsidRPr="00BF007D" w:rsidRDefault="00F621EE" w:rsidP="00B57EDF">
            <w:pPr>
              <w:pStyle w:val="Tabelle-Text"/>
            </w:pPr>
          </w:p>
        </w:tc>
        <w:tc>
          <w:tcPr>
            <w:tcW w:w="851" w:type="dxa"/>
            <w:noWrap/>
            <w:hideMark/>
          </w:tcPr>
          <w:p w14:paraId="74805C73" w14:textId="77777777" w:rsidR="00F621EE" w:rsidRPr="00BF007D" w:rsidRDefault="00F621EE" w:rsidP="00B57EDF">
            <w:pPr>
              <w:pStyle w:val="Tabelle-Text"/>
            </w:pPr>
          </w:p>
        </w:tc>
        <w:tc>
          <w:tcPr>
            <w:tcW w:w="7512" w:type="dxa"/>
          </w:tcPr>
          <w:p w14:paraId="500D7B1A" w14:textId="1DA1AC92" w:rsidR="00F621EE" w:rsidRPr="00BF007D" w:rsidRDefault="00F621EE" w:rsidP="00B57EDF">
            <w:pPr>
              <w:pStyle w:val="Tabelle-Text"/>
            </w:pPr>
            <w:r w:rsidRPr="001B2A74">
              <w:rPr>
                <w:shd w:val="clear" w:color="auto" w:fill="FFFFFF"/>
              </w:rPr>
              <w:t>See LABEL1; The European Commission proposed a Green Claims Directive to regulate the use of environmental claims on products. The legislative process is ongoing (</w:t>
            </w:r>
            <w:r>
              <w:rPr>
                <w:shd w:val="clear" w:color="auto" w:fill="FFFFFF"/>
              </w:rPr>
              <w:t>January</w:t>
            </w:r>
            <w:r w:rsidRPr="001B2A74">
              <w:rPr>
                <w:shd w:val="clear" w:color="auto" w:fill="FFFFFF"/>
              </w:rPr>
              <w:t xml:space="preserve"> 202</w:t>
            </w:r>
            <w:r>
              <w:rPr>
                <w:shd w:val="clear" w:color="auto" w:fill="FFFFFF"/>
              </w:rPr>
              <w:t>6</w:t>
            </w:r>
            <w:r w:rsidRPr="001B2A74">
              <w:rPr>
                <w:shd w:val="clear" w:color="auto" w:fill="FFFFFF"/>
              </w:rPr>
              <w:t>) and until the EU has finalized the legislative process, Member States may introduce regulations</w:t>
            </w:r>
            <w:r>
              <w:rPr>
                <w:shd w:val="clear" w:color="auto" w:fill="FFFFFF"/>
              </w:rPr>
              <w:t xml:space="preserve"> unilaterally. </w:t>
            </w:r>
          </w:p>
        </w:tc>
      </w:tr>
      <w:tr w:rsidR="00F621EE" w:rsidRPr="00BF007D" w14:paraId="1642C453" w14:textId="00E00D34" w:rsidTr="00E67C31">
        <w:trPr>
          <w:trHeight w:val="260"/>
        </w:trPr>
        <w:tc>
          <w:tcPr>
            <w:tcW w:w="223" w:type="dxa"/>
            <w:vMerge w:val="restart"/>
            <w:noWrap/>
            <w:hideMark/>
          </w:tcPr>
          <w:p w14:paraId="530E7512" w14:textId="77777777" w:rsidR="00F621EE" w:rsidRPr="00E46DA3" w:rsidRDefault="00F621EE" w:rsidP="00B57EDF">
            <w:pPr>
              <w:pStyle w:val="Tabelle-Text"/>
            </w:pPr>
            <w:r w:rsidRPr="00E46DA3">
              <w:t>3</w:t>
            </w:r>
          </w:p>
        </w:tc>
        <w:tc>
          <w:tcPr>
            <w:tcW w:w="1191" w:type="dxa"/>
            <w:vMerge w:val="restart"/>
            <w:noWrap/>
            <w:hideMark/>
          </w:tcPr>
          <w:p w14:paraId="6CAE0DFA" w14:textId="77777777" w:rsidR="00F621EE" w:rsidRPr="00E46DA3" w:rsidRDefault="00F621EE" w:rsidP="00B57EDF">
            <w:pPr>
              <w:pStyle w:val="Tabelle-Text"/>
            </w:pPr>
            <w:r w:rsidRPr="00E46DA3">
              <w:t>Food promotion</w:t>
            </w:r>
          </w:p>
          <w:p w14:paraId="6C5B12E0" w14:textId="77777777" w:rsidR="00F621EE" w:rsidRPr="00E46DA3" w:rsidRDefault="00F621EE" w:rsidP="00B57EDF">
            <w:pPr>
              <w:pStyle w:val="Tabelle-Text"/>
            </w:pPr>
          </w:p>
        </w:tc>
        <w:tc>
          <w:tcPr>
            <w:tcW w:w="854" w:type="dxa"/>
            <w:noWrap/>
            <w:hideMark/>
          </w:tcPr>
          <w:p w14:paraId="7CEFFA28" w14:textId="77777777" w:rsidR="00F621EE" w:rsidRPr="00BF007D" w:rsidRDefault="00F621EE" w:rsidP="00B57EDF">
            <w:pPr>
              <w:pStyle w:val="Tabelle-Text"/>
            </w:pPr>
            <w:r w:rsidRPr="00BF007D">
              <w:t>PROMO1</w:t>
            </w:r>
          </w:p>
        </w:tc>
        <w:tc>
          <w:tcPr>
            <w:tcW w:w="1276" w:type="dxa"/>
            <w:noWrap/>
            <w:hideMark/>
          </w:tcPr>
          <w:p w14:paraId="1D5CC832" w14:textId="77777777" w:rsidR="00F621EE" w:rsidRPr="00BF007D" w:rsidRDefault="00F621EE" w:rsidP="00B57EDF">
            <w:pPr>
              <w:pStyle w:val="Tabelle-Text"/>
            </w:pPr>
            <w:r w:rsidRPr="00BF007D">
              <w:t>Broadcast media</w:t>
            </w:r>
          </w:p>
        </w:tc>
        <w:tc>
          <w:tcPr>
            <w:tcW w:w="850" w:type="dxa"/>
            <w:shd w:val="clear" w:color="auto" w:fill="D6247C"/>
            <w:noWrap/>
            <w:hideMark/>
          </w:tcPr>
          <w:p w14:paraId="0B78DCCA" w14:textId="77777777" w:rsidR="00F621EE" w:rsidRPr="00BF007D" w:rsidRDefault="00F621EE" w:rsidP="00B57EDF">
            <w:pPr>
              <w:pStyle w:val="Tabelle-Text"/>
            </w:pPr>
          </w:p>
        </w:tc>
        <w:tc>
          <w:tcPr>
            <w:tcW w:w="851" w:type="dxa"/>
            <w:shd w:val="clear" w:color="auto" w:fill="D6247C"/>
            <w:noWrap/>
            <w:hideMark/>
          </w:tcPr>
          <w:p w14:paraId="36BAF4D2" w14:textId="77777777" w:rsidR="00F621EE" w:rsidRPr="00BF007D" w:rsidRDefault="00F621EE" w:rsidP="00B57EDF">
            <w:pPr>
              <w:pStyle w:val="Tabelle-Text"/>
            </w:pPr>
          </w:p>
        </w:tc>
        <w:tc>
          <w:tcPr>
            <w:tcW w:w="851" w:type="dxa"/>
            <w:shd w:val="clear" w:color="auto" w:fill="D6247C"/>
            <w:noWrap/>
            <w:hideMark/>
          </w:tcPr>
          <w:p w14:paraId="3D4EE20C" w14:textId="77777777" w:rsidR="00F621EE" w:rsidRPr="00BF007D" w:rsidRDefault="00F621EE" w:rsidP="00B57EDF">
            <w:pPr>
              <w:pStyle w:val="Tabelle-Text"/>
            </w:pPr>
          </w:p>
        </w:tc>
        <w:tc>
          <w:tcPr>
            <w:tcW w:w="7512" w:type="dxa"/>
            <w:vMerge w:val="restart"/>
          </w:tcPr>
          <w:p w14:paraId="371DBD38" w14:textId="77777777" w:rsidR="006714F5" w:rsidRPr="006714F5" w:rsidRDefault="006714F5" w:rsidP="00B57EDF">
            <w:pPr>
              <w:pStyle w:val="Tabelle-Text"/>
              <w:rPr>
                <w:shd w:val="clear" w:color="auto" w:fill="FFFFFF"/>
              </w:rPr>
            </w:pPr>
            <w:r w:rsidRPr="006714F5">
              <w:rPr>
                <w:shd w:val="clear" w:color="auto" w:fill="FFFFFF"/>
              </w:rPr>
              <w:t xml:space="preserve">Competence and legislative powers for food promotion differ depending on the focus of the regulation: </w:t>
            </w:r>
          </w:p>
          <w:p w14:paraId="29FD9778" w14:textId="6279E483" w:rsidR="006714F5" w:rsidRDefault="00F621EE" w:rsidP="00B57EDF">
            <w:pPr>
              <w:pStyle w:val="Tabelle-Text"/>
              <w:rPr>
                <w:shd w:val="clear" w:color="auto" w:fill="FFFFFF"/>
              </w:rPr>
            </w:pPr>
            <w:r w:rsidRPr="006714F5">
              <w:rPr>
                <w:shd w:val="clear" w:color="auto" w:fill="FFFFFF"/>
              </w:rPr>
              <w:t xml:space="preserve">Food advertising </w:t>
            </w:r>
            <w:r w:rsidR="006714F5" w:rsidRPr="006714F5">
              <w:rPr>
                <w:shd w:val="clear" w:color="auto" w:fill="FFFFFF"/>
              </w:rPr>
              <w:t>in general</w:t>
            </w:r>
            <w:r w:rsidRPr="006714F5">
              <w:rPr>
                <w:shd w:val="clear" w:color="auto" w:fill="FFFFFF"/>
              </w:rPr>
              <w:t xml:space="preserve"> is governed by the EU Food Information Regulation (EU1169/2011) and </w:t>
            </w:r>
            <w:r w:rsidR="006714F5">
              <w:rPr>
                <w:shd w:val="clear" w:color="auto" w:fill="FFFFFF"/>
              </w:rPr>
              <w:t>in</w:t>
            </w:r>
            <w:r w:rsidRPr="006714F5">
              <w:rPr>
                <w:shd w:val="clear" w:color="auto" w:fill="FFFFFF"/>
              </w:rPr>
              <w:t xml:space="preserve"> European directives for advertising infant and toddler food (EU609/2023) and advertising with health and nutrition claims (EU1924/2006)</w:t>
            </w:r>
            <w:r w:rsidR="006714F5">
              <w:rPr>
                <w:shd w:val="clear" w:color="auto" w:fill="FFFFFF"/>
              </w:rPr>
              <w:t xml:space="preserve">. </w:t>
            </w:r>
          </w:p>
          <w:p w14:paraId="1D9D7122" w14:textId="77777777" w:rsidR="006714F5" w:rsidRDefault="00F621EE" w:rsidP="00B57EDF">
            <w:pPr>
              <w:pStyle w:val="Tabelle-Text"/>
              <w:rPr>
                <w:highlight w:val="yellow"/>
                <w:shd w:val="clear" w:color="auto" w:fill="FFFFFF"/>
              </w:rPr>
            </w:pPr>
            <w:r w:rsidRPr="006714F5">
              <w:rPr>
                <w:shd w:val="clear" w:color="auto" w:fill="FFFFFF"/>
              </w:rPr>
              <w:t xml:space="preserve">In Germany, advertising is covered under economic and food law and is a concurrent legislative power of the federal government (Art. 74(1) No. 11, 20 GG) (for comparison see the Federal Tobacco Products Act). </w:t>
            </w:r>
          </w:p>
          <w:p w14:paraId="2E6731E6" w14:textId="3AF3E5E0" w:rsidR="00F621EE" w:rsidRPr="00EA4D30" w:rsidRDefault="006714F5" w:rsidP="00B57EDF">
            <w:pPr>
              <w:pStyle w:val="Tabelle-Text"/>
              <w:rPr>
                <w:highlight w:val="yellow"/>
              </w:rPr>
            </w:pPr>
            <w:r w:rsidRPr="006714F5">
              <w:rPr>
                <w:shd w:val="clear" w:color="auto" w:fill="FFFFFF"/>
              </w:rPr>
              <w:t>I</w:t>
            </w:r>
            <w:r w:rsidR="00F621EE" w:rsidRPr="006714F5">
              <w:rPr>
                <w:shd w:val="clear" w:color="auto" w:fill="FFFFFF"/>
              </w:rPr>
              <w:t>f regulations specifically target an advertising medium, and not food and drinks in general, the power shift</w:t>
            </w:r>
            <w:r>
              <w:rPr>
                <w:shd w:val="clear" w:color="auto" w:fill="FFFFFF"/>
              </w:rPr>
              <w:t>s</w:t>
            </w:r>
            <w:r w:rsidR="00F621EE" w:rsidRPr="006714F5">
              <w:rPr>
                <w:shd w:val="clear" w:color="auto" w:fill="FFFFFF"/>
              </w:rPr>
              <w:t xml:space="preserve"> to</w:t>
            </w:r>
            <w:r w:rsidRPr="006714F5">
              <w:rPr>
                <w:shd w:val="clear" w:color="auto" w:fill="FFFFFF"/>
              </w:rPr>
              <w:t xml:space="preserve">wards the </w:t>
            </w:r>
            <w:r w:rsidR="00F621EE" w:rsidRPr="006714F5">
              <w:rPr>
                <w:shd w:val="clear" w:color="auto" w:fill="FFFFFF"/>
              </w:rPr>
              <w:t xml:space="preserve">states. The more specific a medium is defined; the more likely states have legislative powers </w:t>
            </w:r>
            <w:r w:rsidR="00F621EE" w:rsidRPr="006714F5">
              <w:rPr>
                <w:shd w:val="clear" w:color="auto" w:fill="FFFFFF"/>
              </w:rPr>
              <w:fldChar w:fldCharType="begin"/>
            </w:r>
            <w:r w:rsidR="00216423">
              <w:rPr>
                <w:shd w:val="clear" w:color="auto" w:fill="FFFFFF"/>
              </w:rPr>
              <w:instrText xml:space="preserve"> ADDIN ZOTERO_ITEM CSL_CITATION {"citationID":"OomxqOzK","properties":{"formattedCitation":"[20]","plainCitation":"[20]","noteIndex":0},"citationItems":[{"id":67,"uris":["http://zotero.org/users/5617569/items/63U8RSCL"],"itemData":{"id":67,"type":"report","publisher":"Deutscher Bundestag","publisher-place":"Berlin","title":"Zuständigkeiten von Bund, Ländern und der EU im Medien und Telekommunikationsrecht","URL":"https://www.bundestag.de/resource/blob/414758/56625ce3f32429cedc2ca5def04f87a1/wd-10-029-07-pdf-data.pdf","author":[{"family":"Research Services of the Federal Parliament","given":""}],"accessed":{"date-parts":[["2023",11,27]]},"issued":{"date-parts":[["2007",3,30]]}}}],"schema":"https://github.com/citation-style-language/schema/raw/master/csl-citation.json"} </w:instrText>
            </w:r>
            <w:r w:rsidR="00F621EE" w:rsidRPr="006714F5">
              <w:rPr>
                <w:shd w:val="clear" w:color="auto" w:fill="FFFFFF"/>
              </w:rPr>
              <w:fldChar w:fldCharType="separate"/>
            </w:r>
            <w:r w:rsidR="00216423">
              <w:rPr>
                <w:shd w:val="clear" w:color="auto" w:fill="FFFFFF"/>
              </w:rPr>
              <w:t>[20]</w:t>
            </w:r>
            <w:r w:rsidR="00F621EE" w:rsidRPr="006714F5">
              <w:rPr>
                <w:shd w:val="clear" w:color="auto" w:fill="FFFFFF"/>
              </w:rPr>
              <w:fldChar w:fldCharType="end"/>
            </w:r>
            <w:r w:rsidR="00F621EE" w:rsidRPr="006714F5">
              <w:rPr>
                <w:shd w:val="clear" w:color="auto" w:fill="FFFFFF"/>
              </w:rPr>
              <w:t xml:space="preserve">. </w:t>
            </w:r>
            <w:r>
              <w:rPr>
                <w:shd w:val="clear" w:color="auto" w:fill="FFFFFF"/>
              </w:rPr>
              <w:t xml:space="preserve">As such, </w:t>
            </w:r>
            <w:r w:rsidRPr="006714F5">
              <w:rPr>
                <w:shd w:val="clear" w:color="auto" w:fill="FFFFFF"/>
              </w:rPr>
              <w:t>s</w:t>
            </w:r>
            <w:r w:rsidR="00F621EE" w:rsidRPr="006714F5">
              <w:rPr>
                <w:shd w:val="clear" w:color="auto" w:fill="FFFFFF"/>
              </w:rPr>
              <w:t xml:space="preserve">tates have the authority to regulate broadcast, and none broadcast media (PROMO1 and PROMO2), including the organization of services and program content (Art. 30(1), </w:t>
            </w:r>
            <w:r w:rsidR="00F621EE" w:rsidRPr="006714F5">
              <w:rPr>
                <w:shd w:val="clear" w:color="auto" w:fill="FFFFFF"/>
              </w:rPr>
              <w:lastRenderedPageBreak/>
              <w:t xml:space="preserve">GG) while the federal government’s power is limited to maintaining foreign relations (Art. 32; Art. 73(1), GG) and to technical infrastructure (Art. 73(1), No. 7, GG). </w:t>
            </w:r>
            <w:r w:rsidRPr="006714F5">
              <w:rPr>
                <w:shd w:val="clear" w:color="auto" w:fill="FFFFFF"/>
              </w:rPr>
              <w:t xml:space="preserve">While </w:t>
            </w:r>
            <w:r w:rsidR="00F621EE" w:rsidRPr="006714F5">
              <w:rPr>
                <w:shd w:val="clear" w:color="auto" w:fill="FFFFFF"/>
              </w:rPr>
              <w:t xml:space="preserve">EU </w:t>
            </w:r>
            <w:r w:rsidRPr="006714F5">
              <w:rPr>
                <w:shd w:val="clear" w:color="auto" w:fill="FFFFFF"/>
              </w:rPr>
              <w:t>competence for broadcast and none broadcast media</w:t>
            </w:r>
            <w:r w:rsidR="00F621EE" w:rsidRPr="006714F5">
              <w:rPr>
                <w:shd w:val="clear" w:color="auto" w:fill="FFFFFF"/>
              </w:rPr>
              <w:t xml:space="preserve"> is limited to internal market rules (incl. free movement of goods (Art. 28, 30, 34, 35, TFEU), free movement of persons, services and capital (Art. 45-62, TFEU)), competition policy (Art. 101-109, TFEU), and harmonization (Art. 11, TFEU). The states harmonized broadcast and non-broadcast media laws in the State Media Treaty (MStV) and the Interstate Treaty on the Protection of Minors in the Media (JMStV). Both include provisions on advertising (e.g., “advertising must not promote behaviours that endanger health or safety” (Paragraph 8(1) No. 4, MStV).  A legal assessment of the Scientific Services of the Federal Parliament concluded the closer the connection to media, the more likely the states assume legislative powers </w:t>
            </w:r>
            <w:r w:rsidR="00F621EE" w:rsidRPr="006714F5">
              <w:rPr>
                <w:shd w:val="clear" w:color="auto" w:fill="FFFFFF"/>
              </w:rPr>
              <w:fldChar w:fldCharType="begin"/>
            </w:r>
            <w:r w:rsidR="00216423">
              <w:rPr>
                <w:shd w:val="clear" w:color="auto" w:fill="FFFFFF"/>
              </w:rPr>
              <w:instrText xml:space="preserve"> ADDIN ZOTERO_ITEM CSL_CITATION {"citationID":"a1l9m2uu79u","properties":{"formattedCitation":"[21]","plainCitation":"[21]","noteIndex":0},"citationItems":[{"id":68,"uris":["http://zotero.org/users/5617569/items/3Q5BG4ZF"],"itemData":{"id":68,"type":"report","language":"de","number":"WD 3 - 3000 - 098/23","publisher":"Deutscher Bundestag","publisher-place":"Berlin","source":"Zotero","title":"Verbot für an Kinder gerichtete Lebensmittelwerbung - Verfassungsrechtlicher Rahmen","author":[{"family":"Research Services of the Federal Parliament","given":""}],"issued":{"date-parts":[["2023"]]}}}],"schema":"https://github.com/citation-style-language/schema/raw/master/csl-citation.json"} </w:instrText>
            </w:r>
            <w:r w:rsidR="00F621EE" w:rsidRPr="006714F5">
              <w:rPr>
                <w:shd w:val="clear" w:color="auto" w:fill="FFFFFF"/>
              </w:rPr>
              <w:fldChar w:fldCharType="separate"/>
            </w:r>
            <w:r w:rsidR="00216423">
              <w:t>[21]</w:t>
            </w:r>
            <w:r w:rsidR="00F621EE" w:rsidRPr="006714F5">
              <w:rPr>
                <w:shd w:val="clear" w:color="auto" w:fill="FFFFFF"/>
              </w:rPr>
              <w:fldChar w:fldCharType="end"/>
            </w:r>
            <w:r w:rsidR="00F621EE" w:rsidRPr="006714F5">
              <w:rPr>
                <w:shd w:val="clear" w:color="auto" w:fill="FFFFFF"/>
              </w:rPr>
              <w:t xml:space="preserve">.  </w:t>
            </w:r>
          </w:p>
        </w:tc>
      </w:tr>
      <w:tr w:rsidR="00F621EE" w:rsidRPr="00BF007D" w14:paraId="69277544" w14:textId="2BCD452A" w:rsidTr="00E67C31">
        <w:trPr>
          <w:trHeight w:val="260"/>
        </w:trPr>
        <w:tc>
          <w:tcPr>
            <w:tcW w:w="223" w:type="dxa"/>
            <w:vMerge/>
            <w:noWrap/>
            <w:hideMark/>
          </w:tcPr>
          <w:p w14:paraId="1A724F17" w14:textId="77777777" w:rsidR="00F621EE" w:rsidRPr="00E46DA3" w:rsidRDefault="00F621EE" w:rsidP="00B57EDF">
            <w:pPr>
              <w:pStyle w:val="Tabelle-Text"/>
            </w:pPr>
          </w:p>
        </w:tc>
        <w:tc>
          <w:tcPr>
            <w:tcW w:w="1191" w:type="dxa"/>
            <w:vMerge/>
            <w:noWrap/>
            <w:hideMark/>
          </w:tcPr>
          <w:p w14:paraId="2E50DBE8" w14:textId="77777777" w:rsidR="00F621EE" w:rsidRPr="00E46DA3" w:rsidRDefault="00F621EE" w:rsidP="00B57EDF">
            <w:pPr>
              <w:pStyle w:val="Tabelle-Text"/>
            </w:pPr>
          </w:p>
        </w:tc>
        <w:tc>
          <w:tcPr>
            <w:tcW w:w="854" w:type="dxa"/>
            <w:noWrap/>
            <w:hideMark/>
          </w:tcPr>
          <w:p w14:paraId="6F110FBF" w14:textId="77777777" w:rsidR="00F621EE" w:rsidRPr="00BF007D" w:rsidRDefault="00F621EE" w:rsidP="00B57EDF">
            <w:pPr>
              <w:pStyle w:val="Tabelle-Text"/>
            </w:pPr>
            <w:r w:rsidRPr="00BF007D">
              <w:t>PROMO2</w:t>
            </w:r>
          </w:p>
        </w:tc>
        <w:tc>
          <w:tcPr>
            <w:tcW w:w="1276" w:type="dxa"/>
            <w:noWrap/>
            <w:hideMark/>
          </w:tcPr>
          <w:p w14:paraId="7C9602A0" w14:textId="77777777" w:rsidR="00F621EE" w:rsidRPr="00BF007D" w:rsidRDefault="00F621EE" w:rsidP="00B57EDF">
            <w:pPr>
              <w:pStyle w:val="Tabelle-Text"/>
            </w:pPr>
            <w:r w:rsidRPr="00BF007D">
              <w:t>None broadcast media</w:t>
            </w:r>
          </w:p>
        </w:tc>
        <w:tc>
          <w:tcPr>
            <w:tcW w:w="850" w:type="dxa"/>
            <w:shd w:val="clear" w:color="auto" w:fill="D6247C"/>
            <w:noWrap/>
            <w:hideMark/>
          </w:tcPr>
          <w:p w14:paraId="21EFB813" w14:textId="77777777" w:rsidR="00F621EE" w:rsidRPr="00BF007D" w:rsidRDefault="00F621EE" w:rsidP="00B57EDF">
            <w:pPr>
              <w:pStyle w:val="Tabelle-Text"/>
            </w:pPr>
          </w:p>
        </w:tc>
        <w:tc>
          <w:tcPr>
            <w:tcW w:w="851" w:type="dxa"/>
            <w:shd w:val="clear" w:color="auto" w:fill="D6247C"/>
            <w:noWrap/>
            <w:hideMark/>
          </w:tcPr>
          <w:p w14:paraId="047585CD" w14:textId="77777777" w:rsidR="00F621EE" w:rsidRPr="00BF007D" w:rsidRDefault="00F621EE" w:rsidP="00B57EDF">
            <w:pPr>
              <w:pStyle w:val="Tabelle-Text"/>
            </w:pPr>
          </w:p>
        </w:tc>
        <w:tc>
          <w:tcPr>
            <w:tcW w:w="851" w:type="dxa"/>
            <w:shd w:val="clear" w:color="auto" w:fill="D6247C"/>
            <w:noWrap/>
            <w:hideMark/>
          </w:tcPr>
          <w:p w14:paraId="2B9AB53B" w14:textId="77777777" w:rsidR="00F621EE" w:rsidRPr="00BF007D" w:rsidRDefault="00F621EE" w:rsidP="00B57EDF">
            <w:pPr>
              <w:pStyle w:val="Tabelle-Text"/>
            </w:pPr>
          </w:p>
        </w:tc>
        <w:tc>
          <w:tcPr>
            <w:tcW w:w="7512" w:type="dxa"/>
            <w:vMerge/>
          </w:tcPr>
          <w:p w14:paraId="7CE31DD1" w14:textId="77777777" w:rsidR="00F621EE" w:rsidRPr="00BF007D" w:rsidRDefault="00F621EE" w:rsidP="00B57EDF">
            <w:pPr>
              <w:pStyle w:val="Tabelle-Text"/>
            </w:pPr>
          </w:p>
        </w:tc>
      </w:tr>
      <w:tr w:rsidR="00F621EE" w:rsidRPr="00BF007D" w14:paraId="5B217A3B" w14:textId="6BB376ED" w:rsidTr="00E67C31">
        <w:trPr>
          <w:trHeight w:val="260"/>
        </w:trPr>
        <w:tc>
          <w:tcPr>
            <w:tcW w:w="223" w:type="dxa"/>
            <w:vMerge/>
            <w:noWrap/>
            <w:hideMark/>
          </w:tcPr>
          <w:p w14:paraId="29CAB3EE" w14:textId="77777777" w:rsidR="00F621EE" w:rsidRPr="00E46DA3" w:rsidRDefault="00F621EE" w:rsidP="00B57EDF">
            <w:pPr>
              <w:pStyle w:val="Tabelle-Text"/>
            </w:pPr>
          </w:p>
        </w:tc>
        <w:tc>
          <w:tcPr>
            <w:tcW w:w="1191" w:type="dxa"/>
            <w:vMerge/>
            <w:noWrap/>
            <w:hideMark/>
          </w:tcPr>
          <w:p w14:paraId="60657F76" w14:textId="77777777" w:rsidR="00F621EE" w:rsidRPr="00E46DA3" w:rsidRDefault="00F621EE" w:rsidP="00B57EDF">
            <w:pPr>
              <w:pStyle w:val="Tabelle-Text"/>
            </w:pPr>
          </w:p>
        </w:tc>
        <w:tc>
          <w:tcPr>
            <w:tcW w:w="854" w:type="dxa"/>
            <w:noWrap/>
            <w:hideMark/>
          </w:tcPr>
          <w:p w14:paraId="30D7AF14" w14:textId="77777777" w:rsidR="00F621EE" w:rsidRPr="00BF007D" w:rsidRDefault="00F621EE" w:rsidP="00B57EDF">
            <w:pPr>
              <w:pStyle w:val="Tabelle-Text"/>
            </w:pPr>
            <w:r w:rsidRPr="00BF007D">
              <w:t>PROMO3</w:t>
            </w:r>
          </w:p>
        </w:tc>
        <w:tc>
          <w:tcPr>
            <w:tcW w:w="1276" w:type="dxa"/>
            <w:noWrap/>
            <w:hideMark/>
          </w:tcPr>
          <w:p w14:paraId="5D646A9B" w14:textId="77777777" w:rsidR="00F621EE" w:rsidRPr="00BF007D" w:rsidRDefault="00F621EE" w:rsidP="00B57EDF">
            <w:pPr>
              <w:pStyle w:val="Tabelle-Text"/>
            </w:pPr>
            <w:r w:rsidRPr="00BF007D">
              <w:t>Settings where children gather</w:t>
            </w:r>
          </w:p>
        </w:tc>
        <w:tc>
          <w:tcPr>
            <w:tcW w:w="850" w:type="dxa"/>
            <w:shd w:val="clear" w:color="auto" w:fill="D6247C"/>
            <w:noWrap/>
            <w:hideMark/>
          </w:tcPr>
          <w:p w14:paraId="705A9C10" w14:textId="77777777" w:rsidR="00F621EE" w:rsidRPr="00BF007D" w:rsidRDefault="00F621EE" w:rsidP="00B57EDF">
            <w:pPr>
              <w:pStyle w:val="Tabelle-Text"/>
            </w:pPr>
          </w:p>
        </w:tc>
        <w:tc>
          <w:tcPr>
            <w:tcW w:w="851" w:type="dxa"/>
            <w:shd w:val="clear" w:color="auto" w:fill="D6247C"/>
            <w:noWrap/>
            <w:hideMark/>
          </w:tcPr>
          <w:p w14:paraId="5F221742" w14:textId="77777777" w:rsidR="00F621EE" w:rsidRPr="00BF007D" w:rsidRDefault="00F621EE" w:rsidP="00B57EDF">
            <w:pPr>
              <w:pStyle w:val="Tabelle-Text"/>
            </w:pPr>
          </w:p>
        </w:tc>
        <w:tc>
          <w:tcPr>
            <w:tcW w:w="851" w:type="dxa"/>
            <w:shd w:val="clear" w:color="auto" w:fill="D6247C"/>
            <w:noWrap/>
            <w:hideMark/>
          </w:tcPr>
          <w:p w14:paraId="39E32C26" w14:textId="77777777" w:rsidR="00F621EE" w:rsidRPr="00BF007D" w:rsidRDefault="00F621EE" w:rsidP="00B57EDF">
            <w:pPr>
              <w:pStyle w:val="Tabelle-Text"/>
            </w:pPr>
          </w:p>
        </w:tc>
        <w:tc>
          <w:tcPr>
            <w:tcW w:w="7512" w:type="dxa"/>
          </w:tcPr>
          <w:p w14:paraId="5EE65064" w14:textId="46465CBA" w:rsidR="00F621EE" w:rsidRPr="009663ED" w:rsidRDefault="00EA4D30" w:rsidP="00B57EDF">
            <w:pPr>
              <w:pStyle w:val="Tabelle-Text"/>
              <w:rPr>
                <w:highlight w:val="yellow"/>
              </w:rPr>
            </w:pPr>
            <w:r w:rsidRPr="006714F5">
              <w:t xml:space="preserve">School and early childhood education are a primary legislative power of the states </w:t>
            </w:r>
            <w:r w:rsidRPr="006714F5">
              <w:fldChar w:fldCharType="begin"/>
            </w:r>
            <w:r w:rsidR="00216423">
              <w:instrText xml:space="preserve"> ADDIN ZOTERO_ITEM CSL_CITATION {"citationID":"1iieG7G1","properties":{"formattedCitation":"[22]","plainCitation":"[22]","noteIndex":0},"citationItems":[{"id":"49T2H3Bx/brfSeR4n","uris":["http://zotero.org/users/5617569/items/DDDP96FZ"],"itemData":{"id":4192,"type":"webpage","abstract":"Alle Menschen sollen eine inklusive und hochwertige Bildung erhalten. Darauf hat sich die Staatengemeinschaft in der Agenda 2030 verpflichtet.","container-title":"Die Bundesregierung informiert | Startseite","language":"de","title":"Hochwertige Bildung weltweit | Bundesregierung","URL":"https://www.bundesregierung.de/breg-de/schwerpunkte-der-bundesregierung/nachhaltigkeitspolitik/bildung-weltweit-1004538","author":[{"family":"Federal Government of Germany","given":""}],"accessed":{"date-parts":[["2024",11,15]]},"issued":{"date-parts":[["2023",8,15]]}}}],"schema":"https://github.com/citation-style-language/schema/raw/master/csl-citation.json"} </w:instrText>
            </w:r>
            <w:r w:rsidRPr="006714F5">
              <w:fldChar w:fldCharType="separate"/>
            </w:r>
            <w:r w:rsidR="00216423">
              <w:rPr>
                <w:noProof/>
              </w:rPr>
              <w:t>[22]</w:t>
            </w:r>
            <w:r w:rsidRPr="006714F5">
              <w:fldChar w:fldCharType="end"/>
            </w:r>
            <w:r w:rsidRPr="006714F5">
              <w:t>; thus, s</w:t>
            </w:r>
            <w:r w:rsidRPr="006714F5">
              <w:rPr>
                <w:shd w:val="clear" w:color="auto" w:fill="FFFFFF"/>
              </w:rPr>
              <w:t xml:space="preserve">tates have the power to regulate food promotion and sponsorship in settings where children gather. States already regulate advertising in their school laws (e.g., School Act of the State of Brandenburg (BbgSchulG)). </w:t>
            </w:r>
            <w:r w:rsidR="006714F5" w:rsidRPr="006714F5">
              <w:rPr>
                <w:shd w:val="clear" w:color="auto" w:fill="FFFFFF"/>
              </w:rPr>
              <w:t>A</w:t>
            </w:r>
            <w:r w:rsidRPr="006714F5">
              <w:rPr>
                <w:shd w:val="clear" w:color="auto" w:fill="FFFFFF"/>
              </w:rPr>
              <w:t xml:space="preserve">s general rules on food advertising </w:t>
            </w:r>
            <w:r w:rsidR="006714F5" w:rsidRPr="006714F5">
              <w:rPr>
                <w:shd w:val="clear" w:color="auto" w:fill="FFFFFF"/>
              </w:rPr>
              <w:t xml:space="preserve">set out in EU directives </w:t>
            </w:r>
            <w:r w:rsidR="006714F5">
              <w:rPr>
                <w:shd w:val="clear" w:color="auto" w:fill="FFFFFF"/>
              </w:rPr>
              <w:t>and</w:t>
            </w:r>
            <w:r w:rsidR="006714F5" w:rsidRPr="006714F5">
              <w:rPr>
                <w:shd w:val="clear" w:color="auto" w:fill="FFFFFF"/>
              </w:rPr>
              <w:t xml:space="preserve"> federal food and economic laws </w:t>
            </w:r>
            <w:r w:rsidRPr="006714F5">
              <w:rPr>
                <w:shd w:val="clear" w:color="auto" w:fill="FFFFFF"/>
              </w:rPr>
              <w:t>also apply to settings where children gather</w:t>
            </w:r>
            <w:r w:rsidR="006714F5" w:rsidRPr="006714F5">
              <w:rPr>
                <w:shd w:val="clear" w:color="auto" w:fill="FFFFFF"/>
              </w:rPr>
              <w:t xml:space="preserve">, the EU and the federal government have a shared power </w:t>
            </w:r>
            <w:r w:rsidRPr="006714F5">
              <w:rPr>
                <w:shd w:val="clear" w:color="auto" w:fill="FFFFFF"/>
              </w:rPr>
              <w:t xml:space="preserve">(See PROMO1 and PROMO2).  </w:t>
            </w:r>
          </w:p>
        </w:tc>
      </w:tr>
      <w:tr w:rsidR="00F621EE" w:rsidRPr="00BF007D" w14:paraId="299D74C1" w14:textId="5400B876" w:rsidTr="00E67C31">
        <w:trPr>
          <w:trHeight w:val="260"/>
        </w:trPr>
        <w:tc>
          <w:tcPr>
            <w:tcW w:w="223" w:type="dxa"/>
            <w:vMerge/>
            <w:noWrap/>
            <w:hideMark/>
          </w:tcPr>
          <w:p w14:paraId="2E5B0DC4" w14:textId="77777777" w:rsidR="00F621EE" w:rsidRPr="00E46DA3" w:rsidRDefault="00F621EE" w:rsidP="00B57EDF">
            <w:pPr>
              <w:pStyle w:val="Tabelle-Text"/>
            </w:pPr>
          </w:p>
        </w:tc>
        <w:tc>
          <w:tcPr>
            <w:tcW w:w="1191" w:type="dxa"/>
            <w:vMerge/>
            <w:noWrap/>
            <w:hideMark/>
          </w:tcPr>
          <w:p w14:paraId="762BD3FE" w14:textId="77777777" w:rsidR="00F621EE" w:rsidRPr="00E46DA3" w:rsidRDefault="00F621EE" w:rsidP="00B57EDF">
            <w:pPr>
              <w:pStyle w:val="Tabelle-Text"/>
            </w:pPr>
          </w:p>
        </w:tc>
        <w:tc>
          <w:tcPr>
            <w:tcW w:w="854" w:type="dxa"/>
            <w:noWrap/>
            <w:hideMark/>
          </w:tcPr>
          <w:p w14:paraId="0A70B588" w14:textId="77777777" w:rsidR="00F621EE" w:rsidRPr="00BF007D" w:rsidRDefault="00F621EE" w:rsidP="00B57EDF">
            <w:pPr>
              <w:pStyle w:val="Tabelle-Text"/>
            </w:pPr>
            <w:r w:rsidRPr="00BF007D">
              <w:t>PROMO4</w:t>
            </w:r>
          </w:p>
        </w:tc>
        <w:tc>
          <w:tcPr>
            <w:tcW w:w="1276" w:type="dxa"/>
            <w:noWrap/>
            <w:hideMark/>
          </w:tcPr>
          <w:p w14:paraId="20F0D86F" w14:textId="77777777" w:rsidR="00F621EE" w:rsidRPr="00BF007D" w:rsidRDefault="00F621EE" w:rsidP="00B57EDF">
            <w:pPr>
              <w:pStyle w:val="Tabelle-Text"/>
            </w:pPr>
            <w:r>
              <w:t>(</w:t>
            </w:r>
            <w:r w:rsidRPr="00BF007D">
              <w:t>Public</w:t>
            </w:r>
            <w:r>
              <w:t>)</w:t>
            </w:r>
            <w:r w:rsidRPr="00BF007D">
              <w:t xml:space="preserve"> infrastructure</w:t>
            </w:r>
            <w:r>
              <w:t xml:space="preserve"> and spaces</w:t>
            </w:r>
          </w:p>
        </w:tc>
        <w:tc>
          <w:tcPr>
            <w:tcW w:w="850" w:type="dxa"/>
            <w:shd w:val="clear" w:color="auto" w:fill="D6247C"/>
            <w:noWrap/>
          </w:tcPr>
          <w:p w14:paraId="52ABCC60" w14:textId="77777777" w:rsidR="00F621EE" w:rsidRPr="00BF007D" w:rsidRDefault="00F621EE" w:rsidP="00B57EDF">
            <w:pPr>
              <w:pStyle w:val="Tabelle-Text"/>
            </w:pPr>
          </w:p>
        </w:tc>
        <w:tc>
          <w:tcPr>
            <w:tcW w:w="851" w:type="dxa"/>
            <w:shd w:val="clear" w:color="auto" w:fill="D6247C"/>
            <w:noWrap/>
            <w:hideMark/>
          </w:tcPr>
          <w:p w14:paraId="23CC659B" w14:textId="77777777" w:rsidR="00F621EE" w:rsidRPr="00BF007D" w:rsidRDefault="00F621EE" w:rsidP="00B57EDF">
            <w:pPr>
              <w:pStyle w:val="Tabelle-Text"/>
            </w:pPr>
          </w:p>
        </w:tc>
        <w:tc>
          <w:tcPr>
            <w:tcW w:w="851" w:type="dxa"/>
            <w:shd w:val="clear" w:color="auto" w:fill="D6247C"/>
            <w:noWrap/>
            <w:hideMark/>
          </w:tcPr>
          <w:p w14:paraId="73629FE8" w14:textId="77777777" w:rsidR="00F621EE" w:rsidRPr="00BF007D" w:rsidRDefault="00F621EE" w:rsidP="00B57EDF">
            <w:pPr>
              <w:pStyle w:val="Tabelle-Text"/>
            </w:pPr>
          </w:p>
        </w:tc>
        <w:tc>
          <w:tcPr>
            <w:tcW w:w="7512" w:type="dxa"/>
          </w:tcPr>
          <w:p w14:paraId="077694C3" w14:textId="4C4725EB" w:rsidR="00EA4D30" w:rsidRPr="006714F5" w:rsidRDefault="006714F5" w:rsidP="00EA4D30">
            <w:pPr>
              <w:pStyle w:val="Tabelle-Text"/>
              <w:rPr>
                <w:shd w:val="clear" w:color="auto" w:fill="FFFFFF"/>
              </w:rPr>
            </w:pPr>
            <w:r w:rsidRPr="006714F5">
              <w:rPr>
                <w:shd w:val="clear" w:color="auto" w:fill="FFFFFF"/>
              </w:rPr>
              <w:t xml:space="preserve">General EU rules on food advertising also apply to promotions on infrastructure and in public spaces. </w:t>
            </w:r>
            <w:r>
              <w:rPr>
                <w:shd w:val="clear" w:color="auto" w:fill="FFFFFF"/>
              </w:rPr>
              <w:t>F</w:t>
            </w:r>
            <w:r w:rsidR="00EA4D30" w:rsidRPr="006714F5">
              <w:rPr>
                <w:shd w:val="clear" w:color="auto" w:fill="FFFFFF"/>
              </w:rPr>
              <w:t xml:space="preserve">ood promotion on (public) infrastructure falls under the concurrent legislative power of the federal government – specifically under economic, food and public welfare law (Art. 74(1), No. 11, 20, 7, GG). The Federal Tobacco Products Act, for example, restricts outdoor advertising </w:t>
            </w:r>
            <w:r w:rsidRPr="006714F5">
              <w:rPr>
                <w:shd w:val="clear" w:color="auto" w:fill="FFFFFF"/>
              </w:rPr>
              <w:t xml:space="preserve">of tobacco products </w:t>
            </w:r>
            <w:r w:rsidR="00EA4D30" w:rsidRPr="006714F5">
              <w:rPr>
                <w:shd w:val="clear" w:color="auto" w:fill="FFFFFF"/>
              </w:rPr>
              <w:t xml:space="preserve">(Paragraph 20a, TabakerzG) </w:t>
            </w:r>
            <w:r w:rsidR="00EA4D30" w:rsidRPr="006714F5">
              <w:fldChar w:fldCharType="begin"/>
            </w:r>
            <w:r w:rsidR="00216423">
              <w:instrText xml:space="preserve"> ADDIN ZOTERO_ITEM CSL_CITATION {"citationID":"MNEszviP","properties":{"formattedCitation":"[23]","plainCitation":"[23]","noteIndex":0},"citationItems":[{"id":238,"uris":["http://zotero.org/users/5617569/items/KB3QHGU8"],"itemData":{"id":238,"type":"report","abstract":"Beauftragt durch den Zentralverband der Werbewirtschaft – ZAW","genre":"Rechtsgutachten","publisher":"Universität Leipzig","title":"Verfassungsfragen marktbezogener Kommunikation: Werbeverbote für Tabakprodukte","URL":"https://www.bmel.de/SharedDocs/Downloads/DE/Glaeserne-Gesetze/Stellungnahmen/2-gesetz-aenderung-tabakerzeugnisgesetz_FAW-RG-Degenhart.pdf?__blob=publicationFile&amp;v=3","author":[{"family":"Degenhart","given":"Prof. Dr. Christoph"}],"accessed":{"date-parts":[["2023",11,27]]},"issued":{"date-parts":[["2015"]]}}}],"schema":"https://github.com/citation-style-language/schema/raw/master/csl-citation.json"} </w:instrText>
            </w:r>
            <w:r w:rsidR="00EA4D30" w:rsidRPr="006714F5">
              <w:fldChar w:fldCharType="separate"/>
            </w:r>
            <w:r w:rsidR="00216423">
              <w:t>[23]</w:t>
            </w:r>
            <w:r w:rsidR="00EA4D30" w:rsidRPr="006714F5">
              <w:fldChar w:fldCharType="end"/>
            </w:r>
            <w:r w:rsidR="00EA4D30" w:rsidRPr="006714F5">
              <w:rPr>
                <w:shd w:val="clear" w:color="auto" w:fill="FFFFFF"/>
              </w:rPr>
              <w:t xml:space="preserve">. It is controversial whether similar arguments would justify federal regulations on food promotions in public spaces – i.e., arguments to safeguard legal and economic unity. (Art. 72(1) GG) or to protect public health (Art. 74(1) No. 19, GG). </w:t>
            </w:r>
          </w:p>
          <w:p w14:paraId="6B35A4A0" w14:textId="4944D29F" w:rsidR="00EA4D30" w:rsidRPr="006714F5" w:rsidRDefault="00EA4D30" w:rsidP="00EA4D30">
            <w:pPr>
              <w:pStyle w:val="Tabelle-Text"/>
              <w:rPr>
                <w:shd w:val="clear" w:color="auto" w:fill="FFFFFF"/>
              </w:rPr>
            </w:pPr>
            <w:r w:rsidRPr="006714F5">
              <w:rPr>
                <w:shd w:val="clear" w:color="auto" w:fill="FFFFFF"/>
              </w:rPr>
              <w:t xml:space="preserve">Independent of product type, advertising on infrastructure is currently regulated in the state building codes (e.g., Paragraph 13, HBauO) and both states and municipalities may, within the framework of their contractual freedom, establish their own rules for public infrastructure - in both fixed and moveable forms (e.g., </w:t>
            </w:r>
            <w:r w:rsidRPr="006714F5">
              <w:rPr>
                <w:shd w:val="clear" w:color="auto" w:fill="FFFFFF"/>
              </w:rPr>
              <w:lastRenderedPageBreak/>
              <w:t xml:space="preserve">public transport). For example, the district Berlin Friedrichshain-Kreuzberg adopted a resolution against “discriminatory, misogynistic, and sexist outdoor advertising” on public infrastructure </w:t>
            </w:r>
            <w:r w:rsidRPr="006714F5">
              <w:rPr>
                <w:shd w:val="clear" w:color="auto" w:fill="FFFFFF"/>
              </w:rPr>
              <w:fldChar w:fldCharType="begin"/>
            </w:r>
            <w:r w:rsidR="00216423">
              <w:rPr>
                <w:shd w:val="clear" w:color="auto" w:fill="FFFFFF"/>
              </w:rPr>
              <w:instrText xml:space="preserve"> ADDIN ZOTERO_ITEM CSL_CITATION {"citationID":"uGKXYH5Y","properties":{"formattedCitation":"[DS 1013-01/IV, (24)]","plainCitation":"[DS 1013-01/IV, (24)]","noteIndex":0},"citationItems":[{"id":97,"uris":["http://zotero.org/users/5617569/items/QJLW4NY8"],"itemData":{"id":97,"type":"legislation","number":"Drucksache DS 1013-01/IV","title":"Initiative against misogynistic, sexist, and discriminatory advertising","author":[{"family":"Friedrichshain-Kreuzberg District Administration (Berlin)","given":""}],"issued":{"date-parts":[["2014",2,26]]}},"label":"page","prefix":"DS 1013-01/IV, (","suffix":")"}],"schema":"https://github.com/citation-style-language/schema/raw/master/csl-citation.json"} </w:instrText>
            </w:r>
            <w:r w:rsidRPr="006714F5">
              <w:rPr>
                <w:shd w:val="clear" w:color="auto" w:fill="FFFFFF"/>
              </w:rPr>
              <w:fldChar w:fldCharType="separate"/>
            </w:r>
            <w:r w:rsidR="00216423">
              <w:t>[DS 1013-01/IV, (24)]</w:t>
            </w:r>
            <w:r w:rsidRPr="006714F5">
              <w:rPr>
                <w:shd w:val="clear" w:color="auto" w:fill="FFFFFF"/>
              </w:rPr>
              <w:fldChar w:fldCharType="end"/>
            </w:r>
            <w:r w:rsidRPr="006714F5">
              <w:t>.</w:t>
            </w:r>
          </w:p>
          <w:p w14:paraId="3AB16EA5" w14:textId="4EF2B2D3" w:rsidR="00F621EE" w:rsidRPr="006714F5" w:rsidRDefault="00EA4D30" w:rsidP="00EA4D30">
            <w:pPr>
              <w:pStyle w:val="Tabelle-Text"/>
              <w:rPr>
                <w:highlight w:val="yellow"/>
                <w:shd w:val="clear" w:color="auto" w:fill="FFFFFF"/>
              </w:rPr>
            </w:pPr>
            <w:r w:rsidRPr="006714F5">
              <w:rPr>
                <w:shd w:val="clear" w:color="auto" w:fill="FFFFFF"/>
              </w:rPr>
              <w:t xml:space="preserve">Experts therefore assume </w:t>
            </w:r>
            <w:r w:rsidR="006714F5" w:rsidRPr="006714F5">
              <w:rPr>
                <w:shd w:val="clear" w:color="auto" w:fill="FFFFFF"/>
              </w:rPr>
              <w:t>that</w:t>
            </w:r>
            <w:r w:rsidRPr="006714F5">
              <w:rPr>
                <w:shd w:val="clear" w:color="auto" w:fill="FFFFFF"/>
              </w:rPr>
              <w:t xml:space="preserve"> states </w:t>
            </w:r>
            <w:r w:rsidR="006714F5" w:rsidRPr="006714F5">
              <w:rPr>
                <w:shd w:val="clear" w:color="auto" w:fill="FFFFFF"/>
              </w:rPr>
              <w:t>can introduce specific rules of food promotions on (public) infrastructure, while the EU and the federal government may introduce general rules on food advertising</w:t>
            </w:r>
            <w:r w:rsidR="006714F5">
              <w:rPr>
                <w:shd w:val="clear" w:color="auto" w:fill="FFFFFF"/>
              </w:rPr>
              <w:t>.</w:t>
            </w:r>
          </w:p>
        </w:tc>
      </w:tr>
      <w:tr w:rsidR="00F621EE" w:rsidRPr="00BF007D" w14:paraId="22E0DCE0" w14:textId="2EB30BA7" w:rsidTr="0048409F">
        <w:trPr>
          <w:trHeight w:val="280"/>
        </w:trPr>
        <w:tc>
          <w:tcPr>
            <w:tcW w:w="223" w:type="dxa"/>
            <w:vMerge/>
            <w:noWrap/>
            <w:hideMark/>
          </w:tcPr>
          <w:p w14:paraId="1894D221" w14:textId="77777777" w:rsidR="00F621EE" w:rsidRPr="00E46DA3" w:rsidRDefault="00F621EE" w:rsidP="00B57EDF">
            <w:pPr>
              <w:pStyle w:val="Tabelle-Text"/>
            </w:pPr>
          </w:p>
        </w:tc>
        <w:tc>
          <w:tcPr>
            <w:tcW w:w="1191" w:type="dxa"/>
            <w:vMerge/>
            <w:noWrap/>
            <w:hideMark/>
          </w:tcPr>
          <w:p w14:paraId="204DF071" w14:textId="77777777" w:rsidR="00F621EE" w:rsidRPr="00E46DA3" w:rsidRDefault="00F621EE" w:rsidP="00B57EDF">
            <w:pPr>
              <w:pStyle w:val="Tabelle-Text"/>
            </w:pPr>
          </w:p>
        </w:tc>
        <w:tc>
          <w:tcPr>
            <w:tcW w:w="854" w:type="dxa"/>
            <w:noWrap/>
            <w:hideMark/>
          </w:tcPr>
          <w:p w14:paraId="690DD838" w14:textId="77777777" w:rsidR="00F621EE" w:rsidRPr="00BF007D" w:rsidRDefault="00F621EE" w:rsidP="00B57EDF">
            <w:pPr>
              <w:pStyle w:val="Tabelle-Text"/>
            </w:pPr>
            <w:r w:rsidRPr="00BF007D">
              <w:t>PROMO5</w:t>
            </w:r>
          </w:p>
        </w:tc>
        <w:tc>
          <w:tcPr>
            <w:tcW w:w="1276" w:type="dxa"/>
            <w:noWrap/>
            <w:hideMark/>
          </w:tcPr>
          <w:p w14:paraId="532CCCE3" w14:textId="77777777" w:rsidR="00F621EE" w:rsidRPr="00BF007D" w:rsidRDefault="00F621EE" w:rsidP="00B57EDF">
            <w:pPr>
              <w:pStyle w:val="Tabelle-Text"/>
            </w:pPr>
            <w:r w:rsidRPr="00BF007D">
              <w:t>Product and packaging</w:t>
            </w:r>
          </w:p>
        </w:tc>
        <w:tc>
          <w:tcPr>
            <w:tcW w:w="850" w:type="dxa"/>
            <w:shd w:val="clear" w:color="auto" w:fill="800040"/>
            <w:noWrap/>
            <w:hideMark/>
          </w:tcPr>
          <w:p w14:paraId="78BCF38F" w14:textId="77777777" w:rsidR="00F621EE" w:rsidRPr="00BF007D" w:rsidRDefault="00F621EE" w:rsidP="00B57EDF">
            <w:pPr>
              <w:pStyle w:val="Tabelle-Text"/>
            </w:pPr>
          </w:p>
        </w:tc>
        <w:tc>
          <w:tcPr>
            <w:tcW w:w="851" w:type="dxa"/>
            <w:shd w:val="clear" w:color="auto" w:fill="F8B0CD" w:themeFill="background2" w:themeFillTint="66"/>
            <w:noWrap/>
            <w:hideMark/>
          </w:tcPr>
          <w:p w14:paraId="03D89FA7" w14:textId="77777777" w:rsidR="00F621EE" w:rsidRPr="00BF007D" w:rsidRDefault="00F621EE" w:rsidP="00B57EDF">
            <w:pPr>
              <w:pStyle w:val="Tabelle-Text"/>
            </w:pPr>
          </w:p>
        </w:tc>
        <w:tc>
          <w:tcPr>
            <w:tcW w:w="851" w:type="dxa"/>
            <w:noWrap/>
            <w:hideMark/>
          </w:tcPr>
          <w:p w14:paraId="28716FF5" w14:textId="77777777" w:rsidR="00F621EE" w:rsidRPr="00BF007D" w:rsidRDefault="00F621EE" w:rsidP="00B57EDF">
            <w:pPr>
              <w:pStyle w:val="Tabelle-Text"/>
            </w:pPr>
          </w:p>
        </w:tc>
        <w:tc>
          <w:tcPr>
            <w:tcW w:w="7512" w:type="dxa"/>
          </w:tcPr>
          <w:p w14:paraId="25D2CCDA" w14:textId="3ED1497F" w:rsidR="00F621EE" w:rsidRPr="006714F5" w:rsidRDefault="00EA4D30" w:rsidP="00B57EDF">
            <w:pPr>
              <w:pStyle w:val="Tabelle-Text"/>
            </w:pPr>
            <w:r w:rsidRPr="006714F5">
              <w:rPr>
                <w:shd w:val="clear" w:color="auto" w:fill="FFFFFF"/>
              </w:rPr>
              <w:t xml:space="preserve">Food product and packaging fall under the EU’s shared competence (see LABEL1), with regulations largely harmonized – e.g., Food Information (EU1169/2011) and Health Claims Regulation (EU1924/2006)). However, </w:t>
            </w:r>
            <w:r w:rsidRPr="006714F5">
              <w:t xml:space="preserve">the question arises whether EU regulations on promotional food packaging are exhaustive or may be supplemented. In </w:t>
            </w:r>
            <w:r w:rsidRPr="006714F5">
              <w:rPr>
                <w:shd w:val="clear" w:color="auto" w:fill="FFFFFF"/>
              </w:rPr>
              <w:t xml:space="preserve">tobacco control, EU legislation mandates that 65 percent of cigarette packaging display health warnings (Art. 10(1) c Directive 2014/40). </w:t>
            </w:r>
            <w:r w:rsidRPr="006714F5">
              <w:t xml:space="preserve">Ireland’s Public Health (Alcohol) Act 2018 requires health warnings on alcohol products beginning in 2026 (Part 2, Subsection 12). </w:t>
            </w:r>
            <w:r w:rsidR="006714F5" w:rsidRPr="006714F5">
              <w:rPr>
                <w:shd w:val="clear" w:color="auto" w:fill="FFFFFF"/>
              </w:rPr>
              <w:t>Despite formal objections from other EU Member States and alcohol business, t</w:t>
            </w:r>
            <w:r w:rsidRPr="006714F5">
              <w:rPr>
                <w:shd w:val="clear" w:color="auto" w:fill="FFFFFF"/>
              </w:rPr>
              <w:t xml:space="preserve">he European Commission allowed the law to proceed, </w:t>
            </w:r>
            <w:r w:rsidRPr="006714F5">
              <w:rPr>
                <w:shd w:val="clear" w:color="auto" w:fill="FFFFFF"/>
              </w:rPr>
              <w:fldChar w:fldCharType="begin"/>
            </w:r>
            <w:r w:rsidR="00216423">
              <w:rPr>
                <w:shd w:val="clear" w:color="auto" w:fill="FFFFFF"/>
              </w:rPr>
              <w:instrText xml:space="preserve"> ADDIN ZOTERO_ITEM CSL_CITATION {"citationID":"ftdfTVRz","properties":{"formattedCitation":"[10]","plainCitation":"[10]","noteIndex":0},"citationItems":[{"id":833,"uris":["http://zotero.org/users/5617569/items/ES4ZLRIP"],"itemData":{"id":833,"type":"webpage","abstract":"Answer for question E-003413/22","language":"en","title":"Parliamentary question | Answer for question E-003413/22 | Answer given by Ms Kyriakides on behalf of the European Commission","URL":"https://www.europarl.europa.eu/doceo/document/E-9-2022-003413-ASW_EN.html","author":[{"family":"European Parliament","given":""}],"accessed":{"date-parts":[["2025",4,8]]},"issued":{"date-parts":[["2022",12,13]]}}}],"schema":"https://github.com/citation-style-language/schema/raw/master/csl-citation.json"} </w:instrText>
            </w:r>
            <w:r w:rsidRPr="006714F5">
              <w:rPr>
                <w:shd w:val="clear" w:color="auto" w:fill="FFFFFF"/>
              </w:rPr>
              <w:fldChar w:fldCharType="separate"/>
            </w:r>
            <w:r w:rsidR="00216423">
              <w:t>[10]</w:t>
            </w:r>
            <w:r w:rsidRPr="006714F5">
              <w:rPr>
                <w:shd w:val="clear" w:color="auto" w:fill="FFFFFF"/>
              </w:rPr>
              <w:fldChar w:fldCharType="end"/>
            </w:r>
            <w:r w:rsidRPr="006714F5">
              <w:rPr>
                <w:shd w:val="clear" w:color="auto" w:fill="FFFFFF"/>
              </w:rPr>
              <w:t>. Whether a similar decision would be taken on national rules on food packaging promotions remains uncertain. In Germany, legislation on food packaging promotions is a federal legislative power</w:t>
            </w:r>
            <w:r w:rsidR="006714F5" w:rsidRPr="006714F5">
              <w:rPr>
                <w:shd w:val="clear" w:color="auto" w:fill="FFFFFF"/>
              </w:rPr>
              <w:t xml:space="preserve"> under economic and food law</w:t>
            </w:r>
            <w:r w:rsidRPr="006714F5">
              <w:rPr>
                <w:shd w:val="clear" w:color="auto" w:fill="FFFFFF"/>
              </w:rPr>
              <w:t xml:space="preserve"> (Art. 74, Nr. 11, 20 GG).</w:t>
            </w:r>
          </w:p>
        </w:tc>
      </w:tr>
      <w:tr w:rsidR="00EA4D30" w:rsidRPr="00BF007D" w14:paraId="7AA48CEE" w14:textId="40EA052B" w:rsidTr="0048409F">
        <w:trPr>
          <w:trHeight w:val="260"/>
        </w:trPr>
        <w:tc>
          <w:tcPr>
            <w:tcW w:w="223" w:type="dxa"/>
            <w:vMerge w:val="restart"/>
            <w:noWrap/>
            <w:hideMark/>
          </w:tcPr>
          <w:p w14:paraId="2786532B" w14:textId="77777777" w:rsidR="00EA4D30" w:rsidRPr="00E46DA3" w:rsidRDefault="00EA4D30" w:rsidP="00B57EDF">
            <w:pPr>
              <w:pStyle w:val="Tabelle-Text"/>
            </w:pPr>
            <w:r w:rsidRPr="00E46DA3">
              <w:t>4</w:t>
            </w:r>
          </w:p>
        </w:tc>
        <w:tc>
          <w:tcPr>
            <w:tcW w:w="1191" w:type="dxa"/>
            <w:vMerge w:val="restart"/>
            <w:noWrap/>
            <w:hideMark/>
          </w:tcPr>
          <w:p w14:paraId="673171A2" w14:textId="77777777" w:rsidR="00EA4D30" w:rsidRPr="00E46DA3" w:rsidRDefault="00EA4D30" w:rsidP="00B57EDF">
            <w:pPr>
              <w:pStyle w:val="Tabelle-Text"/>
            </w:pPr>
            <w:r w:rsidRPr="00E46DA3">
              <w:t>Food prices</w:t>
            </w:r>
          </w:p>
          <w:p w14:paraId="6EE14BF6" w14:textId="77777777" w:rsidR="00EA4D30" w:rsidRPr="00E46DA3" w:rsidRDefault="00EA4D30" w:rsidP="00B57EDF">
            <w:pPr>
              <w:pStyle w:val="Tabelle-Text"/>
            </w:pPr>
          </w:p>
        </w:tc>
        <w:tc>
          <w:tcPr>
            <w:tcW w:w="854" w:type="dxa"/>
            <w:noWrap/>
            <w:hideMark/>
          </w:tcPr>
          <w:p w14:paraId="542BFCB9" w14:textId="77777777" w:rsidR="00EA4D30" w:rsidRPr="00BF007D" w:rsidRDefault="00EA4D30" w:rsidP="00B57EDF">
            <w:pPr>
              <w:pStyle w:val="Tabelle-Text"/>
            </w:pPr>
            <w:r w:rsidRPr="00BF007D">
              <w:t>PRICES1</w:t>
            </w:r>
          </w:p>
        </w:tc>
        <w:tc>
          <w:tcPr>
            <w:tcW w:w="1276" w:type="dxa"/>
            <w:noWrap/>
            <w:hideMark/>
          </w:tcPr>
          <w:p w14:paraId="368B35AD" w14:textId="77777777" w:rsidR="00EA4D30" w:rsidRPr="00BF007D" w:rsidRDefault="00EA4D30" w:rsidP="00B57EDF">
            <w:pPr>
              <w:pStyle w:val="Tabelle-Text"/>
            </w:pPr>
            <w:r w:rsidRPr="00BF007D">
              <w:t>Taxes on healthy foods</w:t>
            </w:r>
          </w:p>
        </w:tc>
        <w:tc>
          <w:tcPr>
            <w:tcW w:w="850" w:type="dxa"/>
            <w:shd w:val="clear" w:color="auto" w:fill="F8B0CD" w:themeFill="background2" w:themeFillTint="66"/>
            <w:noWrap/>
            <w:hideMark/>
          </w:tcPr>
          <w:p w14:paraId="1596F9FA" w14:textId="77777777" w:rsidR="00EA4D30" w:rsidRPr="00BF007D" w:rsidRDefault="00EA4D30" w:rsidP="00B57EDF">
            <w:pPr>
              <w:pStyle w:val="Tabelle-Text"/>
            </w:pPr>
          </w:p>
        </w:tc>
        <w:tc>
          <w:tcPr>
            <w:tcW w:w="851" w:type="dxa"/>
            <w:shd w:val="clear" w:color="auto" w:fill="800040"/>
            <w:noWrap/>
            <w:hideMark/>
          </w:tcPr>
          <w:p w14:paraId="5C00B446" w14:textId="77777777" w:rsidR="00EA4D30" w:rsidRPr="00BF007D" w:rsidRDefault="00EA4D30" w:rsidP="00B57EDF">
            <w:pPr>
              <w:pStyle w:val="Tabelle-Text"/>
            </w:pPr>
          </w:p>
        </w:tc>
        <w:tc>
          <w:tcPr>
            <w:tcW w:w="851" w:type="dxa"/>
            <w:shd w:val="clear" w:color="auto" w:fill="F8B0CD" w:themeFill="background2" w:themeFillTint="66"/>
            <w:noWrap/>
            <w:hideMark/>
          </w:tcPr>
          <w:p w14:paraId="2210D412" w14:textId="77777777" w:rsidR="00EA4D30" w:rsidRPr="00BF007D" w:rsidRDefault="00EA4D30" w:rsidP="00B57EDF">
            <w:pPr>
              <w:pStyle w:val="Tabelle-Text"/>
            </w:pPr>
          </w:p>
        </w:tc>
        <w:tc>
          <w:tcPr>
            <w:tcW w:w="7512" w:type="dxa"/>
            <w:vMerge w:val="restart"/>
          </w:tcPr>
          <w:p w14:paraId="6CD526A6" w14:textId="3F836994" w:rsidR="00EA4D30" w:rsidRPr="006714F5" w:rsidRDefault="00EA4D30" w:rsidP="00B57EDF">
            <w:pPr>
              <w:pStyle w:val="Tabelle-Text"/>
            </w:pPr>
            <w:r w:rsidRPr="006714F5">
              <w:rPr>
                <w:shd w:val="clear" w:color="auto" w:fill="FFFFFF"/>
              </w:rPr>
              <w:t xml:space="preserve">EU rules require a standard value-added-tax (VAT) rate of at least 15%; with Member States permitted to apply two reduced rates for selected products (not lower than 5%) and a zero-tax rate on essential goods (including foods) (Art. 97(1), Art 98, 99, 2006/112/EC). In Germany, VAT falls under the concurrent legislative power of the federal government (Art. 105; Art. 106(3), GG). Since VAT revenues are shared among the federal, state and in some cases municipal governments, changes require Federal Council approval (Art. 106(3), GG). States and municipalities may levy local excise and expenditure taxes, if a tax is not covered at a federal level (e.g., Tübingen’s packaging tax </w:t>
            </w:r>
            <w:r w:rsidRPr="006714F5">
              <w:rPr>
                <w:shd w:val="clear" w:color="auto" w:fill="FFFFFF"/>
              </w:rPr>
              <w:fldChar w:fldCharType="begin"/>
            </w:r>
            <w:r w:rsidR="00216423">
              <w:rPr>
                <w:shd w:val="clear" w:color="auto" w:fill="FFFFFF"/>
              </w:rPr>
              <w:instrText xml:space="preserve"> ADDIN ZOTERO_ITEM CSL_CITATION {"citationID":"a1sahbp2b5u","properties":{"formattedCitation":"[11]","plainCitation":"[11]","noteIndex":0},"citationItems":[{"id":62,"uris":["http://zotero.org/users/5617569/items/2ZGB5IFS"],"itemData":{"id":62,"type":"webpage","abstract":"Mit heute veröffentlichtem Beschluss hat der Erste Senat des Bundesverfassungsgerichts eine Verfassungsbeschwerde gegen die Satzung der Universitätsstadt Tübingen über die Erhebung einer Verpackungssteuer (Verpackungssteuersatzung) zurückgewiesen. Mit der Verpackungssteuersatzung erhebt die Universitätsstadt Tübingen seit dem 1. Januar 2022 eine Steuer auf den Verbrauch nicht wiederverwendbarer Verpackungen sowie nicht wiederverwendbaren Geschirrs und Bestecks, sofern Speisen und Getränke darin bzw. damit für den unmittelbaren Verzehr an Ort und Stelle oder als mitnehmbares take-away-Gericht oder -Getränk verkauft werden. Zur Entrichtung der Steuer ist der Endverkäufer von entsprechenden Speisen und Getränken verpflichtet. Die Beschwerdeführerin betrieb ein Schnellrestaurant im Gebiet der Universitätsstadt Tübingen. Gegen die Besteuerung des Verbrauchs der von ihr verwendeten Einwegartikel stellte sie einen Normenkontrollantrag, den das Bundesverwaltungsgericht mit Urteil vom 24. Mai 2023 im Wesentlichen abgelehnt hat. Die gegen diese Entscheidung gerichtete Verfassungsbeschwerde blieb ohne Erfolg. Insbesondere handelt es sich bei der Verpackungssteuer auch insoweit um eine „örtliche“ Verbrauchsteuer im Sinne des Art. 105 Abs. 2a Satz 1 Grundgesetz (GG), als der Verbrauch von Einwegartikeln beim Verkauf von „mitnehmbaren take-away-Gerichten oder -Getränken“ besteuert wird. Der mit der Verpackungssteuersatzung bezweckte Anreiz zur Verwendung von Mehrwegsystemen widerspricht auch keiner seit ihrem Inkrafttreten maßgeblichen Konzeption des bundesrechtlichen Abfallrechts.","genre":"Pressemitteilung, Nr. 6/2025","language":"de","title":"Erfolglose Verfassungsbeschwerde gegen Tübinger Verpackungssteuersatzung","URL":"https://www.bundesverfassungsgericht.de/SharedDocs/Pressemitteilungen/DE/2025/bvg25-006.html","author":[{"family":"Federal Constitutional Court","given":""}],"accessed":{"date-parts":[["2025",3,10]]},"issued":{"date-parts":[["2025",1,22]]}}}],"schema":"https://github.com/citation-style-language/schema/raw/master/csl-citation.json"} </w:instrText>
            </w:r>
            <w:r w:rsidRPr="006714F5">
              <w:rPr>
                <w:shd w:val="clear" w:color="auto" w:fill="FFFFFF"/>
              </w:rPr>
              <w:fldChar w:fldCharType="separate"/>
            </w:r>
            <w:r w:rsidR="00216423">
              <w:t>[11]</w:t>
            </w:r>
            <w:r w:rsidRPr="006714F5">
              <w:rPr>
                <w:shd w:val="clear" w:color="auto" w:fill="FFFFFF"/>
              </w:rPr>
              <w:fldChar w:fldCharType="end"/>
            </w:r>
            <w:r w:rsidRPr="006714F5">
              <w:rPr>
                <w:shd w:val="clear" w:color="auto" w:fill="FFFFFF"/>
              </w:rPr>
              <w:t>).</w:t>
            </w:r>
          </w:p>
        </w:tc>
      </w:tr>
      <w:tr w:rsidR="00EA4D30" w:rsidRPr="00BF007D" w14:paraId="796335B8" w14:textId="3E9D44A7" w:rsidTr="0048409F">
        <w:trPr>
          <w:trHeight w:val="260"/>
        </w:trPr>
        <w:tc>
          <w:tcPr>
            <w:tcW w:w="223" w:type="dxa"/>
            <w:vMerge/>
            <w:noWrap/>
            <w:hideMark/>
          </w:tcPr>
          <w:p w14:paraId="15BF70DD" w14:textId="77777777" w:rsidR="00EA4D30" w:rsidRPr="00E46DA3" w:rsidRDefault="00EA4D30" w:rsidP="00B57EDF">
            <w:pPr>
              <w:pStyle w:val="Tabelle-Text"/>
            </w:pPr>
          </w:p>
        </w:tc>
        <w:tc>
          <w:tcPr>
            <w:tcW w:w="1191" w:type="dxa"/>
            <w:vMerge/>
            <w:noWrap/>
            <w:hideMark/>
          </w:tcPr>
          <w:p w14:paraId="6C597F10" w14:textId="77777777" w:rsidR="00EA4D30" w:rsidRPr="00E46DA3" w:rsidRDefault="00EA4D30" w:rsidP="00B57EDF">
            <w:pPr>
              <w:pStyle w:val="Tabelle-Text"/>
            </w:pPr>
          </w:p>
        </w:tc>
        <w:tc>
          <w:tcPr>
            <w:tcW w:w="854" w:type="dxa"/>
            <w:noWrap/>
            <w:hideMark/>
          </w:tcPr>
          <w:p w14:paraId="406C6C2B" w14:textId="77777777" w:rsidR="00EA4D30" w:rsidRPr="00BF007D" w:rsidRDefault="00EA4D30" w:rsidP="00B57EDF">
            <w:pPr>
              <w:pStyle w:val="Tabelle-Text"/>
            </w:pPr>
            <w:r w:rsidRPr="00BF007D">
              <w:t>PRICES2</w:t>
            </w:r>
          </w:p>
        </w:tc>
        <w:tc>
          <w:tcPr>
            <w:tcW w:w="1276" w:type="dxa"/>
            <w:noWrap/>
            <w:hideMark/>
          </w:tcPr>
          <w:p w14:paraId="1A7E81EB" w14:textId="77777777" w:rsidR="00EA4D30" w:rsidRPr="00BF007D" w:rsidRDefault="00EA4D30" w:rsidP="00B57EDF">
            <w:pPr>
              <w:pStyle w:val="Tabelle-Text"/>
            </w:pPr>
            <w:r w:rsidRPr="00BF007D">
              <w:t>Taxes on unhealthy foods</w:t>
            </w:r>
          </w:p>
        </w:tc>
        <w:tc>
          <w:tcPr>
            <w:tcW w:w="850" w:type="dxa"/>
            <w:shd w:val="clear" w:color="auto" w:fill="F8B0CD" w:themeFill="background2" w:themeFillTint="66"/>
            <w:noWrap/>
            <w:hideMark/>
          </w:tcPr>
          <w:p w14:paraId="024AD51D" w14:textId="77777777" w:rsidR="00EA4D30" w:rsidRPr="00BF007D" w:rsidRDefault="00EA4D30" w:rsidP="00B57EDF">
            <w:pPr>
              <w:pStyle w:val="Tabelle-Text"/>
            </w:pPr>
          </w:p>
        </w:tc>
        <w:tc>
          <w:tcPr>
            <w:tcW w:w="851" w:type="dxa"/>
            <w:shd w:val="clear" w:color="auto" w:fill="800040"/>
            <w:noWrap/>
            <w:hideMark/>
          </w:tcPr>
          <w:p w14:paraId="0BDE6A9E" w14:textId="77777777" w:rsidR="00EA4D30" w:rsidRPr="00BF007D" w:rsidRDefault="00EA4D30" w:rsidP="00B57EDF">
            <w:pPr>
              <w:pStyle w:val="Tabelle-Text"/>
            </w:pPr>
          </w:p>
        </w:tc>
        <w:tc>
          <w:tcPr>
            <w:tcW w:w="851" w:type="dxa"/>
            <w:shd w:val="clear" w:color="auto" w:fill="F8B0CD" w:themeFill="background2" w:themeFillTint="66"/>
            <w:noWrap/>
            <w:hideMark/>
          </w:tcPr>
          <w:p w14:paraId="6EACE1E6" w14:textId="77777777" w:rsidR="00EA4D30" w:rsidRPr="00BF007D" w:rsidRDefault="00EA4D30" w:rsidP="00B57EDF">
            <w:pPr>
              <w:pStyle w:val="Tabelle-Text"/>
            </w:pPr>
          </w:p>
        </w:tc>
        <w:tc>
          <w:tcPr>
            <w:tcW w:w="7512" w:type="dxa"/>
            <w:vMerge/>
          </w:tcPr>
          <w:p w14:paraId="325F957B" w14:textId="77777777" w:rsidR="00EA4D30" w:rsidRPr="009663ED" w:rsidRDefault="00EA4D30" w:rsidP="00B57EDF">
            <w:pPr>
              <w:pStyle w:val="Tabelle-Text"/>
              <w:rPr>
                <w:highlight w:val="yellow"/>
              </w:rPr>
            </w:pPr>
          </w:p>
        </w:tc>
      </w:tr>
      <w:tr w:rsidR="00EA4D30" w:rsidRPr="00BF007D" w14:paraId="4065D34B" w14:textId="64158185" w:rsidTr="00E67C31">
        <w:trPr>
          <w:trHeight w:val="260"/>
        </w:trPr>
        <w:tc>
          <w:tcPr>
            <w:tcW w:w="223" w:type="dxa"/>
            <w:vMerge/>
            <w:noWrap/>
            <w:hideMark/>
          </w:tcPr>
          <w:p w14:paraId="6E10CA74" w14:textId="77777777" w:rsidR="00EA4D30" w:rsidRPr="00E46DA3" w:rsidRDefault="00EA4D30" w:rsidP="00B57EDF">
            <w:pPr>
              <w:pStyle w:val="Tabelle-Text"/>
            </w:pPr>
          </w:p>
        </w:tc>
        <w:tc>
          <w:tcPr>
            <w:tcW w:w="1191" w:type="dxa"/>
            <w:vMerge/>
            <w:noWrap/>
            <w:hideMark/>
          </w:tcPr>
          <w:p w14:paraId="1533B2AA" w14:textId="77777777" w:rsidR="00EA4D30" w:rsidRPr="00E46DA3" w:rsidRDefault="00EA4D30" w:rsidP="00B57EDF">
            <w:pPr>
              <w:pStyle w:val="Tabelle-Text"/>
            </w:pPr>
          </w:p>
        </w:tc>
        <w:tc>
          <w:tcPr>
            <w:tcW w:w="854" w:type="dxa"/>
            <w:noWrap/>
            <w:hideMark/>
          </w:tcPr>
          <w:p w14:paraId="7B59D43C" w14:textId="77777777" w:rsidR="00EA4D30" w:rsidRPr="00BF007D" w:rsidRDefault="00EA4D30" w:rsidP="00B57EDF">
            <w:pPr>
              <w:pStyle w:val="Tabelle-Text"/>
            </w:pPr>
            <w:r w:rsidRPr="00BF007D">
              <w:t>PRICES3</w:t>
            </w:r>
          </w:p>
        </w:tc>
        <w:tc>
          <w:tcPr>
            <w:tcW w:w="1276" w:type="dxa"/>
            <w:noWrap/>
            <w:hideMark/>
          </w:tcPr>
          <w:p w14:paraId="402FEFA4" w14:textId="77777777" w:rsidR="00EA4D30" w:rsidRPr="00BF007D" w:rsidRDefault="00EA4D30" w:rsidP="00B57EDF">
            <w:pPr>
              <w:pStyle w:val="Tabelle-Text"/>
            </w:pPr>
            <w:r w:rsidRPr="00BF007D">
              <w:t>Subsidies</w:t>
            </w:r>
          </w:p>
        </w:tc>
        <w:tc>
          <w:tcPr>
            <w:tcW w:w="850" w:type="dxa"/>
            <w:shd w:val="clear" w:color="auto" w:fill="D6247C"/>
            <w:noWrap/>
            <w:hideMark/>
          </w:tcPr>
          <w:p w14:paraId="0A094B5C" w14:textId="77777777" w:rsidR="00EA4D30" w:rsidRPr="00BF007D" w:rsidRDefault="00EA4D30" w:rsidP="00B57EDF">
            <w:pPr>
              <w:pStyle w:val="Tabelle-Text"/>
            </w:pPr>
          </w:p>
        </w:tc>
        <w:tc>
          <w:tcPr>
            <w:tcW w:w="851" w:type="dxa"/>
            <w:shd w:val="clear" w:color="auto" w:fill="D6247C"/>
            <w:noWrap/>
            <w:hideMark/>
          </w:tcPr>
          <w:p w14:paraId="219CC7AA" w14:textId="77777777" w:rsidR="00EA4D30" w:rsidRPr="00BF007D" w:rsidRDefault="00EA4D30" w:rsidP="00B57EDF">
            <w:pPr>
              <w:pStyle w:val="Tabelle-Text"/>
            </w:pPr>
          </w:p>
        </w:tc>
        <w:tc>
          <w:tcPr>
            <w:tcW w:w="851" w:type="dxa"/>
            <w:shd w:val="clear" w:color="auto" w:fill="D6247C"/>
            <w:noWrap/>
            <w:hideMark/>
          </w:tcPr>
          <w:p w14:paraId="16A483ED" w14:textId="77777777" w:rsidR="00EA4D30" w:rsidRPr="00BF007D" w:rsidRDefault="00EA4D30" w:rsidP="00B57EDF">
            <w:pPr>
              <w:pStyle w:val="Tabelle-Text"/>
            </w:pPr>
          </w:p>
        </w:tc>
        <w:tc>
          <w:tcPr>
            <w:tcW w:w="7512" w:type="dxa"/>
            <w:vMerge w:val="restart"/>
          </w:tcPr>
          <w:p w14:paraId="2816C4C7" w14:textId="27AFC916" w:rsidR="00EA4D30" w:rsidRPr="006714F5" w:rsidRDefault="00EA4D30" w:rsidP="00B57EDF">
            <w:pPr>
              <w:pStyle w:val="Tabelle-Text"/>
            </w:pPr>
            <w:r w:rsidRPr="006714F5">
              <w:rPr>
                <w:shd w:val="clear" w:color="auto" w:fill="FFFFFF"/>
              </w:rPr>
              <w:t xml:space="preserve">In principle, all levels of public budgets may grant subsidies. Under EU state aid rules, subsidies and other advantages funded by public resources are prohibited if </w:t>
            </w:r>
            <w:r w:rsidRPr="006714F5">
              <w:rPr>
                <w:shd w:val="clear" w:color="auto" w:fill="FFFFFF"/>
              </w:rPr>
              <w:lastRenderedPageBreak/>
              <w:t>they distort competition (Article 107 et seq., TFEU). EU Member States need to report state aid to the European Commission and await approval before granting subsidies (standstill obligation). However, this does not prevent any level of government to introduce subsidies, provided they comply with EU state aid rules.</w:t>
            </w:r>
          </w:p>
        </w:tc>
      </w:tr>
      <w:tr w:rsidR="00EA4D30" w:rsidRPr="00BF007D" w14:paraId="71554435" w14:textId="50754F24" w:rsidTr="00E67C31">
        <w:trPr>
          <w:trHeight w:val="280"/>
        </w:trPr>
        <w:tc>
          <w:tcPr>
            <w:tcW w:w="223" w:type="dxa"/>
            <w:vMerge/>
            <w:noWrap/>
            <w:hideMark/>
          </w:tcPr>
          <w:p w14:paraId="1D67C6EE" w14:textId="77777777" w:rsidR="00EA4D30" w:rsidRPr="00E46DA3" w:rsidRDefault="00EA4D30" w:rsidP="00B57EDF">
            <w:pPr>
              <w:pStyle w:val="Tabelle-Text"/>
            </w:pPr>
          </w:p>
        </w:tc>
        <w:tc>
          <w:tcPr>
            <w:tcW w:w="1191" w:type="dxa"/>
            <w:vMerge/>
            <w:noWrap/>
            <w:hideMark/>
          </w:tcPr>
          <w:p w14:paraId="31475468" w14:textId="77777777" w:rsidR="00EA4D30" w:rsidRPr="00E46DA3" w:rsidRDefault="00EA4D30" w:rsidP="00B57EDF">
            <w:pPr>
              <w:pStyle w:val="Tabelle-Text"/>
            </w:pPr>
          </w:p>
        </w:tc>
        <w:tc>
          <w:tcPr>
            <w:tcW w:w="854" w:type="dxa"/>
            <w:noWrap/>
            <w:hideMark/>
          </w:tcPr>
          <w:p w14:paraId="187DD940" w14:textId="77777777" w:rsidR="00EA4D30" w:rsidRPr="00BF007D" w:rsidRDefault="00EA4D30" w:rsidP="00B57EDF">
            <w:pPr>
              <w:pStyle w:val="Tabelle-Text"/>
            </w:pPr>
            <w:r w:rsidRPr="00BF007D">
              <w:t>PRICES4</w:t>
            </w:r>
          </w:p>
        </w:tc>
        <w:tc>
          <w:tcPr>
            <w:tcW w:w="1276" w:type="dxa"/>
            <w:noWrap/>
            <w:hideMark/>
          </w:tcPr>
          <w:p w14:paraId="2F0419F5" w14:textId="77777777" w:rsidR="00EA4D30" w:rsidRPr="00BF007D" w:rsidRDefault="00EA4D30" w:rsidP="00B57EDF">
            <w:pPr>
              <w:pStyle w:val="Tabelle-Text"/>
            </w:pPr>
            <w:r w:rsidRPr="00BF007D">
              <w:t>Food-related income support</w:t>
            </w:r>
          </w:p>
        </w:tc>
        <w:tc>
          <w:tcPr>
            <w:tcW w:w="850" w:type="dxa"/>
            <w:shd w:val="clear" w:color="auto" w:fill="D6247C"/>
            <w:noWrap/>
            <w:hideMark/>
          </w:tcPr>
          <w:p w14:paraId="4B649E33" w14:textId="77777777" w:rsidR="00EA4D30" w:rsidRPr="00BF007D" w:rsidRDefault="00EA4D30" w:rsidP="00B57EDF">
            <w:pPr>
              <w:pStyle w:val="Tabelle-Text"/>
            </w:pPr>
          </w:p>
        </w:tc>
        <w:tc>
          <w:tcPr>
            <w:tcW w:w="851" w:type="dxa"/>
            <w:shd w:val="clear" w:color="auto" w:fill="D6247C"/>
            <w:noWrap/>
            <w:hideMark/>
          </w:tcPr>
          <w:p w14:paraId="6E15EE54" w14:textId="77777777" w:rsidR="00EA4D30" w:rsidRPr="00BF007D" w:rsidRDefault="00EA4D30" w:rsidP="00B57EDF">
            <w:pPr>
              <w:pStyle w:val="Tabelle-Text"/>
            </w:pPr>
          </w:p>
        </w:tc>
        <w:tc>
          <w:tcPr>
            <w:tcW w:w="851" w:type="dxa"/>
            <w:shd w:val="clear" w:color="auto" w:fill="D6247C"/>
            <w:noWrap/>
            <w:hideMark/>
          </w:tcPr>
          <w:p w14:paraId="5A650A9E" w14:textId="77777777" w:rsidR="00EA4D30" w:rsidRPr="00BF007D" w:rsidRDefault="00EA4D30" w:rsidP="00B57EDF">
            <w:pPr>
              <w:pStyle w:val="Tabelle-Text"/>
            </w:pPr>
          </w:p>
        </w:tc>
        <w:tc>
          <w:tcPr>
            <w:tcW w:w="7512" w:type="dxa"/>
            <w:vMerge/>
          </w:tcPr>
          <w:p w14:paraId="3F69EAF3" w14:textId="77777777" w:rsidR="00EA4D30" w:rsidRPr="009663ED" w:rsidRDefault="00EA4D30" w:rsidP="00B57EDF">
            <w:pPr>
              <w:pStyle w:val="Tabelle-Text"/>
              <w:rPr>
                <w:highlight w:val="yellow"/>
              </w:rPr>
            </w:pPr>
          </w:p>
        </w:tc>
      </w:tr>
      <w:tr w:rsidR="00F621EE" w:rsidRPr="00BF007D" w14:paraId="53A395E9" w14:textId="5D5E858D" w:rsidTr="0048409F">
        <w:trPr>
          <w:trHeight w:val="260"/>
        </w:trPr>
        <w:tc>
          <w:tcPr>
            <w:tcW w:w="223" w:type="dxa"/>
            <w:vMerge w:val="restart"/>
            <w:noWrap/>
            <w:hideMark/>
          </w:tcPr>
          <w:p w14:paraId="6F26AC46" w14:textId="77777777" w:rsidR="00F621EE" w:rsidRPr="00E46DA3" w:rsidRDefault="00F621EE" w:rsidP="00B57EDF">
            <w:pPr>
              <w:pStyle w:val="Tabelle-Text"/>
            </w:pPr>
            <w:r w:rsidRPr="00E46DA3">
              <w:t>5</w:t>
            </w:r>
          </w:p>
        </w:tc>
        <w:tc>
          <w:tcPr>
            <w:tcW w:w="1191" w:type="dxa"/>
            <w:vMerge w:val="restart"/>
            <w:noWrap/>
            <w:hideMark/>
          </w:tcPr>
          <w:p w14:paraId="39ABDF68" w14:textId="77777777" w:rsidR="00F621EE" w:rsidRPr="00E46DA3" w:rsidRDefault="00F621EE" w:rsidP="00B57EDF">
            <w:pPr>
              <w:pStyle w:val="Tabelle-Text"/>
            </w:pPr>
            <w:r w:rsidRPr="00E46DA3">
              <w:t>Food provision</w:t>
            </w:r>
          </w:p>
        </w:tc>
        <w:tc>
          <w:tcPr>
            <w:tcW w:w="854" w:type="dxa"/>
            <w:noWrap/>
            <w:hideMark/>
          </w:tcPr>
          <w:p w14:paraId="11A67ADE" w14:textId="77777777" w:rsidR="00F621EE" w:rsidRPr="00BF007D" w:rsidRDefault="00F621EE" w:rsidP="00B57EDF">
            <w:pPr>
              <w:pStyle w:val="Tabelle-Text"/>
            </w:pPr>
            <w:r w:rsidRPr="00BF007D">
              <w:t>PROV1</w:t>
            </w:r>
          </w:p>
        </w:tc>
        <w:tc>
          <w:tcPr>
            <w:tcW w:w="1276" w:type="dxa"/>
            <w:noWrap/>
            <w:hideMark/>
          </w:tcPr>
          <w:p w14:paraId="3AC44135" w14:textId="77777777" w:rsidR="00F621EE" w:rsidRPr="00BF007D" w:rsidRDefault="00F621EE" w:rsidP="00B57EDF">
            <w:pPr>
              <w:pStyle w:val="Tabelle-Text"/>
            </w:pPr>
            <w:r w:rsidRPr="00BF007D">
              <w:t>Schools and early childhood education</w:t>
            </w:r>
          </w:p>
        </w:tc>
        <w:tc>
          <w:tcPr>
            <w:tcW w:w="850" w:type="dxa"/>
            <w:shd w:val="clear" w:color="auto" w:fill="F8B0CD" w:themeFill="background2" w:themeFillTint="66"/>
            <w:noWrap/>
            <w:hideMark/>
          </w:tcPr>
          <w:p w14:paraId="16066EB1" w14:textId="77777777" w:rsidR="00F621EE" w:rsidRPr="00BF007D" w:rsidRDefault="00F621EE" w:rsidP="00B57EDF">
            <w:pPr>
              <w:pStyle w:val="Tabelle-Text"/>
            </w:pPr>
          </w:p>
        </w:tc>
        <w:tc>
          <w:tcPr>
            <w:tcW w:w="851" w:type="dxa"/>
            <w:shd w:val="clear" w:color="auto" w:fill="F8B0CD" w:themeFill="background2" w:themeFillTint="66"/>
            <w:noWrap/>
            <w:hideMark/>
          </w:tcPr>
          <w:p w14:paraId="0FD12703" w14:textId="77777777" w:rsidR="00F621EE" w:rsidRPr="00BF007D" w:rsidRDefault="00F621EE" w:rsidP="00B57EDF">
            <w:pPr>
              <w:pStyle w:val="Tabelle-Text"/>
            </w:pPr>
          </w:p>
        </w:tc>
        <w:tc>
          <w:tcPr>
            <w:tcW w:w="851" w:type="dxa"/>
            <w:shd w:val="clear" w:color="auto" w:fill="800040"/>
            <w:noWrap/>
            <w:hideMark/>
          </w:tcPr>
          <w:p w14:paraId="65D26618" w14:textId="77777777" w:rsidR="00F621EE" w:rsidRPr="00BF007D" w:rsidRDefault="00F621EE" w:rsidP="00B57EDF">
            <w:pPr>
              <w:pStyle w:val="Tabelle-Text"/>
            </w:pPr>
          </w:p>
        </w:tc>
        <w:tc>
          <w:tcPr>
            <w:tcW w:w="7512" w:type="dxa"/>
          </w:tcPr>
          <w:p w14:paraId="0E366A56" w14:textId="40568CF1" w:rsidR="00F621EE" w:rsidRPr="009663ED" w:rsidRDefault="00EA4D30" w:rsidP="00B57EDF">
            <w:pPr>
              <w:pStyle w:val="Tabelle-Text"/>
              <w:rPr>
                <w:highlight w:val="yellow"/>
              </w:rPr>
            </w:pPr>
            <w:r w:rsidRPr="006714F5">
              <w:t xml:space="preserve">School and early childhood education are a primary legislative power of the states </w:t>
            </w:r>
            <w:r w:rsidRPr="006714F5">
              <w:fldChar w:fldCharType="begin"/>
            </w:r>
            <w:r w:rsidR="00216423">
              <w:instrText xml:space="preserve"> ADDIN ZOTERO_ITEM CSL_CITATION {"citationID":"c5EQt6hc","properties":{"formattedCitation":"[22]","plainCitation":"[22]","noteIndex":0},"citationItems":[{"id":"49T2H3Bx/brfSeR4n","uris":["http://zotero.org/users/5617569/items/DDDP96FZ"],"itemData":{"id":4192,"type":"webpage","abstract":"Alle Menschen sollen eine inklusive und hochwertige Bildung erhalten. Darauf hat sich die Staatengemeinschaft in der Agenda 2030 verpflichtet.","container-title":"Die Bundesregierung informiert | Startseite","language":"de","title":"Hochwertige Bildung weltweit | Bundesregierung","URL":"https://www.bundesregierung.de/breg-de/schwerpunkte-der-bundesregierung/nachhaltigkeitspolitik/bildung-weltweit-1004538","author":[{"family":"Federal Government of Germany","given":""}],"accessed":{"date-parts":[["2024",11,15]]},"issued":{"date-parts":[["2023",8,15]]}}}],"schema":"https://github.com/citation-style-language/schema/raw/master/csl-citation.json"} </w:instrText>
            </w:r>
            <w:r w:rsidRPr="006714F5">
              <w:fldChar w:fldCharType="separate"/>
            </w:r>
            <w:r w:rsidR="00216423">
              <w:rPr>
                <w:noProof/>
              </w:rPr>
              <w:t>[22]</w:t>
            </w:r>
            <w:r w:rsidRPr="006714F5">
              <w:fldChar w:fldCharType="end"/>
            </w:r>
            <w:r w:rsidRPr="006714F5">
              <w:t xml:space="preserve">. Food provision in schools is classified as “an external school matter” and as such </w:t>
            </w:r>
            <w:r w:rsidR="006714F5">
              <w:t xml:space="preserve">mostly governed by </w:t>
            </w:r>
            <w:r w:rsidRPr="006714F5">
              <w:t xml:space="preserve">school authorities (usually cities, districts and municipalities) </w:t>
            </w:r>
            <w:r w:rsidRPr="006714F5">
              <w:fldChar w:fldCharType="begin"/>
            </w:r>
            <w:r w:rsidR="00216423">
              <w:instrText xml:space="preserve"> ADDIN ZOTERO_ITEM CSL_CITATION {"citationID":"fElTUZnR","properties":{"formattedCitation":"[12]","plainCitation":"[12]","noteIndex":0},"citationItems":[{"id":914,"uris":["http://zotero.org/users/5617569/items/ZZFMET7U"],"itemData":{"id":914,"type":"article-journal","abstract":"Die wissenschaftliche Auseinandersetzung mit dem Handlungsfeld „Ernährung in der Schule“ zeichnet sich durch eine starke Ergebnisorientierung aus. Studien befassen sich etwa mit der Qualität von Verpflegungsangeboten oder mit dem Umfang und der Regelmäßigkeit von ernährungspädagogischen Maßnahmen. Vergleichsweise selten im Blickpunkt stehen jedoch die bildungspolitischen und schulrechtlichen Rahmenbedingungen, welche die Realisierung von Ernährungskonzepten an Schulen überhaupt möglich machen. Um über Situationsbeschreibungen hinaus konkrete Handlungsempfehlungen und wirksame Interventionsmaßnahmen ableiten zu können, erscheint es notwendig, eben diese Rahmenbedingungen stärker als bisher in den Fokus zu rücken. Das im vorliegenden Beitrag vorgestellte Strukturmodell soll verdeutlichen, welche AkteurInnen, auch jenseits des lokalen Settings Schule, an der Konstituierung von Ernährungskonzepten beteiligt sind und welche Handlungsspielräume und Verantwortlichkeiten ihnen jeweils obliegen.","container-title":"Ernährungs Umschau","DOI":"10.4455/eu.2020.007","ISSN":"0174-0008","issue":"67(1)","language":"de","page":"18-23","source":"DOI.org (CSL JSON)","title":"Ernährung in der Schule: Zwischen administrativen Zuständigkeiten und strukturellen Rahmenbedingungen","author":[{"family":"Jansen","given":"Catherina"},{"family":"Buyken","given":"Anette"},{"family":"Depa","given":"Julia"},{"family":"Kroke","given":"Anja"}],"issued":{"date-parts":[["2020",1,15]]}}}],"schema":"https://github.com/citation-style-language/schema/raw/master/csl-citation.json"} </w:instrText>
            </w:r>
            <w:r w:rsidRPr="006714F5">
              <w:fldChar w:fldCharType="separate"/>
            </w:r>
            <w:r w:rsidR="00216423">
              <w:t>[12]</w:t>
            </w:r>
            <w:r w:rsidRPr="006714F5">
              <w:fldChar w:fldCharType="end"/>
            </w:r>
            <w:r w:rsidRPr="006714F5">
              <w:t xml:space="preserve">. </w:t>
            </w:r>
            <w:r w:rsidRPr="006714F5">
              <w:rPr>
                <w:shd w:val="clear" w:color="auto" w:fill="FFFFFF"/>
              </w:rPr>
              <w:t xml:space="preserve">These authorities are, in principle, free to determine how they carry out the tasks assigned to them. States may introduce requirements for school authorities to adhere to certain standards provided they compensate the municipalities for the additional (financial) burdens arising from these requirements. </w:t>
            </w:r>
            <w:r w:rsidRPr="006714F5">
              <w:rPr>
                <w:shd w:val="clear" w:color="auto" w:fill="FFFFFF"/>
              </w:rPr>
              <w:br/>
              <w:t xml:space="preserve">For education and human health, the EU has a supporting competence and can implement supporting measures, such as funding programs (e.g., the EU school fruit, vegetables and milk scheme (Art. 6 TFEU). Similarly, the federal government can also introduce supporting measures, e.g., the German Nutrition Society’s (DGE) voluntary quality standards for school and early childhood education services </w:t>
            </w:r>
            <w:r w:rsidRPr="006714F5">
              <w:rPr>
                <w:shd w:val="clear" w:color="auto" w:fill="FFFFFF"/>
              </w:rPr>
              <w:fldChar w:fldCharType="begin"/>
            </w:r>
            <w:r w:rsidR="00216423">
              <w:rPr>
                <w:shd w:val="clear" w:color="auto" w:fill="FFFFFF"/>
              </w:rPr>
              <w:instrText xml:space="preserve"> ADDIN ZOTERO_ITEM CSL_CITATION {"citationID":"akf37d5a16","properties":{"formattedCitation":"[14,DGE 15]","plainCitation":"[14,DGE 15]","noteIndex":0},"citationItems":[{"id":65,"uris":["http://zotero.org/users/5617569/items/I3YC28QV"],"itemData":{"id":65,"type":"report","number":"6. Auflage, 2. korrigierter und aktualisierter Nachdruck","publisher":"Deutsche Gesellschaft für Ernährung","publisher-place":"Bonn","title":"DGE-Qualitätsstandard für die Verpflegung in Kitas","author":[{"family":"German Nutrition Society (DGE)","given":""}],"issued":{"date-parts":[["2023"]]}},"label":"page","suppress-author":true,"prefix":"DGE"},{"id":64,"uris":["http://zotero.org/users/5617569/items/25IN9AK2"],"itemData":{"id":64,"type":"report","number":"5. Auflage, 2. korrigierter und aktualisierter Nachdruck","publisher":"Deutsche Gesellschaft für Ernährung","publisher-place":"Bonn","title":"DGE-Qualitätsstandard für die Verpflegung in Schulen","author":[{"family":"German Nutrition Society (DGE)","given":""}],"issued":{"date-parts":[["2023"]]}},"label":"page"}],"schema":"https://github.com/citation-style-language/schema/raw/master/csl-citation.json"} </w:instrText>
            </w:r>
            <w:r w:rsidRPr="006714F5">
              <w:rPr>
                <w:shd w:val="clear" w:color="auto" w:fill="FFFFFF"/>
              </w:rPr>
              <w:fldChar w:fldCharType="separate"/>
            </w:r>
            <w:r w:rsidR="00216423">
              <w:t>[14,DGE 15]</w:t>
            </w:r>
            <w:r w:rsidRPr="006714F5">
              <w:rPr>
                <w:shd w:val="clear" w:color="auto" w:fill="FFFFFF"/>
              </w:rPr>
              <w:fldChar w:fldCharType="end"/>
            </w:r>
            <w:r w:rsidRPr="006714F5">
              <w:rPr>
                <w:shd w:val="clear" w:color="auto" w:fill="FFFFFF"/>
              </w:rPr>
              <w:t>.</w:t>
            </w:r>
          </w:p>
        </w:tc>
      </w:tr>
      <w:tr w:rsidR="00F621EE" w:rsidRPr="00BF007D" w14:paraId="1E7A1AD1" w14:textId="2BAD3144" w:rsidTr="00E67C31">
        <w:trPr>
          <w:trHeight w:val="260"/>
        </w:trPr>
        <w:tc>
          <w:tcPr>
            <w:tcW w:w="223" w:type="dxa"/>
            <w:vMerge/>
            <w:noWrap/>
            <w:hideMark/>
          </w:tcPr>
          <w:p w14:paraId="45BAFAC3" w14:textId="77777777" w:rsidR="00F621EE" w:rsidRPr="00E46DA3" w:rsidRDefault="00F621EE" w:rsidP="00B57EDF">
            <w:pPr>
              <w:pStyle w:val="Tabelle-Text"/>
            </w:pPr>
          </w:p>
        </w:tc>
        <w:tc>
          <w:tcPr>
            <w:tcW w:w="1191" w:type="dxa"/>
            <w:vMerge/>
            <w:noWrap/>
            <w:hideMark/>
          </w:tcPr>
          <w:p w14:paraId="3132F2FE" w14:textId="77777777" w:rsidR="00F621EE" w:rsidRPr="00E46DA3" w:rsidRDefault="00F621EE" w:rsidP="00B57EDF">
            <w:pPr>
              <w:pStyle w:val="Tabelle-Text"/>
            </w:pPr>
          </w:p>
        </w:tc>
        <w:tc>
          <w:tcPr>
            <w:tcW w:w="854" w:type="dxa"/>
            <w:noWrap/>
            <w:hideMark/>
          </w:tcPr>
          <w:p w14:paraId="0AA0C02F" w14:textId="77777777" w:rsidR="00F621EE" w:rsidRPr="00BF007D" w:rsidRDefault="00F621EE" w:rsidP="00B57EDF">
            <w:pPr>
              <w:pStyle w:val="Tabelle-Text"/>
            </w:pPr>
            <w:r w:rsidRPr="00BF007D">
              <w:t>PROV2</w:t>
            </w:r>
          </w:p>
        </w:tc>
        <w:tc>
          <w:tcPr>
            <w:tcW w:w="1276" w:type="dxa"/>
            <w:noWrap/>
            <w:hideMark/>
          </w:tcPr>
          <w:p w14:paraId="53F9909B" w14:textId="77777777" w:rsidR="00F621EE" w:rsidRPr="00BF007D" w:rsidRDefault="00F621EE" w:rsidP="00B57EDF">
            <w:pPr>
              <w:pStyle w:val="Tabelle-Text"/>
            </w:pPr>
            <w:r w:rsidRPr="00BF007D">
              <w:t>Other public sector settings</w:t>
            </w:r>
          </w:p>
        </w:tc>
        <w:tc>
          <w:tcPr>
            <w:tcW w:w="850" w:type="dxa"/>
            <w:shd w:val="clear" w:color="auto" w:fill="D6247C"/>
            <w:noWrap/>
            <w:hideMark/>
          </w:tcPr>
          <w:p w14:paraId="282D79BB" w14:textId="77777777" w:rsidR="00F621EE" w:rsidRPr="00BF007D" w:rsidRDefault="00F621EE" w:rsidP="00B57EDF">
            <w:pPr>
              <w:pStyle w:val="Tabelle-Text"/>
            </w:pPr>
          </w:p>
        </w:tc>
        <w:tc>
          <w:tcPr>
            <w:tcW w:w="851" w:type="dxa"/>
            <w:shd w:val="clear" w:color="auto" w:fill="D6247C"/>
            <w:noWrap/>
            <w:hideMark/>
          </w:tcPr>
          <w:p w14:paraId="73A3B23A" w14:textId="77777777" w:rsidR="00F621EE" w:rsidRPr="00BF007D" w:rsidRDefault="00F621EE" w:rsidP="00B57EDF">
            <w:pPr>
              <w:pStyle w:val="Tabelle-Text"/>
            </w:pPr>
          </w:p>
        </w:tc>
        <w:tc>
          <w:tcPr>
            <w:tcW w:w="851" w:type="dxa"/>
            <w:shd w:val="clear" w:color="auto" w:fill="D6247C"/>
            <w:noWrap/>
            <w:hideMark/>
          </w:tcPr>
          <w:p w14:paraId="69F95D38" w14:textId="77777777" w:rsidR="00F621EE" w:rsidRPr="00BF007D" w:rsidRDefault="00F621EE" w:rsidP="00B57EDF">
            <w:pPr>
              <w:pStyle w:val="Tabelle-Text"/>
            </w:pPr>
          </w:p>
        </w:tc>
        <w:tc>
          <w:tcPr>
            <w:tcW w:w="7512" w:type="dxa"/>
          </w:tcPr>
          <w:p w14:paraId="2E47C9D5" w14:textId="6DCC83BF" w:rsidR="00F621EE" w:rsidRPr="006714F5" w:rsidRDefault="00EA4D30" w:rsidP="00B57EDF">
            <w:pPr>
              <w:pStyle w:val="Tabelle-Text"/>
            </w:pPr>
            <w:r w:rsidRPr="006714F5">
              <w:rPr>
                <w:shd w:val="clear" w:color="auto" w:fill="FFFFFF"/>
              </w:rPr>
              <w:t>Authority for food provision in other public sector settings is shared across all levels of government. Public procurement law is largely harmonized at the EU level (2014/24/EU) while the EU, federal and state governments are each responsible for their respective institutions (e.g., ministries, agencies).</w:t>
            </w:r>
          </w:p>
        </w:tc>
      </w:tr>
      <w:tr w:rsidR="00EA4D30" w:rsidRPr="00BF007D" w14:paraId="2E432004" w14:textId="69BDB604" w:rsidTr="00E67C31">
        <w:trPr>
          <w:trHeight w:val="260"/>
        </w:trPr>
        <w:tc>
          <w:tcPr>
            <w:tcW w:w="223" w:type="dxa"/>
            <w:vMerge/>
            <w:noWrap/>
            <w:hideMark/>
          </w:tcPr>
          <w:p w14:paraId="4D6385DD" w14:textId="77777777" w:rsidR="00EA4D30" w:rsidRPr="00E46DA3" w:rsidRDefault="00EA4D30" w:rsidP="00B57EDF">
            <w:pPr>
              <w:pStyle w:val="Tabelle-Text"/>
            </w:pPr>
          </w:p>
        </w:tc>
        <w:tc>
          <w:tcPr>
            <w:tcW w:w="1191" w:type="dxa"/>
            <w:vMerge/>
            <w:noWrap/>
            <w:hideMark/>
          </w:tcPr>
          <w:p w14:paraId="7E134320" w14:textId="77777777" w:rsidR="00EA4D30" w:rsidRPr="00E46DA3" w:rsidRDefault="00EA4D30" w:rsidP="00B57EDF">
            <w:pPr>
              <w:pStyle w:val="Tabelle-Text"/>
            </w:pPr>
          </w:p>
        </w:tc>
        <w:tc>
          <w:tcPr>
            <w:tcW w:w="854" w:type="dxa"/>
            <w:noWrap/>
            <w:hideMark/>
          </w:tcPr>
          <w:p w14:paraId="44032CA5" w14:textId="77777777" w:rsidR="00EA4D30" w:rsidRPr="00BF007D" w:rsidRDefault="00EA4D30" w:rsidP="00B57EDF">
            <w:pPr>
              <w:pStyle w:val="Tabelle-Text"/>
            </w:pPr>
            <w:r w:rsidRPr="00BF007D">
              <w:t>PROV3</w:t>
            </w:r>
          </w:p>
        </w:tc>
        <w:tc>
          <w:tcPr>
            <w:tcW w:w="1276" w:type="dxa"/>
            <w:noWrap/>
            <w:hideMark/>
          </w:tcPr>
          <w:p w14:paraId="48D47FBF" w14:textId="77777777" w:rsidR="00EA4D30" w:rsidRPr="00BF007D" w:rsidRDefault="00EA4D30" w:rsidP="00B57EDF">
            <w:pPr>
              <w:pStyle w:val="Tabelle-Text"/>
            </w:pPr>
            <w:r w:rsidRPr="00336B47">
              <w:t>Public sector support systems</w:t>
            </w:r>
          </w:p>
        </w:tc>
        <w:tc>
          <w:tcPr>
            <w:tcW w:w="850" w:type="dxa"/>
            <w:shd w:val="clear" w:color="auto" w:fill="D6247C"/>
            <w:noWrap/>
            <w:hideMark/>
          </w:tcPr>
          <w:p w14:paraId="1B359902" w14:textId="77777777" w:rsidR="00EA4D30" w:rsidRPr="00BF007D" w:rsidRDefault="00EA4D30" w:rsidP="00B57EDF">
            <w:pPr>
              <w:pStyle w:val="Tabelle-Text"/>
            </w:pPr>
          </w:p>
        </w:tc>
        <w:tc>
          <w:tcPr>
            <w:tcW w:w="851" w:type="dxa"/>
            <w:shd w:val="clear" w:color="auto" w:fill="D6247C"/>
            <w:noWrap/>
            <w:hideMark/>
          </w:tcPr>
          <w:p w14:paraId="723B944D" w14:textId="77777777" w:rsidR="00EA4D30" w:rsidRPr="00BF007D" w:rsidRDefault="00EA4D30" w:rsidP="00B57EDF">
            <w:pPr>
              <w:pStyle w:val="Tabelle-Text"/>
            </w:pPr>
          </w:p>
        </w:tc>
        <w:tc>
          <w:tcPr>
            <w:tcW w:w="851" w:type="dxa"/>
            <w:shd w:val="clear" w:color="auto" w:fill="D6247C"/>
            <w:noWrap/>
            <w:hideMark/>
          </w:tcPr>
          <w:p w14:paraId="72B53F1D" w14:textId="77777777" w:rsidR="00EA4D30" w:rsidRPr="00BF007D" w:rsidRDefault="00EA4D30" w:rsidP="00B57EDF">
            <w:pPr>
              <w:pStyle w:val="Tabelle-Text"/>
            </w:pPr>
          </w:p>
        </w:tc>
        <w:tc>
          <w:tcPr>
            <w:tcW w:w="7512" w:type="dxa"/>
            <w:vMerge w:val="restart"/>
          </w:tcPr>
          <w:p w14:paraId="2DFCB436" w14:textId="422E4F8D" w:rsidR="00EA4D30" w:rsidRPr="006714F5" w:rsidRDefault="006714F5" w:rsidP="00B57EDF">
            <w:pPr>
              <w:pStyle w:val="Tabelle-Text"/>
            </w:pPr>
            <w:r w:rsidRPr="006714F5">
              <w:rPr>
                <w:shd w:val="clear" w:color="auto" w:fill="FFFFFF"/>
              </w:rPr>
              <w:t xml:space="preserve">Indicators mostly include non-binding measures (E.g., training programs) as such all levels of government – the </w:t>
            </w:r>
            <w:r w:rsidR="00EA4D30" w:rsidRPr="006714F5">
              <w:rPr>
                <w:shd w:val="clear" w:color="auto" w:fill="FFFFFF"/>
              </w:rPr>
              <w:t xml:space="preserve">EU, the Federal and </w:t>
            </w:r>
            <w:r w:rsidRPr="006714F5">
              <w:rPr>
                <w:shd w:val="clear" w:color="auto" w:fill="FFFFFF"/>
              </w:rPr>
              <w:t>s</w:t>
            </w:r>
            <w:r w:rsidR="00EA4D30" w:rsidRPr="006714F5">
              <w:rPr>
                <w:shd w:val="clear" w:color="auto" w:fill="FFFFFF"/>
              </w:rPr>
              <w:t>tate</w:t>
            </w:r>
            <w:r w:rsidRPr="006714F5">
              <w:rPr>
                <w:shd w:val="clear" w:color="auto" w:fill="FFFFFF"/>
              </w:rPr>
              <w:t xml:space="preserve">s – </w:t>
            </w:r>
            <w:r w:rsidR="00EA4D30" w:rsidRPr="006714F5">
              <w:rPr>
                <w:shd w:val="clear" w:color="auto" w:fill="FFFFFF"/>
              </w:rPr>
              <w:t>can offer and finance trainings and other support services for public and private companies.</w:t>
            </w:r>
          </w:p>
        </w:tc>
      </w:tr>
      <w:tr w:rsidR="00EA4D30" w:rsidRPr="00BF007D" w14:paraId="6B81C3E7" w14:textId="0288C0D0" w:rsidTr="00E67C31">
        <w:trPr>
          <w:trHeight w:val="280"/>
        </w:trPr>
        <w:tc>
          <w:tcPr>
            <w:tcW w:w="223" w:type="dxa"/>
            <w:vMerge/>
            <w:noWrap/>
            <w:hideMark/>
          </w:tcPr>
          <w:p w14:paraId="60300341" w14:textId="77777777" w:rsidR="00EA4D30" w:rsidRPr="00E46DA3" w:rsidRDefault="00EA4D30" w:rsidP="00B57EDF">
            <w:pPr>
              <w:pStyle w:val="Tabelle-Text"/>
            </w:pPr>
          </w:p>
        </w:tc>
        <w:tc>
          <w:tcPr>
            <w:tcW w:w="1191" w:type="dxa"/>
            <w:vMerge/>
            <w:noWrap/>
            <w:hideMark/>
          </w:tcPr>
          <w:p w14:paraId="2CF9D198" w14:textId="77777777" w:rsidR="00EA4D30" w:rsidRPr="00E46DA3" w:rsidRDefault="00EA4D30" w:rsidP="00B57EDF">
            <w:pPr>
              <w:pStyle w:val="Tabelle-Text"/>
            </w:pPr>
          </w:p>
        </w:tc>
        <w:tc>
          <w:tcPr>
            <w:tcW w:w="854" w:type="dxa"/>
            <w:noWrap/>
            <w:hideMark/>
          </w:tcPr>
          <w:p w14:paraId="06EA8D2A" w14:textId="77777777" w:rsidR="00EA4D30" w:rsidRPr="00BF007D" w:rsidRDefault="00EA4D30" w:rsidP="00B57EDF">
            <w:pPr>
              <w:pStyle w:val="Tabelle-Text"/>
            </w:pPr>
            <w:r w:rsidRPr="00BF007D">
              <w:t>PROV4</w:t>
            </w:r>
          </w:p>
        </w:tc>
        <w:tc>
          <w:tcPr>
            <w:tcW w:w="1276" w:type="dxa"/>
            <w:noWrap/>
            <w:hideMark/>
          </w:tcPr>
          <w:p w14:paraId="6F3628AC" w14:textId="77777777" w:rsidR="00EA4D30" w:rsidRPr="00BF007D" w:rsidRDefault="00EA4D30" w:rsidP="00B57EDF">
            <w:pPr>
              <w:pStyle w:val="Tabelle-Text"/>
            </w:pPr>
            <w:r>
              <w:t>Private sector supports systems</w:t>
            </w:r>
          </w:p>
        </w:tc>
        <w:tc>
          <w:tcPr>
            <w:tcW w:w="850" w:type="dxa"/>
            <w:shd w:val="clear" w:color="auto" w:fill="D6247C"/>
            <w:noWrap/>
            <w:hideMark/>
          </w:tcPr>
          <w:p w14:paraId="0BC332F7" w14:textId="77777777" w:rsidR="00EA4D30" w:rsidRPr="00BF007D" w:rsidRDefault="00EA4D30" w:rsidP="00B57EDF">
            <w:pPr>
              <w:pStyle w:val="Tabelle-Text"/>
            </w:pPr>
          </w:p>
        </w:tc>
        <w:tc>
          <w:tcPr>
            <w:tcW w:w="851" w:type="dxa"/>
            <w:shd w:val="clear" w:color="auto" w:fill="D6247C"/>
            <w:noWrap/>
            <w:hideMark/>
          </w:tcPr>
          <w:p w14:paraId="5A86F789" w14:textId="77777777" w:rsidR="00EA4D30" w:rsidRPr="00BF007D" w:rsidRDefault="00EA4D30" w:rsidP="00B57EDF">
            <w:pPr>
              <w:pStyle w:val="Tabelle-Text"/>
            </w:pPr>
          </w:p>
        </w:tc>
        <w:tc>
          <w:tcPr>
            <w:tcW w:w="851" w:type="dxa"/>
            <w:shd w:val="clear" w:color="auto" w:fill="D6247C"/>
            <w:noWrap/>
            <w:hideMark/>
          </w:tcPr>
          <w:p w14:paraId="06D31964" w14:textId="77777777" w:rsidR="00EA4D30" w:rsidRPr="00BF007D" w:rsidRDefault="00EA4D30" w:rsidP="00B57EDF">
            <w:pPr>
              <w:pStyle w:val="Tabelle-Text"/>
            </w:pPr>
          </w:p>
        </w:tc>
        <w:tc>
          <w:tcPr>
            <w:tcW w:w="7512" w:type="dxa"/>
            <w:vMerge/>
          </w:tcPr>
          <w:p w14:paraId="5359A88E" w14:textId="77777777" w:rsidR="00EA4D30" w:rsidRPr="009663ED" w:rsidRDefault="00EA4D30" w:rsidP="00B57EDF">
            <w:pPr>
              <w:pStyle w:val="Tabelle-Text"/>
              <w:rPr>
                <w:highlight w:val="yellow"/>
              </w:rPr>
            </w:pPr>
          </w:p>
        </w:tc>
      </w:tr>
      <w:tr w:rsidR="00EA4D30" w:rsidRPr="00BF007D" w14:paraId="7376E7B5" w14:textId="01016CD9" w:rsidTr="0048409F">
        <w:trPr>
          <w:trHeight w:val="260"/>
        </w:trPr>
        <w:tc>
          <w:tcPr>
            <w:tcW w:w="223" w:type="dxa"/>
            <w:vMerge w:val="restart"/>
            <w:noWrap/>
            <w:hideMark/>
          </w:tcPr>
          <w:p w14:paraId="6C45660F" w14:textId="77777777" w:rsidR="00EA4D30" w:rsidRPr="00E46DA3" w:rsidRDefault="00EA4D30" w:rsidP="00B57EDF">
            <w:pPr>
              <w:pStyle w:val="Tabelle-Text"/>
            </w:pPr>
            <w:r w:rsidRPr="00E46DA3">
              <w:t>6</w:t>
            </w:r>
          </w:p>
          <w:p w14:paraId="3D6931EE" w14:textId="77777777" w:rsidR="00EA4D30" w:rsidRPr="00E46DA3" w:rsidRDefault="00EA4D30" w:rsidP="00B57EDF">
            <w:pPr>
              <w:pStyle w:val="Tabelle-Text"/>
            </w:pPr>
          </w:p>
        </w:tc>
        <w:tc>
          <w:tcPr>
            <w:tcW w:w="1191" w:type="dxa"/>
            <w:vMerge w:val="restart"/>
            <w:noWrap/>
            <w:hideMark/>
          </w:tcPr>
          <w:p w14:paraId="07AD4145" w14:textId="77777777" w:rsidR="00EA4D30" w:rsidRPr="00E46DA3" w:rsidRDefault="00EA4D30" w:rsidP="00B57EDF">
            <w:pPr>
              <w:pStyle w:val="Tabelle-Text"/>
            </w:pPr>
            <w:r w:rsidRPr="00E46DA3">
              <w:t>Food in retail</w:t>
            </w:r>
          </w:p>
        </w:tc>
        <w:tc>
          <w:tcPr>
            <w:tcW w:w="854" w:type="dxa"/>
            <w:noWrap/>
            <w:hideMark/>
          </w:tcPr>
          <w:p w14:paraId="1CADA453" w14:textId="77777777" w:rsidR="00EA4D30" w:rsidRPr="00BF007D" w:rsidRDefault="00EA4D30" w:rsidP="00B57EDF">
            <w:pPr>
              <w:pStyle w:val="Tabelle-Text"/>
            </w:pPr>
            <w:r w:rsidRPr="00BF007D">
              <w:t>RETAIL1</w:t>
            </w:r>
          </w:p>
        </w:tc>
        <w:tc>
          <w:tcPr>
            <w:tcW w:w="1276" w:type="dxa"/>
            <w:noWrap/>
            <w:hideMark/>
          </w:tcPr>
          <w:p w14:paraId="4C85B6BA" w14:textId="77777777" w:rsidR="00EA4D30" w:rsidRPr="00BF007D" w:rsidRDefault="00EA4D30" w:rsidP="00B57EDF">
            <w:pPr>
              <w:pStyle w:val="Tabelle-Text"/>
            </w:pPr>
            <w:r w:rsidRPr="006653CA">
              <w:t xml:space="preserve">Spatial planning - </w:t>
            </w:r>
            <w:r>
              <w:lastRenderedPageBreak/>
              <w:t>un</w:t>
            </w:r>
            <w:r w:rsidRPr="006653CA">
              <w:t>healthy foods</w:t>
            </w:r>
          </w:p>
        </w:tc>
        <w:tc>
          <w:tcPr>
            <w:tcW w:w="850" w:type="dxa"/>
            <w:noWrap/>
            <w:hideMark/>
          </w:tcPr>
          <w:p w14:paraId="40BFEEB6" w14:textId="77777777" w:rsidR="00EA4D30" w:rsidRPr="00BF007D" w:rsidRDefault="00EA4D30" w:rsidP="00B57EDF">
            <w:pPr>
              <w:pStyle w:val="Tabelle-Text"/>
            </w:pPr>
          </w:p>
        </w:tc>
        <w:tc>
          <w:tcPr>
            <w:tcW w:w="851" w:type="dxa"/>
            <w:shd w:val="clear" w:color="auto" w:fill="F8B0CD" w:themeFill="background2" w:themeFillTint="66"/>
            <w:noWrap/>
            <w:hideMark/>
          </w:tcPr>
          <w:p w14:paraId="1E35A099" w14:textId="77777777" w:rsidR="00EA4D30" w:rsidRPr="00BF007D" w:rsidRDefault="00EA4D30" w:rsidP="00B57EDF">
            <w:pPr>
              <w:pStyle w:val="Tabelle-Text"/>
            </w:pPr>
          </w:p>
        </w:tc>
        <w:tc>
          <w:tcPr>
            <w:tcW w:w="851" w:type="dxa"/>
            <w:shd w:val="clear" w:color="auto" w:fill="800040"/>
            <w:noWrap/>
            <w:hideMark/>
          </w:tcPr>
          <w:p w14:paraId="0A5ED751" w14:textId="77777777" w:rsidR="00EA4D30" w:rsidRPr="00BF007D" w:rsidRDefault="00EA4D30" w:rsidP="00B57EDF">
            <w:pPr>
              <w:pStyle w:val="Tabelle-Text"/>
            </w:pPr>
          </w:p>
        </w:tc>
        <w:tc>
          <w:tcPr>
            <w:tcW w:w="7512" w:type="dxa"/>
            <w:vMerge w:val="restart"/>
          </w:tcPr>
          <w:p w14:paraId="6C0D7618" w14:textId="6265DD09" w:rsidR="00EA4D30" w:rsidRPr="009663ED" w:rsidRDefault="00EA4D30" w:rsidP="00EA4D30">
            <w:pPr>
              <w:pStyle w:val="Tabelle-Text"/>
              <w:rPr>
                <w:highlight w:val="yellow"/>
              </w:rPr>
            </w:pPr>
            <w:r w:rsidRPr="006714F5">
              <w:t xml:space="preserve">Land distribution and regional planning (RETAIL1 and RETAIL2) fall under the concurrent legislative power of the federal government (Art. 74(1) No. 30, 31, GG), </w:t>
            </w:r>
            <w:r w:rsidR="006714F5" w:rsidRPr="006714F5">
              <w:lastRenderedPageBreak/>
              <w:t>however the German Basic Law grants states the power to establish diverging rules</w:t>
            </w:r>
            <w:r w:rsidRPr="006714F5">
              <w:t xml:space="preserve"> (Art. 72(3) No. 3, 4, GG). </w:t>
            </w:r>
            <w:r w:rsidRPr="008B14A3">
              <w:t xml:space="preserve">States regulate regional planning in their own laws (e.g., HBauO) and their planning authorities set development goals and principles for land use, including open spaces and commercial areas (e.g., supermarkets). Cities and municipalities develop concrete spatial plans and set guidelines for infrastructure and retail locations </w:t>
            </w:r>
            <w:r w:rsidRPr="008B14A3">
              <w:fldChar w:fldCharType="begin"/>
            </w:r>
            <w:r w:rsidR="00216423">
              <w:instrText xml:space="preserve"> ADDIN ZOTERO_ITEM CSL_CITATION {"citationID":"a1onbu5l7en","properties":{"formattedCitation":"[e.g., Stadt Varel (16)]","plainCitation":"[e.g., Stadt Varel (16)]","noteIndex":0},"citationItems":[{"id":59,"uris":["http://zotero.org/users/5617569/items/GE7WGR93"],"itemData":{"id":59,"type":"webpage","title":"Regionalplanung, Regionales Raumordnungsprogramm (RROP)","URL":"https://www.varel.de/buergerservice/dienstleistungen/regionalplanung-regionales-raumordnungsprogramm-rrop--901001864-0.html?myMedium=1","author":[{"family":"City of Varel","given":""}],"accessed":{"date-parts":[["2024",4,10]]},"issued":{"date-parts":[["2024"]]}},"label":"page","prefix":"e.g., Stadt Varel (","suffix":")"}],"schema":"https://github.com/citation-style-language/schema/raw/master/csl-citation.json"} </w:instrText>
            </w:r>
            <w:r w:rsidRPr="008B14A3">
              <w:fldChar w:fldCharType="separate"/>
            </w:r>
            <w:r w:rsidR="00216423">
              <w:t>[e.g., Stadt Varel (16)]</w:t>
            </w:r>
            <w:r w:rsidRPr="008B14A3">
              <w:fldChar w:fldCharType="end"/>
            </w:r>
            <w:r w:rsidRPr="008B14A3">
              <w:t xml:space="preserve">. States have, for example, used their authority to restrict </w:t>
            </w:r>
            <w:r w:rsidR="008B14A3">
              <w:t xml:space="preserve">the establishment of new </w:t>
            </w:r>
            <w:r w:rsidRPr="008B14A3">
              <w:t xml:space="preserve">gambling venues near schools and </w:t>
            </w:r>
            <w:r w:rsidR="008B14A3">
              <w:t>kindergartens</w:t>
            </w:r>
            <w:r w:rsidRPr="008B14A3">
              <w:t xml:space="preserve"> (e.g., Paragraph 5 (5)(6), GlüStV NRW).</w:t>
            </w:r>
          </w:p>
          <w:p w14:paraId="2EB968D8" w14:textId="540407FC" w:rsidR="00EA4D30" w:rsidRPr="009663ED" w:rsidRDefault="00EA4D30" w:rsidP="00EA4D30">
            <w:pPr>
              <w:pStyle w:val="Tabelle-Text"/>
              <w:rPr>
                <w:highlight w:val="yellow"/>
              </w:rPr>
            </w:pPr>
            <w:r w:rsidRPr="008B14A3">
              <w:t xml:space="preserve">Since 2006, states also hold legislative authority over store opening hours (Art. 74(1) No. 11, GG) and all states except Bavaria, enacted state regulations </w:t>
            </w:r>
            <w:r w:rsidRPr="008B14A3">
              <w:fldChar w:fldCharType="begin"/>
            </w:r>
            <w:r w:rsidR="00216423">
              <w:instrText xml:space="preserve"> ADDIN ZOTERO_ITEM CSL_CITATION {"citationID":"wsKqbXyX","properties":{"formattedCitation":"[17]","plainCitation":"[17]","noteIndex":0},"citationItems":[{"id":657,"uris":["http://zotero.org/users/5617569/items/NCR8HWD9"],"itemData":{"id":657,"type":"webpage","container-title":"Saarheim","title":"Ladenöffnungsgesetze der Länder","URL":"https://www.saarheim.de/Gesetze_Laender/loeg_laender.htm","author":[{"family":"Grupp","given":"Klaus"},{"family":"Stelkens","given":"Ulrich"}],"accessed":{"date-parts":[["2023",12,13]]},"issued":{"date-parts":[["2023"]]}}}],"schema":"https://github.com/citation-style-language/schema/raw/master/csl-citation.json"} </w:instrText>
            </w:r>
            <w:r w:rsidRPr="008B14A3">
              <w:fldChar w:fldCharType="separate"/>
            </w:r>
            <w:r w:rsidR="00216423">
              <w:t>[17]</w:t>
            </w:r>
            <w:r w:rsidRPr="008B14A3">
              <w:fldChar w:fldCharType="end"/>
            </w:r>
            <w:r w:rsidRPr="008B14A3">
              <w:t>. These include provisions on the type of products that may be sold at specific times and locations (e.g., under Paragraph 6(2) in North Rhine-Westphalia’s Store Opening Hours Act (LÖG) retail outlets in tourism areas may open up to 40 Sundays or holidays annually to sell certain goods, including “items for immediate consumption, fresh fruits, tobacco products, flowers, and newspapers”. The state of Baden-Württemberg banned night-time off-premises alcohol sales from 2010 to 2017, effectively prohibiting supermarkets, kiosks and gas stations to sell alcohol between 10 p.m. and 5 a.m. (1) and the Federal Constitutional Court upheld the law as constitutional (BVerfG, 29 September 2010, 1 BvR 1789/10).</w:t>
            </w:r>
          </w:p>
        </w:tc>
      </w:tr>
      <w:tr w:rsidR="00EA4D30" w:rsidRPr="00BF007D" w14:paraId="0C350A7A" w14:textId="5A2AF421" w:rsidTr="0048409F">
        <w:trPr>
          <w:trHeight w:val="260"/>
        </w:trPr>
        <w:tc>
          <w:tcPr>
            <w:tcW w:w="223" w:type="dxa"/>
            <w:vMerge/>
            <w:noWrap/>
            <w:hideMark/>
          </w:tcPr>
          <w:p w14:paraId="33A40E2E" w14:textId="77777777" w:rsidR="00EA4D30" w:rsidRPr="00E46DA3" w:rsidRDefault="00EA4D30" w:rsidP="00B57EDF">
            <w:pPr>
              <w:pStyle w:val="Tabelle-Text"/>
            </w:pPr>
          </w:p>
        </w:tc>
        <w:tc>
          <w:tcPr>
            <w:tcW w:w="1191" w:type="dxa"/>
            <w:vMerge/>
            <w:noWrap/>
            <w:hideMark/>
          </w:tcPr>
          <w:p w14:paraId="37C0C51E" w14:textId="77777777" w:rsidR="00EA4D30" w:rsidRPr="00E46DA3" w:rsidRDefault="00EA4D30" w:rsidP="00B57EDF">
            <w:pPr>
              <w:pStyle w:val="Tabelle-Text"/>
            </w:pPr>
          </w:p>
        </w:tc>
        <w:tc>
          <w:tcPr>
            <w:tcW w:w="854" w:type="dxa"/>
            <w:noWrap/>
            <w:hideMark/>
          </w:tcPr>
          <w:p w14:paraId="7956D188" w14:textId="77777777" w:rsidR="00EA4D30" w:rsidRPr="00BF007D" w:rsidRDefault="00EA4D30" w:rsidP="00B57EDF">
            <w:pPr>
              <w:pStyle w:val="Tabelle-Text"/>
            </w:pPr>
            <w:r w:rsidRPr="00BF007D">
              <w:t>RETAIL2</w:t>
            </w:r>
          </w:p>
        </w:tc>
        <w:tc>
          <w:tcPr>
            <w:tcW w:w="1276" w:type="dxa"/>
            <w:noWrap/>
            <w:hideMark/>
          </w:tcPr>
          <w:p w14:paraId="12B1531B" w14:textId="77777777" w:rsidR="00EA4D30" w:rsidRPr="00BF007D" w:rsidRDefault="00EA4D30" w:rsidP="00B57EDF">
            <w:pPr>
              <w:pStyle w:val="Tabelle-Text"/>
            </w:pPr>
            <w:r w:rsidRPr="006653CA">
              <w:t xml:space="preserve">Spatial planning </w:t>
            </w:r>
            <w:r w:rsidRPr="00BF007D">
              <w:t xml:space="preserve">- </w:t>
            </w:r>
            <w:r>
              <w:t>healthy</w:t>
            </w:r>
            <w:r w:rsidRPr="00BF007D">
              <w:t xml:space="preserve"> foods</w:t>
            </w:r>
          </w:p>
        </w:tc>
        <w:tc>
          <w:tcPr>
            <w:tcW w:w="850" w:type="dxa"/>
            <w:noWrap/>
            <w:hideMark/>
          </w:tcPr>
          <w:p w14:paraId="37CE00A9" w14:textId="77777777" w:rsidR="00EA4D30" w:rsidRPr="00BF007D" w:rsidRDefault="00EA4D30" w:rsidP="00B57EDF">
            <w:pPr>
              <w:pStyle w:val="Tabelle-Text"/>
            </w:pPr>
          </w:p>
        </w:tc>
        <w:tc>
          <w:tcPr>
            <w:tcW w:w="851" w:type="dxa"/>
            <w:shd w:val="clear" w:color="auto" w:fill="F8B0CD" w:themeFill="background2" w:themeFillTint="66"/>
            <w:noWrap/>
            <w:hideMark/>
          </w:tcPr>
          <w:p w14:paraId="74FC22AA" w14:textId="77777777" w:rsidR="00EA4D30" w:rsidRPr="00BF007D" w:rsidRDefault="00EA4D30" w:rsidP="00B57EDF">
            <w:pPr>
              <w:pStyle w:val="Tabelle-Text"/>
            </w:pPr>
          </w:p>
        </w:tc>
        <w:tc>
          <w:tcPr>
            <w:tcW w:w="851" w:type="dxa"/>
            <w:shd w:val="clear" w:color="auto" w:fill="800040"/>
            <w:noWrap/>
            <w:hideMark/>
          </w:tcPr>
          <w:p w14:paraId="07CADAB5" w14:textId="77777777" w:rsidR="00EA4D30" w:rsidRPr="00BF007D" w:rsidRDefault="00EA4D30" w:rsidP="00B57EDF">
            <w:pPr>
              <w:pStyle w:val="Tabelle-Text"/>
            </w:pPr>
          </w:p>
        </w:tc>
        <w:tc>
          <w:tcPr>
            <w:tcW w:w="7512" w:type="dxa"/>
            <w:vMerge/>
          </w:tcPr>
          <w:p w14:paraId="3CE48645" w14:textId="77777777" w:rsidR="00EA4D30" w:rsidRPr="009663ED" w:rsidRDefault="00EA4D30" w:rsidP="00B57EDF">
            <w:pPr>
              <w:pStyle w:val="Tabelle-Text"/>
              <w:rPr>
                <w:highlight w:val="yellow"/>
              </w:rPr>
            </w:pPr>
          </w:p>
        </w:tc>
      </w:tr>
      <w:tr w:rsidR="00F621EE" w:rsidRPr="00BF007D" w14:paraId="7B02FC94" w14:textId="624E3084" w:rsidTr="00E67C31">
        <w:trPr>
          <w:trHeight w:val="260"/>
        </w:trPr>
        <w:tc>
          <w:tcPr>
            <w:tcW w:w="223" w:type="dxa"/>
            <w:vMerge/>
            <w:noWrap/>
            <w:hideMark/>
          </w:tcPr>
          <w:p w14:paraId="69DFB10D" w14:textId="77777777" w:rsidR="00F621EE" w:rsidRPr="00E46DA3" w:rsidRDefault="00F621EE" w:rsidP="00B57EDF">
            <w:pPr>
              <w:pStyle w:val="Tabelle-Text"/>
            </w:pPr>
          </w:p>
        </w:tc>
        <w:tc>
          <w:tcPr>
            <w:tcW w:w="1191" w:type="dxa"/>
            <w:vMerge/>
            <w:noWrap/>
            <w:hideMark/>
          </w:tcPr>
          <w:p w14:paraId="45982B8B" w14:textId="77777777" w:rsidR="00F621EE" w:rsidRPr="00E46DA3" w:rsidRDefault="00F621EE" w:rsidP="00B57EDF">
            <w:pPr>
              <w:pStyle w:val="Tabelle-Text"/>
            </w:pPr>
          </w:p>
        </w:tc>
        <w:tc>
          <w:tcPr>
            <w:tcW w:w="854" w:type="dxa"/>
            <w:noWrap/>
            <w:hideMark/>
          </w:tcPr>
          <w:p w14:paraId="79CB5BF1" w14:textId="77777777" w:rsidR="00F621EE" w:rsidRPr="00BF007D" w:rsidRDefault="00F621EE" w:rsidP="00B57EDF">
            <w:pPr>
              <w:pStyle w:val="Tabelle-Text"/>
            </w:pPr>
            <w:r w:rsidRPr="00BF007D">
              <w:t>RETAIL3</w:t>
            </w:r>
          </w:p>
        </w:tc>
        <w:tc>
          <w:tcPr>
            <w:tcW w:w="1276" w:type="dxa"/>
            <w:noWrap/>
            <w:hideMark/>
          </w:tcPr>
          <w:p w14:paraId="099334B3" w14:textId="77777777" w:rsidR="00F621EE" w:rsidRPr="00BF007D" w:rsidRDefault="00F621EE" w:rsidP="00B57EDF">
            <w:pPr>
              <w:pStyle w:val="Tabelle-Text"/>
            </w:pPr>
            <w:r w:rsidRPr="00BF007D">
              <w:t>In-store availability of healthy / unhealthy foods</w:t>
            </w:r>
          </w:p>
        </w:tc>
        <w:tc>
          <w:tcPr>
            <w:tcW w:w="850" w:type="dxa"/>
            <w:shd w:val="clear" w:color="auto" w:fill="D6247C"/>
            <w:noWrap/>
            <w:hideMark/>
          </w:tcPr>
          <w:p w14:paraId="6F596C26" w14:textId="77777777" w:rsidR="00F621EE" w:rsidRPr="00BF007D" w:rsidRDefault="00F621EE" w:rsidP="00B57EDF">
            <w:pPr>
              <w:pStyle w:val="Tabelle-Text"/>
            </w:pPr>
          </w:p>
        </w:tc>
        <w:tc>
          <w:tcPr>
            <w:tcW w:w="851" w:type="dxa"/>
            <w:shd w:val="clear" w:color="auto" w:fill="D6247C"/>
            <w:noWrap/>
            <w:hideMark/>
          </w:tcPr>
          <w:p w14:paraId="5496E5B0" w14:textId="77777777" w:rsidR="00F621EE" w:rsidRPr="00BF007D" w:rsidRDefault="00F621EE" w:rsidP="00B57EDF">
            <w:pPr>
              <w:pStyle w:val="Tabelle-Text"/>
            </w:pPr>
          </w:p>
        </w:tc>
        <w:tc>
          <w:tcPr>
            <w:tcW w:w="851" w:type="dxa"/>
            <w:shd w:val="clear" w:color="auto" w:fill="D6247C"/>
            <w:noWrap/>
            <w:hideMark/>
          </w:tcPr>
          <w:p w14:paraId="3BF682C1" w14:textId="77777777" w:rsidR="00F621EE" w:rsidRPr="00BF007D" w:rsidRDefault="00F621EE" w:rsidP="00B57EDF">
            <w:pPr>
              <w:pStyle w:val="Tabelle-Text"/>
            </w:pPr>
          </w:p>
        </w:tc>
        <w:tc>
          <w:tcPr>
            <w:tcW w:w="7512" w:type="dxa"/>
          </w:tcPr>
          <w:p w14:paraId="6CA8146A" w14:textId="6EEE4350" w:rsidR="00F621EE" w:rsidRPr="009663ED" w:rsidRDefault="00EA4D30" w:rsidP="00B57EDF">
            <w:pPr>
              <w:pStyle w:val="Tabelle-Text"/>
              <w:rPr>
                <w:highlight w:val="yellow"/>
              </w:rPr>
            </w:pPr>
            <w:r w:rsidRPr="008B14A3">
              <w:rPr>
                <w:shd w:val="clear" w:color="auto" w:fill="FFFFFF"/>
              </w:rPr>
              <w:t xml:space="preserve">The in-store food environment is affected by EU, federal and state regulations. Retailers need to comply with all EU and federal food and economic regulations (Article 3(2) EU178/2002 and Art. 74. No. 1 and 20 GG). In addition, the German building and construction law consists of a complex framework of federal and state regulations where the state’s building codes govern the administrative procedures to building permits that include safety and technical requirements (e.g., fire protection) </w:t>
            </w:r>
            <w:r w:rsidRPr="008B14A3">
              <w:rPr>
                <w:shd w:val="clear" w:color="auto" w:fill="FFFFFF"/>
              </w:rPr>
              <w:fldChar w:fldCharType="begin"/>
            </w:r>
            <w:r w:rsidR="00216423">
              <w:rPr>
                <w:shd w:val="clear" w:color="auto" w:fill="FFFFFF"/>
              </w:rPr>
              <w:instrText xml:space="preserve"> ADDIN ZOTERO_ITEM CSL_CITATION {"citationID":"a9uep0dgfe","properties":{"formattedCitation":"[25]","plainCitation":"[25]","noteIndex":0},"citationItems":[{"id":66,"uris":["http://zotero.org/users/5617569/items/MLUMIHBC"],"itemData":{"id":66,"type":"report","number":"WD 7 - 3000 - 084/20","publisher":"Deutscher Bundestag","publisher-place":"Berlin","title":"Die Auswirkung der Grundfläche von Einzelhandelsbetrieben auf deren baurechtliche Genehmigungsfähigkeit im unbeplanten Außenbereich","URL":"https://www.bundestag.de/resource/blob/709638/a03828fa88c53607632adc5aa2d53b86/WD-7-084-20-pdf.pdf","author":[{"family":"Research Services of the Federal Parliament","given":""}],"accessed":{"date-parts":[["2024",4,10]]},"issued":{"date-parts":[["2020"]]}}}],"schema":"https://github.com/citation-style-language/schema/raw/master/csl-citation.json"} </w:instrText>
            </w:r>
            <w:r w:rsidRPr="008B14A3">
              <w:rPr>
                <w:shd w:val="clear" w:color="auto" w:fill="FFFFFF"/>
              </w:rPr>
              <w:fldChar w:fldCharType="separate"/>
            </w:r>
            <w:r w:rsidR="00216423">
              <w:t>[25]</w:t>
            </w:r>
            <w:r w:rsidRPr="008B14A3">
              <w:rPr>
                <w:shd w:val="clear" w:color="auto" w:fill="FFFFFF"/>
              </w:rPr>
              <w:fldChar w:fldCharType="end"/>
            </w:r>
            <w:r w:rsidRPr="008B14A3">
              <w:rPr>
                <w:shd w:val="clear" w:color="auto" w:fill="FFFFFF"/>
              </w:rPr>
              <w:t>. Depending on the policy design, it is assumed that rules on the placement of food products in retail</w:t>
            </w:r>
            <w:r w:rsidR="008B14A3" w:rsidRPr="008B14A3">
              <w:rPr>
                <w:shd w:val="clear" w:color="auto" w:fill="FFFFFF"/>
              </w:rPr>
              <w:t>ers</w:t>
            </w:r>
            <w:r w:rsidRPr="008B14A3">
              <w:rPr>
                <w:shd w:val="clear" w:color="auto" w:fill="FFFFFF"/>
              </w:rPr>
              <w:t xml:space="preserve">, like in Great Britain </w:t>
            </w:r>
            <w:r w:rsidRPr="008B14A3">
              <w:rPr>
                <w:shd w:val="clear" w:color="auto" w:fill="FFFFFF"/>
              </w:rPr>
              <w:fldChar w:fldCharType="begin"/>
            </w:r>
            <w:r w:rsidRPr="008B14A3">
              <w:rPr>
                <w:shd w:val="clear" w:color="auto" w:fill="FFFFFF"/>
              </w:rPr>
              <w:instrText xml:space="preserve"> ADDIN ZOTERO_ITEM CSL_CITATION {"citationID":"a5d1v43p2j","properties":{"formattedCitation":"\\uldash{(1,2)}","plainCitation":"(1,2)","dontUpdate":true,"noteIndex":0},"citationItems":[{"id":963,"uris":["http://zotero.org/users/5617569/items/FPJFXMVU"],"itemData":{"id":963,"type":"article-journal","abstract":"The current food system in England promotes a population diet that is high in fat, sugar and salt (HFSS). To address this, the UK government has implemented legislation to restrict the promotion of HFSS products in prominent locations (e.g. store entrances, checkouts) in qualifying retailers since October 2022. This study investigated the perceived impact of the legislation for affected stakeholders.","container-title":"BMC Medicine","DOI":"10.1186/s12916-023-02726-9","ISSN":"1741-7015","issue":"1","journalAbbreviation":"BMC Medicine","page":"33","source":"BioMed Central","title":"UK government’s new placement legislation is a ‘good first step’: a rapid qualitative analysis of consumer, business, enforcement and health stakeholder perspectives","title-short":"UK government’s new placement legislation is a ‘good first step’","volume":"21","author":[{"family":"Muir","given":"Sarah"},{"family":"Dhuria","given":"Preeti"},{"family":"Roe","given":"Emma"},{"family":"Lawrence","given":"Wendy"},{"family":"Baird","given":"Janis"},{"family":"Vogel","given":"Christina"}],"issued":{"date-parts":[["2023",1,26]]}}},{"id":964,"uris":["http://zotero.org/users/5617569/items/YSWA6X7E"],"itemData":{"id":964,"type":"webpage","language":"en","title":"Restricting promotions of products high in fat, sugar or salt by location and by volume price: implementation guidance","title-short":"Restricting promotions of products high in fat, sugar or salt by location and by volume price","URL":"https://www.gov.uk/government/publications/restricting-promotions-of-products-high-in-fat-sugar-or-salt-by-location-and-by-volume-price/restricting-promotions-of-products-high-in-fat-sugar-or-salt-by-location-and-by-volume-price-implementation-guidance","author":[{"family":"GOV.UK","given":""}],"accessed":{"date-parts":[["2024",4,10]]},"issued":{"date-parts":[["2024"]]}}}],"schema":"https://github.com/citation-style-language/schema/raw/master/csl-citation.json"} </w:instrText>
            </w:r>
            <w:r w:rsidRPr="008B14A3">
              <w:rPr>
                <w:shd w:val="clear" w:color="auto" w:fill="FFFFFF"/>
              </w:rPr>
              <w:fldChar w:fldCharType="separate"/>
            </w:r>
            <w:r w:rsidRPr="008B14A3">
              <w:t>(15,16)</w:t>
            </w:r>
            <w:r w:rsidRPr="008B14A3">
              <w:rPr>
                <w:shd w:val="clear" w:color="auto" w:fill="FFFFFF"/>
              </w:rPr>
              <w:fldChar w:fldCharType="end"/>
            </w:r>
            <w:r w:rsidRPr="008B14A3">
              <w:rPr>
                <w:shd w:val="clear" w:color="auto" w:fill="FFFFFF"/>
              </w:rPr>
              <w:t xml:space="preserve">, could be regulated either in the state building codes or at the federal level within the framework of youth protection (cf. tobacco). Experts therefore assumed legislative </w:t>
            </w:r>
            <w:r w:rsidR="008B14A3">
              <w:rPr>
                <w:shd w:val="clear" w:color="auto" w:fill="FFFFFF"/>
              </w:rPr>
              <w:t xml:space="preserve">competence and </w:t>
            </w:r>
            <w:r w:rsidRPr="008B14A3">
              <w:rPr>
                <w:shd w:val="clear" w:color="auto" w:fill="FFFFFF"/>
              </w:rPr>
              <w:t>powers for the EU, federal and state governments.</w:t>
            </w:r>
          </w:p>
        </w:tc>
      </w:tr>
      <w:tr w:rsidR="00F621EE" w:rsidRPr="00BF007D" w14:paraId="0D77F822" w14:textId="0C02DE83" w:rsidTr="0048409F">
        <w:trPr>
          <w:trHeight w:val="280"/>
        </w:trPr>
        <w:tc>
          <w:tcPr>
            <w:tcW w:w="223" w:type="dxa"/>
            <w:vMerge/>
            <w:noWrap/>
            <w:hideMark/>
          </w:tcPr>
          <w:p w14:paraId="3CA0AB22" w14:textId="77777777" w:rsidR="00F621EE" w:rsidRPr="00E46DA3" w:rsidRDefault="00F621EE" w:rsidP="00B57EDF">
            <w:pPr>
              <w:pStyle w:val="Tabelle-Text"/>
            </w:pPr>
          </w:p>
        </w:tc>
        <w:tc>
          <w:tcPr>
            <w:tcW w:w="1191" w:type="dxa"/>
            <w:vMerge/>
            <w:noWrap/>
            <w:hideMark/>
          </w:tcPr>
          <w:p w14:paraId="7AD20A72" w14:textId="77777777" w:rsidR="00F621EE" w:rsidRPr="00E46DA3" w:rsidRDefault="00F621EE" w:rsidP="00B57EDF">
            <w:pPr>
              <w:pStyle w:val="Tabelle-Text"/>
            </w:pPr>
          </w:p>
        </w:tc>
        <w:tc>
          <w:tcPr>
            <w:tcW w:w="854" w:type="dxa"/>
            <w:noWrap/>
            <w:hideMark/>
          </w:tcPr>
          <w:p w14:paraId="66E7A21C" w14:textId="77777777" w:rsidR="00F621EE" w:rsidRPr="00BF007D" w:rsidRDefault="00F621EE" w:rsidP="00B57EDF">
            <w:pPr>
              <w:pStyle w:val="Tabelle-Text"/>
            </w:pPr>
            <w:r w:rsidRPr="00BF007D">
              <w:t>RETAIL4</w:t>
            </w:r>
          </w:p>
        </w:tc>
        <w:tc>
          <w:tcPr>
            <w:tcW w:w="1276" w:type="dxa"/>
            <w:noWrap/>
            <w:hideMark/>
          </w:tcPr>
          <w:p w14:paraId="5F42FF2F" w14:textId="77777777" w:rsidR="00F621EE" w:rsidRPr="00BF007D" w:rsidRDefault="00F621EE" w:rsidP="00B57EDF">
            <w:pPr>
              <w:pStyle w:val="Tabelle-Text"/>
            </w:pPr>
            <w:r w:rsidRPr="00BF007D">
              <w:t>Food service outlets</w:t>
            </w:r>
          </w:p>
        </w:tc>
        <w:tc>
          <w:tcPr>
            <w:tcW w:w="850" w:type="dxa"/>
            <w:shd w:val="clear" w:color="auto" w:fill="F8B0CD" w:themeFill="background2" w:themeFillTint="66"/>
            <w:noWrap/>
            <w:hideMark/>
          </w:tcPr>
          <w:p w14:paraId="2844A74F" w14:textId="77777777" w:rsidR="00F621EE" w:rsidRPr="00BF007D" w:rsidRDefault="00F621EE" w:rsidP="00B57EDF">
            <w:pPr>
              <w:pStyle w:val="Tabelle-Text"/>
            </w:pPr>
          </w:p>
        </w:tc>
        <w:tc>
          <w:tcPr>
            <w:tcW w:w="851" w:type="dxa"/>
            <w:shd w:val="clear" w:color="auto" w:fill="F8B0CD" w:themeFill="background2" w:themeFillTint="66"/>
            <w:noWrap/>
            <w:hideMark/>
          </w:tcPr>
          <w:p w14:paraId="6CD3577D" w14:textId="77777777" w:rsidR="00F621EE" w:rsidRPr="00BF007D" w:rsidRDefault="00F621EE" w:rsidP="00B57EDF">
            <w:pPr>
              <w:pStyle w:val="Tabelle-Text"/>
            </w:pPr>
          </w:p>
        </w:tc>
        <w:tc>
          <w:tcPr>
            <w:tcW w:w="851" w:type="dxa"/>
            <w:shd w:val="clear" w:color="auto" w:fill="800040"/>
            <w:noWrap/>
            <w:hideMark/>
          </w:tcPr>
          <w:p w14:paraId="02D055CB" w14:textId="77777777" w:rsidR="00F621EE" w:rsidRPr="008B14A3" w:rsidRDefault="00F621EE" w:rsidP="00B57EDF">
            <w:pPr>
              <w:pStyle w:val="Tabelle-Text"/>
            </w:pPr>
          </w:p>
        </w:tc>
        <w:tc>
          <w:tcPr>
            <w:tcW w:w="7512" w:type="dxa"/>
          </w:tcPr>
          <w:p w14:paraId="651F0388" w14:textId="1772597F" w:rsidR="00F621EE" w:rsidRPr="008B14A3" w:rsidRDefault="00EA4D30" w:rsidP="00B57EDF">
            <w:pPr>
              <w:pStyle w:val="Tabelle-Text"/>
            </w:pPr>
            <w:r w:rsidRPr="008B14A3">
              <w:t xml:space="preserve">States hold legislative authority over food service outlets (Art. 74(1) No. 11, GG; see also LABEL4). For example, the Bavarian Health Protection Act (GSG) bans </w:t>
            </w:r>
            <w:r w:rsidRPr="008B14A3">
              <w:lastRenderedPageBreak/>
              <w:t xml:space="preserve">smoking and Baden-Württemberg’s Restaurant Code (LGastG) prohibits marketing alcohol in ways that encourage abuse (Paragraph 2(1) LGastG). Experts therefore assume that states have the primary legislative powers to introduce nutrition-related measures in the food service sector such as in New Orleans (US) where children’s menus need to by default include healthy beverages (e.g., water, unsweetened low-fat milk or plant-based alternatives) </w:t>
            </w:r>
            <w:r w:rsidRPr="008B14A3">
              <w:fldChar w:fldCharType="begin"/>
            </w:r>
            <w:r w:rsidR="00216423">
              <w:instrText xml:space="preserve"> ADDIN ZOTERO_ITEM CSL_CITATION {"citationID":"a1n6d3dn133","properties":{"formattedCitation":"[28]","plainCitation":"[28]","noteIndex":0},"citationItems":[{"id":208,"uris":["http://zotero.org/users/5617569/items/D9PRB2VW"],"itemData":{"id":208,"type":"webpage","title":"Health Policy - Healthy Kids’ Meal Beverage Ordinance Complaints -","URL":"https://nola.gov/health-department/health-policy/healthy-kids%E2%80%99-meal-beverage-ordinance-complaints/","author":[{"family":"City of New Orleans Health Department","given":""}],"accessed":{"date-parts":[["2023",11,8]]},"issued":{"date-parts":[["2023"]]}},"label":"page"}],"schema":"https://github.com/citation-style-language/schema/raw/master/csl-citation.json"} </w:instrText>
            </w:r>
            <w:r w:rsidRPr="008B14A3">
              <w:fldChar w:fldCharType="separate"/>
            </w:r>
            <w:r w:rsidR="00216423">
              <w:t>[28]</w:t>
            </w:r>
            <w:r w:rsidRPr="008B14A3">
              <w:fldChar w:fldCharType="end"/>
            </w:r>
            <w:r w:rsidRPr="008B14A3">
              <w:t>. At the same time restaurants must comply with all EU and federal food and economic laws (</w:t>
            </w:r>
            <w:r w:rsidRPr="008B14A3">
              <w:rPr>
                <w:shd w:val="clear" w:color="auto" w:fill="FFFFFF"/>
              </w:rPr>
              <w:t xml:space="preserve">Article 3(2) EU178/2002 and Art. 74. No. 1 and 20 GG), giving the federal and EU government supporting powers.  </w:t>
            </w:r>
          </w:p>
        </w:tc>
      </w:tr>
      <w:tr w:rsidR="00EA4D30" w:rsidRPr="00BF007D" w14:paraId="74357D86" w14:textId="6E46F7DD" w:rsidTr="00E67C31">
        <w:trPr>
          <w:trHeight w:val="260"/>
        </w:trPr>
        <w:tc>
          <w:tcPr>
            <w:tcW w:w="223" w:type="dxa"/>
            <w:vMerge w:val="restart"/>
            <w:noWrap/>
            <w:hideMark/>
          </w:tcPr>
          <w:p w14:paraId="4E76EA59" w14:textId="77777777" w:rsidR="00EA4D30" w:rsidRPr="00E46DA3" w:rsidRDefault="00EA4D30" w:rsidP="00B57EDF">
            <w:pPr>
              <w:pStyle w:val="Tabelle-Text"/>
            </w:pPr>
            <w:r w:rsidRPr="00E46DA3">
              <w:lastRenderedPageBreak/>
              <w:t>7</w:t>
            </w:r>
          </w:p>
        </w:tc>
        <w:tc>
          <w:tcPr>
            <w:tcW w:w="1191" w:type="dxa"/>
            <w:vMerge w:val="restart"/>
            <w:noWrap/>
            <w:hideMark/>
          </w:tcPr>
          <w:p w14:paraId="43093970" w14:textId="77777777" w:rsidR="00EA4D30" w:rsidRPr="00E46DA3" w:rsidRDefault="00EA4D30" w:rsidP="00B57EDF">
            <w:pPr>
              <w:pStyle w:val="Tabelle-Text"/>
            </w:pPr>
            <w:r w:rsidRPr="00E46DA3">
              <w:t>Food trade and investment</w:t>
            </w:r>
          </w:p>
        </w:tc>
        <w:tc>
          <w:tcPr>
            <w:tcW w:w="854" w:type="dxa"/>
            <w:noWrap/>
            <w:hideMark/>
          </w:tcPr>
          <w:p w14:paraId="53ED671C" w14:textId="77777777" w:rsidR="00EA4D30" w:rsidRPr="00BF007D" w:rsidRDefault="00EA4D30" w:rsidP="00B57EDF">
            <w:pPr>
              <w:pStyle w:val="Tabelle-Text"/>
            </w:pPr>
            <w:r w:rsidRPr="00BF007D">
              <w:t>TRADE1</w:t>
            </w:r>
          </w:p>
        </w:tc>
        <w:tc>
          <w:tcPr>
            <w:tcW w:w="1276" w:type="dxa"/>
            <w:noWrap/>
            <w:hideMark/>
          </w:tcPr>
          <w:p w14:paraId="55998CD0" w14:textId="77777777" w:rsidR="00EA4D30" w:rsidRPr="00BF007D" w:rsidRDefault="00EA4D30" w:rsidP="00B57EDF">
            <w:pPr>
              <w:pStyle w:val="Tabelle-Text"/>
            </w:pPr>
            <w:r w:rsidRPr="00BF007D">
              <w:t>Risk impact assessments</w:t>
            </w:r>
          </w:p>
        </w:tc>
        <w:tc>
          <w:tcPr>
            <w:tcW w:w="850" w:type="dxa"/>
            <w:shd w:val="clear" w:color="auto" w:fill="800040"/>
            <w:noWrap/>
            <w:hideMark/>
          </w:tcPr>
          <w:p w14:paraId="7EBBFA20" w14:textId="77777777" w:rsidR="00EA4D30" w:rsidRPr="00BF007D" w:rsidRDefault="00EA4D30" w:rsidP="00B57EDF">
            <w:pPr>
              <w:pStyle w:val="Tabelle-Text"/>
            </w:pPr>
          </w:p>
        </w:tc>
        <w:tc>
          <w:tcPr>
            <w:tcW w:w="851" w:type="dxa"/>
            <w:noWrap/>
            <w:hideMark/>
          </w:tcPr>
          <w:p w14:paraId="0C77936A" w14:textId="77777777" w:rsidR="00EA4D30" w:rsidRPr="00BF007D" w:rsidRDefault="00EA4D30" w:rsidP="00B57EDF">
            <w:pPr>
              <w:pStyle w:val="Tabelle-Text"/>
            </w:pPr>
          </w:p>
        </w:tc>
        <w:tc>
          <w:tcPr>
            <w:tcW w:w="851" w:type="dxa"/>
            <w:noWrap/>
            <w:hideMark/>
          </w:tcPr>
          <w:p w14:paraId="625F11A9" w14:textId="77777777" w:rsidR="00EA4D30" w:rsidRPr="008B14A3" w:rsidRDefault="00EA4D30" w:rsidP="00B57EDF">
            <w:pPr>
              <w:pStyle w:val="Tabelle-Text"/>
            </w:pPr>
          </w:p>
        </w:tc>
        <w:tc>
          <w:tcPr>
            <w:tcW w:w="7512" w:type="dxa"/>
            <w:vMerge w:val="restart"/>
          </w:tcPr>
          <w:p w14:paraId="339FD1D9" w14:textId="68DAC4F2" w:rsidR="00EA4D30" w:rsidRPr="008B14A3" w:rsidRDefault="00EA4D30" w:rsidP="00B57EDF">
            <w:pPr>
              <w:pStyle w:val="Tabelle-Text"/>
            </w:pPr>
            <w:r w:rsidRPr="008B14A3">
              <w:rPr>
                <w:shd w:val="clear" w:color="auto" w:fill="FFFFFF"/>
              </w:rPr>
              <w:t>Trade (incl. trade and investment agreements) is an exclusive competence of the EU (Art. 206(1), 207(1) TFEU). Thus, only the EU may negotiate new agreements, although bilateral investment agreements concluded by Member States before 2009 remain valid. In so-called mixed agreements, which cover competences of the Member States, national parliaments must grant approval. In Germany, this means that trade agreements affecting state competence</w:t>
            </w:r>
            <w:r w:rsidR="008B14A3" w:rsidRPr="008B14A3">
              <w:rPr>
                <w:shd w:val="clear" w:color="auto" w:fill="FFFFFF"/>
              </w:rPr>
              <w:t>s</w:t>
            </w:r>
            <w:r w:rsidRPr="008B14A3">
              <w:rPr>
                <w:shd w:val="clear" w:color="auto" w:fill="FFFFFF"/>
              </w:rPr>
              <w:t xml:space="preserve"> require approval by the Federal Council (e.g., the Federal Council approved parts of the European Free Trade Agreement with Canada (CETA) in December 2022). </w:t>
            </w:r>
          </w:p>
        </w:tc>
      </w:tr>
      <w:tr w:rsidR="00EA4D30" w:rsidRPr="00BF007D" w14:paraId="7896AF16" w14:textId="271F480B" w:rsidTr="00E67C31">
        <w:trPr>
          <w:trHeight w:val="280"/>
        </w:trPr>
        <w:tc>
          <w:tcPr>
            <w:tcW w:w="223" w:type="dxa"/>
            <w:vMerge/>
            <w:noWrap/>
            <w:hideMark/>
          </w:tcPr>
          <w:p w14:paraId="431D648E" w14:textId="77777777" w:rsidR="00EA4D30" w:rsidRPr="00E46DA3" w:rsidRDefault="00EA4D30" w:rsidP="00B57EDF">
            <w:pPr>
              <w:pStyle w:val="Tabelle-Text"/>
            </w:pPr>
          </w:p>
        </w:tc>
        <w:tc>
          <w:tcPr>
            <w:tcW w:w="1191" w:type="dxa"/>
            <w:vMerge/>
            <w:noWrap/>
            <w:hideMark/>
          </w:tcPr>
          <w:p w14:paraId="59A7848F" w14:textId="77777777" w:rsidR="00EA4D30" w:rsidRPr="00E46DA3" w:rsidRDefault="00EA4D30" w:rsidP="00B57EDF">
            <w:pPr>
              <w:pStyle w:val="Tabelle-Text"/>
            </w:pPr>
          </w:p>
        </w:tc>
        <w:tc>
          <w:tcPr>
            <w:tcW w:w="854" w:type="dxa"/>
            <w:noWrap/>
            <w:hideMark/>
          </w:tcPr>
          <w:p w14:paraId="0A954E26" w14:textId="77777777" w:rsidR="00EA4D30" w:rsidRPr="00BF007D" w:rsidRDefault="00EA4D30" w:rsidP="00B57EDF">
            <w:pPr>
              <w:pStyle w:val="Tabelle-Text"/>
            </w:pPr>
            <w:r w:rsidRPr="00BF007D">
              <w:t>TRADE2</w:t>
            </w:r>
          </w:p>
        </w:tc>
        <w:tc>
          <w:tcPr>
            <w:tcW w:w="1276" w:type="dxa"/>
            <w:noWrap/>
            <w:hideMark/>
          </w:tcPr>
          <w:p w14:paraId="1CE3C65F" w14:textId="77777777" w:rsidR="00EA4D30" w:rsidRPr="00BF007D" w:rsidRDefault="00EA4D30" w:rsidP="00B57EDF">
            <w:pPr>
              <w:pStyle w:val="Tabelle-Text"/>
            </w:pPr>
            <w:r>
              <w:t>Protect regulatory capacity</w:t>
            </w:r>
          </w:p>
        </w:tc>
        <w:tc>
          <w:tcPr>
            <w:tcW w:w="850" w:type="dxa"/>
            <w:shd w:val="clear" w:color="auto" w:fill="800040"/>
            <w:noWrap/>
            <w:hideMark/>
          </w:tcPr>
          <w:p w14:paraId="693DF7B0" w14:textId="77777777" w:rsidR="00EA4D30" w:rsidRPr="00BF007D" w:rsidRDefault="00EA4D30" w:rsidP="00B57EDF">
            <w:pPr>
              <w:pStyle w:val="Tabelle-Text"/>
            </w:pPr>
          </w:p>
        </w:tc>
        <w:tc>
          <w:tcPr>
            <w:tcW w:w="851" w:type="dxa"/>
            <w:noWrap/>
            <w:hideMark/>
          </w:tcPr>
          <w:p w14:paraId="0953F83A" w14:textId="77777777" w:rsidR="00EA4D30" w:rsidRPr="00BF007D" w:rsidRDefault="00EA4D30" w:rsidP="00B57EDF">
            <w:pPr>
              <w:pStyle w:val="Tabelle-Text"/>
            </w:pPr>
          </w:p>
        </w:tc>
        <w:tc>
          <w:tcPr>
            <w:tcW w:w="851" w:type="dxa"/>
            <w:noWrap/>
            <w:hideMark/>
          </w:tcPr>
          <w:p w14:paraId="75668203" w14:textId="77777777" w:rsidR="00EA4D30" w:rsidRPr="00BF007D" w:rsidRDefault="00EA4D30" w:rsidP="00B57EDF">
            <w:pPr>
              <w:pStyle w:val="Tabelle-Text"/>
            </w:pPr>
          </w:p>
        </w:tc>
        <w:tc>
          <w:tcPr>
            <w:tcW w:w="7512" w:type="dxa"/>
            <w:vMerge/>
          </w:tcPr>
          <w:p w14:paraId="761B983F" w14:textId="77777777" w:rsidR="00EA4D30" w:rsidRPr="009663ED" w:rsidRDefault="00EA4D30" w:rsidP="00B57EDF">
            <w:pPr>
              <w:pStyle w:val="Tabelle-Text"/>
              <w:rPr>
                <w:highlight w:val="yellow"/>
              </w:rPr>
            </w:pPr>
          </w:p>
        </w:tc>
      </w:tr>
      <w:tr w:rsidR="00F621EE" w:rsidRPr="00BF007D" w14:paraId="4D3E5105" w14:textId="49E848A4" w:rsidTr="0048409F">
        <w:trPr>
          <w:trHeight w:val="280"/>
        </w:trPr>
        <w:tc>
          <w:tcPr>
            <w:tcW w:w="223" w:type="dxa"/>
            <w:noWrap/>
            <w:hideMark/>
          </w:tcPr>
          <w:p w14:paraId="47C7E4E4" w14:textId="77777777" w:rsidR="00F621EE" w:rsidRPr="00E46DA3" w:rsidRDefault="00F621EE" w:rsidP="00B57EDF">
            <w:pPr>
              <w:pStyle w:val="Tabelle-Text"/>
            </w:pPr>
            <w:r w:rsidRPr="00E46DA3">
              <w:t>8</w:t>
            </w:r>
          </w:p>
        </w:tc>
        <w:tc>
          <w:tcPr>
            <w:tcW w:w="1191" w:type="dxa"/>
            <w:noWrap/>
            <w:hideMark/>
          </w:tcPr>
          <w:p w14:paraId="5AA4C915" w14:textId="77777777" w:rsidR="00F621EE" w:rsidRPr="00E46DA3" w:rsidRDefault="00F621EE" w:rsidP="00B57EDF">
            <w:pPr>
              <w:pStyle w:val="Tabelle-Text"/>
            </w:pPr>
            <w:r w:rsidRPr="00E46DA3">
              <w:t>Food waste</w:t>
            </w:r>
          </w:p>
        </w:tc>
        <w:tc>
          <w:tcPr>
            <w:tcW w:w="854" w:type="dxa"/>
            <w:noWrap/>
            <w:hideMark/>
          </w:tcPr>
          <w:p w14:paraId="7EC304B0" w14:textId="77777777" w:rsidR="00F621EE" w:rsidRPr="00BF007D" w:rsidRDefault="00F621EE" w:rsidP="00B57EDF">
            <w:pPr>
              <w:pStyle w:val="Tabelle-Text"/>
            </w:pPr>
            <w:r>
              <w:t>WAST</w:t>
            </w:r>
            <w:r w:rsidRPr="00BF007D">
              <w:t>1</w:t>
            </w:r>
          </w:p>
        </w:tc>
        <w:tc>
          <w:tcPr>
            <w:tcW w:w="1276" w:type="dxa"/>
            <w:noWrap/>
            <w:hideMark/>
          </w:tcPr>
          <w:p w14:paraId="1A97E0E1" w14:textId="77777777" w:rsidR="00F621EE" w:rsidRPr="00BF007D" w:rsidRDefault="00F621EE" w:rsidP="00B57EDF">
            <w:pPr>
              <w:pStyle w:val="Tabelle-Text"/>
            </w:pPr>
            <w:r w:rsidRPr="00BF007D">
              <w:t>Food waste</w:t>
            </w:r>
          </w:p>
        </w:tc>
        <w:tc>
          <w:tcPr>
            <w:tcW w:w="850" w:type="dxa"/>
            <w:shd w:val="clear" w:color="auto" w:fill="800040"/>
            <w:noWrap/>
            <w:hideMark/>
          </w:tcPr>
          <w:p w14:paraId="4F9AE4D7" w14:textId="77777777" w:rsidR="00F621EE" w:rsidRPr="00BF007D" w:rsidRDefault="00F621EE" w:rsidP="00B57EDF">
            <w:pPr>
              <w:pStyle w:val="Tabelle-Text"/>
            </w:pPr>
          </w:p>
        </w:tc>
        <w:tc>
          <w:tcPr>
            <w:tcW w:w="851" w:type="dxa"/>
            <w:shd w:val="clear" w:color="auto" w:fill="F8B0CD" w:themeFill="background2" w:themeFillTint="66"/>
            <w:noWrap/>
            <w:hideMark/>
          </w:tcPr>
          <w:p w14:paraId="0449E26D" w14:textId="77777777" w:rsidR="00F621EE" w:rsidRPr="00BF007D" w:rsidRDefault="00F621EE" w:rsidP="00B57EDF">
            <w:pPr>
              <w:pStyle w:val="Tabelle-Text"/>
            </w:pPr>
          </w:p>
        </w:tc>
        <w:tc>
          <w:tcPr>
            <w:tcW w:w="851" w:type="dxa"/>
            <w:shd w:val="clear" w:color="auto" w:fill="F8B0CD" w:themeFill="background2" w:themeFillTint="66"/>
            <w:noWrap/>
            <w:hideMark/>
          </w:tcPr>
          <w:p w14:paraId="21802CAB" w14:textId="77777777" w:rsidR="00F621EE" w:rsidRPr="00BF007D" w:rsidRDefault="00F621EE" w:rsidP="00B57EDF">
            <w:pPr>
              <w:pStyle w:val="Tabelle-Text"/>
            </w:pPr>
          </w:p>
        </w:tc>
        <w:tc>
          <w:tcPr>
            <w:tcW w:w="7512" w:type="dxa"/>
          </w:tcPr>
          <w:p w14:paraId="6F37889A" w14:textId="3D40711B" w:rsidR="00F621EE" w:rsidRPr="009663ED" w:rsidRDefault="00EA4D30" w:rsidP="00B57EDF">
            <w:pPr>
              <w:pStyle w:val="Tabelle-Text"/>
              <w:rPr>
                <w:highlight w:val="yellow"/>
              </w:rPr>
            </w:pPr>
            <w:r w:rsidRPr="00235FDC">
              <w:rPr>
                <w:shd w:val="clear" w:color="auto" w:fill="FFFFFF"/>
              </w:rPr>
              <w:t>The EU Waste Framework Directive (2008/98/EC) harmonizes rules</w:t>
            </w:r>
            <w:r w:rsidR="00235FDC" w:rsidRPr="00235FDC">
              <w:rPr>
                <w:shd w:val="clear" w:color="auto" w:fill="FFFFFF"/>
              </w:rPr>
              <w:t xml:space="preserve"> and</w:t>
            </w:r>
            <w:r w:rsidRPr="00235FDC">
              <w:rPr>
                <w:shd w:val="clear" w:color="auto" w:fill="FFFFFF"/>
              </w:rPr>
              <w:t xml:space="preserve"> </w:t>
            </w:r>
            <w:r w:rsidR="00235FDC" w:rsidRPr="00235FDC">
              <w:rPr>
                <w:shd w:val="clear" w:color="auto" w:fill="FFFFFF"/>
              </w:rPr>
              <w:t xml:space="preserve">establishes </w:t>
            </w:r>
            <w:r w:rsidRPr="00235FDC">
              <w:rPr>
                <w:shd w:val="clear" w:color="auto" w:fill="FFFFFF"/>
              </w:rPr>
              <w:t>common principles such as waste hierarchies that apply to the food supply chain across the EU. EU Directives implemented by Member States in national laws (e.g., Germany’s Circular Economy Act (KrWG)). German states may enact supplementary legislation to address regional needs (e.g., Bavarian Waste Management Act (BayAbfG). All levels of government may initiate voluntary programs to reduce food waste (e.g., linking local supermarkets with food banks).</w:t>
            </w:r>
          </w:p>
        </w:tc>
      </w:tr>
    </w:tbl>
    <w:p w14:paraId="689F4A9E" w14:textId="77777777" w:rsidR="00383F76" w:rsidRDefault="00383F76" w:rsidP="005F23E9">
      <w:pPr>
        <w:pStyle w:val="Beschriftung"/>
      </w:pPr>
      <w:bookmarkStart w:id="45" w:name="_Ref193997143"/>
    </w:p>
    <w:p w14:paraId="5CF1E2F6" w14:textId="77777777" w:rsidR="00383F76" w:rsidRDefault="00383F76">
      <w:pPr>
        <w:spacing w:after="160" w:line="259" w:lineRule="auto"/>
        <w:rPr>
          <w:i/>
          <w:iCs/>
          <w:color w:val="151E1F"/>
        </w:rPr>
      </w:pPr>
      <w:r>
        <w:br w:type="page"/>
      </w:r>
    </w:p>
    <w:p w14:paraId="29031325" w14:textId="128DC936" w:rsidR="005F23E9" w:rsidRDefault="001364CA" w:rsidP="005F23E9">
      <w:pPr>
        <w:pStyle w:val="Beschriftung"/>
      </w:pPr>
      <w:bookmarkStart w:id="46" w:name="_Toc222325235"/>
      <w:r w:rsidRPr="00B80FA8">
        <w:lastRenderedPageBreak/>
        <w:t xml:space="preserve">Table </w:t>
      </w:r>
      <w:r w:rsidR="00672F33">
        <w:fldChar w:fldCharType="begin"/>
      </w:r>
      <w:r w:rsidR="00672F33">
        <w:instrText xml:space="preserve"> SEQ Table \* ARABIC </w:instrText>
      </w:r>
      <w:r w:rsidR="00672F33">
        <w:fldChar w:fldCharType="separate"/>
      </w:r>
      <w:r w:rsidR="00901762">
        <w:rPr>
          <w:noProof/>
        </w:rPr>
        <w:t>11</w:t>
      </w:r>
      <w:r w:rsidR="00672F33">
        <w:rPr>
          <w:noProof/>
        </w:rPr>
        <w:fldChar w:fldCharType="end"/>
      </w:r>
      <w:bookmarkEnd w:id="45"/>
      <w:r w:rsidRPr="00B80FA8">
        <w:t xml:space="preserve"> </w:t>
      </w:r>
      <w:r w:rsidR="00A43328">
        <w:t>Competence and l</w:t>
      </w:r>
      <w:r w:rsidR="00A43328" w:rsidRPr="00B80FA8">
        <w:t>egislative power</w:t>
      </w:r>
      <w:r w:rsidR="00383F76">
        <w:t>: Infrastructure</w:t>
      </w:r>
      <w:r w:rsidRPr="00B80FA8">
        <w:t xml:space="preserve"> support</w:t>
      </w:r>
      <w:bookmarkEnd w:id="46"/>
    </w:p>
    <w:tbl>
      <w:tblPr>
        <w:tblStyle w:val="Tabellenraster1"/>
        <w:tblW w:w="3108" w:type="pct"/>
        <w:tblInd w:w="5171" w:type="dxa"/>
        <w:tblBorders>
          <w:top w:val="single" w:sz="4" w:space="0" w:color="181C62" w:themeColor="text1"/>
          <w:left w:val="single" w:sz="4" w:space="0" w:color="181C62" w:themeColor="text1"/>
          <w:bottom w:val="single" w:sz="4" w:space="0" w:color="181C62" w:themeColor="text1"/>
          <w:right w:val="single" w:sz="4" w:space="0" w:color="181C62" w:themeColor="text1"/>
          <w:insideH w:val="single" w:sz="4" w:space="0" w:color="181C62" w:themeColor="text1"/>
          <w:insideV w:val="single" w:sz="4" w:space="0" w:color="181C62" w:themeColor="text1"/>
        </w:tblBorders>
        <w:tblLook w:val="04A0" w:firstRow="1" w:lastRow="0" w:firstColumn="1" w:lastColumn="0" w:noHBand="0" w:noVBand="1"/>
      </w:tblPr>
      <w:tblGrid>
        <w:gridCol w:w="2250"/>
        <w:gridCol w:w="1271"/>
        <w:gridCol w:w="1199"/>
        <w:gridCol w:w="1626"/>
        <w:gridCol w:w="2149"/>
      </w:tblGrid>
      <w:tr w:rsidR="00E67C31" w:rsidRPr="001B2A74" w14:paraId="7D9799AB" w14:textId="77777777" w:rsidTr="0048409F">
        <w:trPr>
          <w:trHeight w:val="304"/>
        </w:trPr>
        <w:tc>
          <w:tcPr>
            <w:tcW w:w="1324"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48" w:space="0" w:color="890B3E" w:themeColor="background2" w:themeShade="80"/>
            </w:tcBorders>
            <w:noWrap/>
          </w:tcPr>
          <w:p w14:paraId="41A7C48E" w14:textId="77777777" w:rsidR="00E67C31" w:rsidRPr="001B2A74" w:rsidRDefault="00E67C31" w:rsidP="00B57EDF">
            <w:pPr>
              <w:pStyle w:val="Tabelle-berschrift"/>
            </w:pPr>
            <w:r w:rsidRPr="005F23E9">
              <w:t xml:space="preserve">Competence / Power:    </w:t>
            </w:r>
          </w:p>
        </w:tc>
        <w:tc>
          <w:tcPr>
            <w:tcW w:w="748" w:type="pct"/>
            <w:tcBorders>
              <w:top w:val="single" w:sz="8" w:space="0" w:color="D9D9D9" w:themeColor="background1" w:themeShade="D9"/>
              <w:left w:val="single" w:sz="48" w:space="0" w:color="890B3E" w:themeColor="background2" w:themeShade="80"/>
              <w:bottom w:val="single" w:sz="8" w:space="0" w:color="D9D9D9" w:themeColor="background1" w:themeShade="D9"/>
              <w:right w:val="single" w:sz="48" w:space="0" w:color="EF3A84" w:themeColor="background2"/>
            </w:tcBorders>
            <w:noWrap/>
          </w:tcPr>
          <w:p w14:paraId="5C2C45FD" w14:textId="77777777" w:rsidR="00E67C31" w:rsidRPr="001B2A74" w:rsidRDefault="00E67C31" w:rsidP="00B57EDF">
            <w:pPr>
              <w:pStyle w:val="Tabelle-berschrift"/>
            </w:pPr>
            <w:r w:rsidRPr="001B2A74">
              <w:t>Primary</w:t>
            </w:r>
          </w:p>
        </w:tc>
        <w:tc>
          <w:tcPr>
            <w:tcW w:w="706" w:type="pct"/>
            <w:tcBorders>
              <w:top w:val="single" w:sz="8" w:space="0" w:color="D9D9D9" w:themeColor="background1" w:themeShade="D9"/>
              <w:left w:val="single" w:sz="48" w:space="0" w:color="EF3A84" w:themeColor="background2"/>
              <w:bottom w:val="single" w:sz="8" w:space="0" w:color="D9D9D9" w:themeColor="background1" w:themeShade="D9"/>
              <w:right w:val="single" w:sz="48" w:space="0" w:color="F8B0CD" w:themeColor="background2" w:themeTint="66"/>
            </w:tcBorders>
            <w:noWrap/>
          </w:tcPr>
          <w:p w14:paraId="2985E2EA" w14:textId="77777777" w:rsidR="00E67C31" w:rsidRPr="001B2A74" w:rsidRDefault="00E67C31" w:rsidP="00B57EDF">
            <w:pPr>
              <w:pStyle w:val="Tabelle-berschrift"/>
            </w:pPr>
            <w:r w:rsidRPr="001B2A74">
              <w:t>Shared</w:t>
            </w:r>
          </w:p>
        </w:tc>
        <w:tc>
          <w:tcPr>
            <w:tcW w:w="957" w:type="pct"/>
            <w:tcBorders>
              <w:top w:val="single" w:sz="8" w:space="0" w:color="D9D9D9" w:themeColor="background1" w:themeShade="D9"/>
              <w:left w:val="single" w:sz="48" w:space="0" w:color="F8B0CD" w:themeColor="background2" w:themeTint="66"/>
              <w:bottom w:val="single" w:sz="8" w:space="0" w:color="D9D9D9" w:themeColor="background1" w:themeShade="D9"/>
              <w:right w:val="nil"/>
            </w:tcBorders>
            <w:noWrap/>
          </w:tcPr>
          <w:p w14:paraId="105EE2FC" w14:textId="77777777" w:rsidR="00E67C31" w:rsidRPr="001B2A74" w:rsidRDefault="00E67C31" w:rsidP="00B57EDF">
            <w:pPr>
              <w:pStyle w:val="Tabelle-berschrift"/>
            </w:pPr>
            <w:r w:rsidRPr="001B2A74">
              <w:t>Supporting</w:t>
            </w:r>
          </w:p>
        </w:tc>
        <w:tc>
          <w:tcPr>
            <w:tcW w:w="1265" w:type="pct"/>
            <w:tcBorders>
              <w:top w:val="single" w:sz="8" w:space="0" w:color="D9D9D9" w:themeColor="background1" w:themeShade="D9"/>
              <w:left w:val="nil"/>
              <w:bottom w:val="single" w:sz="8" w:space="0" w:color="D9D9D9" w:themeColor="background1" w:themeShade="D9"/>
              <w:right w:val="single" w:sz="8" w:space="0" w:color="D9D9D9" w:themeColor="background1" w:themeShade="D9"/>
            </w:tcBorders>
            <w:noWrap/>
          </w:tcPr>
          <w:p w14:paraId="233684F6" w14:textId="77777777" w:rsidR="00E67C31" w:rsidRPr="001B2A74" w:rsidRDefault="00E67C31" w:rsidP="00B57EDF">
            <w:pPr>
              <w:pStyle w:val="Tabelle-berschrift"/>
            </w:pPr>
            <w:r w:rsidRPr="001B2A74">
              <w:t>No/very limited</w:t>
            </w:r>
          </w:p>
        </w:tc>
      </w:tr>
    </w:tbl>
    <w:p w14:paraId="0B925F05" w14:textId="77777777" w:rsidR="005F23E9" w:rsidRPr="005F23E9" w:rsidRDefault="005F23E9" w:rsidP="005F23E9"/>
    <w:tbl>
      <w:tblPr>
        <w:tblStyle w:val="Tabellenraster"/>
        <w:tblW w:w="5000" w:type="pct"/>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ook w:val="04A0" w:firstRow="1" w:lastRow="0" w:firstColumn="1" w:lastColumn="0" w:noHBand="0" w:noVBand="1"/>
      </w:tblPr>
      <w:tblGrid>
        <w:gridCol w:w="407"/>
        <w:gridCol w:w="1204"/>
        <w:gridCol w:w="1024"/>
        <w:gridCol w:w="1484"/>
        <w:gridCol w:w="854"/>
        <w:gridCol w:w="857"/>
        <w:gridCol w:w="862"/>
        <w:gridCol w:w="6994"/>
      </w:tblGrid>
      <w:tr w:rsidR="00941F20" w:rsidRPr="00B44BA8" w14:paraId="43363E38" w14:textId="77777777" w:rsidTr="00941F20">
        <w:trPr>
          <w:cnfStyle w:val="100000000000" w:firstRow="1" w:lastRow="0" w:firstColumn="0" w:lastColumn="0" w:oddVBand="0" w:evenVBand="0" w:oddHBand="0" w:evenHBand="0" w:firstRowFirstColumn="0" w:firstRowLastColumn="0" w:lastRowFirstColumn="0" w:lastRowLastColumn="0"/>
          <w:trHeight w:val="20"/>
          <w:tblHeader/>
        </w:trPr>
        <w:tc>
          <w:tcPr>
            <w:tcW w:w="1505" w:type="pct"/>
            <w:gridSpan w:val="4"/>
            <w:shd w:val="clear" w:color="auto" w:fill="F2F2F2" w:themeFill="background1" w:themeFillShade="F2"/>
          </w:tcPr>
          <w:p w14:paraId="4624D61B" w14:textId="30266B52" w:rsidR="00941F20" w:rsidRPr="00B44BA8" w:rsidRDefault="00941F20" w:rsidP="001E40B4">
            <w:pPr>
              <w:pStyle w:val="Tabelle-Text"/>
              <w:rPr>
                <w:lang w:val="de-DE"/>
              </w:rPr>
            </w:pPr>
          </w:p>
        </w:tc>
        <w:tc>
          <w:tcPr>
            <w:tcW w:w="940" w:type="pct"/>
            <w:gridSpan w:val="3"/>
            <w:shd w:val="clear" w:color="auto" w:fill="F2F2F2" w:themeFill="background1" w:themeFillShade="F2"/>
            <w:noWrap/>
            <w:hideMark/>
          </w:tcPr>
          <w:p w14:paraId="2A13E679" w14:textId="563D0C1D" w:rsidR="00941F20" w:rsidRPr="00B44BA8" w:rsidRDefault="00941F20" w:rsidP="001E40B4">
            <w:pPr>
              <w:pStyle w:val="Tabelle-Text"/>
            </w:pPr>
            <w:r>
              <w:t>P</w:t>
            </w:r>
            <w:r w:rsidRPr="00B44BA8">
              <w:t>ower</w:t>
            </w:r>
          </w:p>
        </w:tc>
        <w:tc>
          <w:tcPr>
            <w:tcW w:w="2555" w:type="pct"/>
            <w:shd w:val="clear" w:color="auto" w:fill="F2F2F2" w:themeFill="background1" w:themeFillShade="F2"/>
            <w:noWrap/>
            <w:hideMark/>
          </w:tcPr>
          <w:p w14:paraId="587D6B86" w14:textId="77777777" w:rsidR="00941F20" w:rsidRPr="00B44BA8" w:rsidRDefault="00941F20" w:rsidP="001E40B4">
            <w:pPr>
              <w:pStyle w:val="Tabelle-Text"/>
            </w:pPr>
            <w:r w:rsidRPr="00B44BA8">
              <w:t> </w:t>
            </w:r>
          </w:p>
        </w:tc>
      </w:tr>
      <w:tr w:rsidR="00E67C31" w:rsidRPr="00B44BA8" w14:paraId="31010EB4" w14:textId="77777777" w:rsidTr="00941F20">
        <w:trPr>
          <w:cnfStyle w:val="100000000000" w:firstRow="1" w:lastRow="0" w:firstColumn="0" w:lastColumn="0" w:oddVBand="0" w:evenVBand="0" w:oddHBand="0" w:evenHBand="0" w:firstRowFirstColumn="0" w:firstRowLastColumn="0" w:lastRowFirstColumn="0" w:lastRowLastColumn="0"/>
          <w:trHeight w:val="20"/>
          <w:tblHeader/>
        </w:trPr>
        <w:tc>
          <w:tcPr>
            <w:tcW w:w="149" w:type="pct"/>
            <w:shd w:val="clear" w:color="auto" w:fill="F2F2F2" w:themeFill="background1" w:themeFillShade="F2"/>
            <w:hideMark/>
          </w:tcPr>
          <w:p w14:paraId="2E0CC0AA" w14:textId="3FD319CE" w:rsidR="00E67C31" w:rsidRPr="00B44BA8" w:rsidRDefault="00E67C31" w:rsidP="001E40B4">
            <w:pPr>
              <w:pStyle w:val="Tabelle-Text"/>
              <w:rPr>
                <w:b w:val="0"/>
              </w:rPr>
            </w:pPr>
            <w:r>
              <w:t>#</w:t>
            </w:r>
          </w:p>
        </w:tc>
        <w:tc>
          <w:tcPr>
            <w:tcW w:w="440" w:type="pct"/>
            <w:shd w:val="clear" w:color="auto" w:fill="F2F2F2" w:themeFill="background1" w:themeFillShade="F2"/>
          </w:tcPr>
          <w:p w14:paraId="5669E558" w14:textId="2104ADC7" w:rsidR="00E67C31" w:rsidRPr="00B44BA8" w:rsidRDefault="00E67C31" w:rsidP="001E40B4">
            <w:pPr>
              <w:pStyle w:val="Tabelle-Text"/>
            </w:pPr>
            <w:r>
              <w:t>Domain</w:t>
            </w:r>
          </w:p>
        </w:tc>
        <w:tc>
          <w:tcPr>
            <w:tcW w:w="916" w:type="pct"/>
            <w:gridSpan w:val="2"/>
            <w:shd w:val="clear" w:color="auto" w:fill="F2F2F2" w:themeFill="background1" w:themeFillShade="F2"/>
          </w:tcPr>
          <w:p w14:paraId="42B8E4B0" w14:textId="2F7C2255" w:rsidR="00E67C31" w:rsidRPr="00B44BA8" w:rsidRDefault="00E67C31" w:rsidP="001E40B4">
            <w:pPr>
              <w:pStyle w:val="Tabelle-Text"/>
              <w:rPr>
                <w:b w:val="0"/>
              </w:rPr>
            </w:pPr>
            <w:r w:rsidRPr="00B44BA8">
              <w:t>Indicator</w:t>
            </w:r>
          </w:p>
        </w:tc>
        <w:tc>
          <w:tcPr>
            <w:tcW w:w="312" w:type="pct"/>
            <w:shd w:val="clear" w:color="auto" w:fill="F2F2F2" w:themeFill="background1" w:themeFillShade="F2"/>
            <w:hideMark/>
          </w:tcPr>
          <w:p w14:paraId="2A93E766" w14:textId="77777777" w:rsidR="00E67C31" w:rsidRPr="00B44BA8" w:rsidRDefault="00E67C31" w:rsidP="001E40B4">
            <w:pPr>
              <w:pStyle w:val="Tabelle-Text"/>
              <w:rPr>
                <w:b w:val="0"/>
              </w:rPr>
            </w:pPr>
            <w:r w:rsidRPr="00B44BA8">
              <w:t>EU</w:t>
            </w:r>
          </w:p>
        </w:tc>
        <w:tc>
          <w:tcPr>
            <w:tcW w:w="313" w:type="pct"/>
            <w:shd w:val="clear" w:color="auto" w:fill="F2F2F2" w:themeFill="background1" w:themeFillShade="F2"/>
            <w:hideMark/>
          </w:tcPr>
          <w:p w14:paraId="07210D4C" w14:textId="459DD10D" w:rsidR="00E67C31" w:rsidRPr="00B44BA8" w:rsidRDefault="00E67C31" w:rsidP="001E40B4">
            <w:pPr>
              <w:pStyle w:val="Tabelle-Text"/>
              <w:rPr>
                <w:b w:val="0"/>
              </w:rPr>
            </w:pPr>
            <w:r w:rsidRPr="00B44BA8">
              <w:t>Federal</w:t>
            </w:r>
          </w:p>
        </w:tc>
        <w:tc>
          <w:tcPr>
            <w:tcW w:w="315" w:type="pct"/>
            <w:shd w:val="clear" w:color="auto" w:fill="F2F2F2" w:themeFill="background1" w:themeFillShade="F2"/>
            <w:hideMark/>
          </w:tcPr>
          <w:p w14:paraId="1A07DCE7" w14:textId="529A85D7" w:rsidR="00E67C31" w:rsidRPr="00B44BA8" w:rsidRDefault="00E67C31" w:rsidP="001E40B4">
            <w:pPr>
              <w:pStyle w:val="Tabelle-Text"/>
              <w:rPr>
                <w:b w:val="0"/>
              </w:rPr>
            </w:pPr>
            <w:r w:rsidRPr="00B44BA8">
              <w:t>States</w:t>
            </w:r>
          </w:p>
        </w:tc>
        <w:tc>
          <w:tcPr>
            <w:tcW w:w="2555" w:type="pct"/>
            <w:shd w:val="clear" w:color="auto" w:fill="F2F2F2" w:themeFill="background1" w:themeFillShade="F2"/>
            <w:hideMark/>
          </w:tcPr>
          <w:p w14:paraId="3AB2378D" w14:textId="6981F4D0" w:rsidR="00E67C31" w:rsidRPr="00B44BA8" w:rsidRDefault="00E67C31" w:rsidP="001E40B4">
            <w:pPr>
              <w:pStyle w:val="Tabelle-Text"/>
              <w:rPr>
                <w:b w:val="0"/>
              </w:rPr>
            </w:pPr>
            <w:r w:rsidRPr="00B44BA8">
              <w:t>Explanation</w:t>
            </w:r>
          </w:p>
        </w:tc>
      </w:tr>
      <w:tr w:rsidR="00941F20" w:rsidRPr="00B44BA8" w14:paraId="1901D298" w14:textId="77777777" w:rsidTr="00941F20">
        <w:trPr>
          <w:trHeight w:val="20"/>
        </w:trPr>
        <w:tc>
          <w:tcPr>
            <w:tcW w:w="149" w:type="pct"/>
            <w:vMerge w:val="restart"/>
            <w:hideMark/>
          </w:tcPr>
          <w:p w14:paraId="4D56DE58" w14:textId="55B643FC" w:rsidR="00941F20" w:rsidRPr="00B44BA8" w:rsidRDefault="00941F20" w:rsidP="00941F20">
            <w:pPr>
              <w:pStyle w:val="Tabelle-Text"/>
            </w:pPr>
            <w:r w:rsidRPr="00B44BA8">
              <w:t>9</w:t>
            </w:r>
          </w:p>
        </w:tc>
        <w:tc>
          <w:tcPr>
            <w:tcW w:w="440" w:type="pct"/>
            <w:vMerge w:val="restart"/>
          </w:tcPr>
          <w:p w14:paraId="36C79F5C" w14:textId="0A1C01E0" w:rsidR="00941F20" w:rsidRPr="00941F20" w:rsidRDefault="00941F20" w:rsidP="00941F20">
            <w:pPr>
              <w:pStyle w:val="Tabelle-berschrift"/>
              <w:rPr>
                <w:b w:val="0"/>
                <w:bCs/>
              </w:rPr>
            </w:pPr>
            <w:r w:rsidRPr="00941F20">
              <w:rPr>
                <w:b w:val="0"/>
                <w:bCs/>
              </w:rPr>
              <w:t>Leadership</w:t>
            </w:r>
          </w:p>
        </w:tc>
        <w:tc>
          <w:tcPr>
            <w:tcW w:w="374" w:type="pct"/>
          </w:tcPr>
          <w:p w14:paraId="35B52B2F" w14:textId="77677B70" w:rsidR="00941F20" w:rsidRPr="00B44BA8" w:rsidRDefault="00941F20" w:rsidP="00941F20">
            <w:pPr>
              <w:pStyle w:val="Tabelle-Text"/>
            </w:pPr>
            <w:r w:rsidRPr="00B44BA8">
              <w:t>LEAD1</w:t>
            </w:r>
          </w:p>
        </w:tc>
        <w:tc>
          <w:tcPr>
            <w:tcW w:w="542" w:type="pct"/>
          </w:tcPr>
          <w:p w14:paraId="189CB894" w14:textId="3EA241A9" w:rsidR="00941F20" w:rsidRPr="00B44BA8" w:rsidRDefault="00941F20" w:rsidP="00941F20">
            <w:pPr>
              <w:pStyle w:val="Tabelle-Text"/>
            </w:pPr>
            <w:r w:rsidRPr="00AF19DB">
              <w:t>Political support</w:t>
            </w:r>
          </w:p>
        </w:tc>
        <w:tc>
          <w:tcPr>
            <w:tcW w:w="312" w:type="pct"/>
            <w:shd w:val="clear" w:color="auto" w:fill="EF3A84" w:themeFill="background2"/>
            <w:hideMark/>
          </w:tcPr>
          <w:p w14:paraId="7345CE9B" w14:textId="04ECA82D" w:rsidR="00941F20" w:rsidRPr="00B44BA8" w:rsidRDefault="00941F20" w:rsidP="00941F20">
            <w:pPr>
              <w:pStyle w:val="Tabelle-Text"/>
            </w:pPr>
          </w:p>
        </w:tc>
        <w:tc>
          <w:tcPr>
            <w:tcW w:w="313" w:type="pct"/>
            <w:shd w:val="clear" w:color="auto" w:fill="EF3A84" w:themeFill="background2"/>
            <w:hideMark/>
          </w:tcPr>
          <w:p w14:paraId="58140A5E" w14:textId="05FC8165" w:rsidR="00941F20" w:rsidRPr="00B44BA8" w:rsidRDefault="00941F20" w:rsidP="00941F20">
            <w:pPr>
              <w:pStyle w:val="Tabelle-Text"/>
            </w:pPr>
          </w:p>
        </w:tc>
        <w:tc>
          <w:tcPr>
            <w:tcW w:w="315" w:type="pct"/>
            <w:shd w:val="clear" w:color="auto" w:fill="EF3A84" w:themeFill="background2"/>
            <w:hideMark/>
          </w:tcPr>
          <w:p w14:paraId="13DE8DF2" w14:textId="42FCB843" w:rsidR="00941F20" w:rsidRPr="00B44BA8" w:rsidRDefault="00941F20" w:rsidP="00941F20">
            <w:pPr>
              <w:pStyle w:val="Tabelle-Text"/>
            </w:pPr>
          </w:p>
        </w:tc>
        <w:tc>
          <w:tcPr>
            <w:tcW w:w="2555" w:type="pct"/>
            <w:hideMark/>
          </w:tcPr>
          <w:p w14:paraId="5BF82F90" w14:textId="174EF6AB" w:rsidR="00941F20" w:rsidRPr="00B44BA8" w:rsidRDefault="00941F20" w:rsidP="00941F20">
            <w:pPr>
              <w:pStyle w:val="Tabelle-Text"/>
            </w:pPr>
            <w:r w:rsidRPr="00B44BA8">
              <w:t xml:space="preserve">All levels may </w:t>
            </w:r>
            <w:r>
              <w:t>show political support</w:t>
            </w:r>
            <w:r w:rsidRPr="00B44BA8">
              <w:t xml:space="preserve"> simultaneously (e.g., some states include nutrition in the titles of their ministries (e.g., Bavaria’s Ministry for Nutrition, Agriculture, and Forestry)</w:t>
            </w:r>
          </w:p>
        </w:tc>
      </w:tr>
      <w:tr w:rsidR="00941F20" w:rsidRPr="00B44BA8" w14:paraId="2C0F1CBF" w14:textId="77777777" w:rsidTr="00941F20">
        <w:trPr>
          <w:trHeight w:val="495"/>
        </w:trPr>
        <w:tc>
          <w:tcPr>
            <w:tcW w:w="149" w:type="pct"/>
            <w:vMerge/>
            <w:hideMark/>
          </w:tcPr>
          <w:p w14:paraId="713D519C" w14:textId="0F164F0B" w:rsidR="00941F20" w:rsidRPr="00B44BA8" w:rsidRDefault="00941F20" w:rsidP="00941F20">
            <w:pPr>
              <w:pStyle w:val="Tabelle-Text"/>
            </w:pPr>
          </w:p>
        </w:tc>
        <w:tc>
          <w:tcPr>
            <w:tcW w:w="440" w:type="pct"/>
            <w:vMerge/>
          </w:tcPr>
          <w:p w14:paraId="693DAABB" w14:textId="77777777" w:rsidR="00941F20" w:rsidRPr="00B44BA8" w:rsidRDefault="00941F20" w:rsidP="00941F20">
            <w:pPr>
              <w:pStyle w:val="Tabelle-Text"/>
            </w:pPr>
          </w:p>
        </w:tc>
        <w:tc>
          <w:tcPr>
            <w:tcW w:w="374" w:type="pct"/>
          </w:tcPr>
          <w:p w14:paraId="653425B4" w14:textId="57F768FA" w:rsidR="00941F20" w:rsidRPr="00B44BA8" w:rsidRDefault="00941F20" w:rsidP="00941F20">
            <w:pPr>
              <w:pStyle w:val="Tabelle-Text"/>
            </w:pPr>
            <w:r w:rsidRPr="00B44BA8">
              <w:t>LEAD2</w:t>
            </w:r>
          </w:p>
        </w:tc>
        <w:tc>
          <w:tcPr>
            <w:tcW w:w="542" w:type="pct"/>
          </w:tcPr>
          <w:p w14:paraId="5870C050" w14:textId="71BDC61C" w:rsidR="00941F20" w:rsidRPr="00B44BA8" w:rsidRDefault="00941F20" w:rsidP="00941F20">
            <w:pPr>
              <w:pStyle w:val="Tabelle-Text"/>
            </w:pPr>
            <w:r w:rsidRPr="00AF19DB">
              <w:t>Population intake targets</w:t>
            </w:r>
          </w:p>
        </w:tc>
        <w:tc>
          <w:tcPr>
            <w:tcW w:w="312" w:type="pct"/>
            <w:shd w:val="clear" w:color="auto" w:fill="F8B0CD" w:themeFill="background2" w:themeFillTint="66"/>
            <w:hideMark/>
          </w:tcPr>
          <w:p w14:paraId="10C17349" w14:textId="6AB884FD" w:rsidR="00941F20" w:rsidRPr="00B44BA8" w:rsidRDefault="00941F20" w:rsidP="00941F20">
            <w:pPr>
              <w:pStyle w:val="Tabelle-Text"/>
            </w:pPr>
          </w:p>
        </w:tc>
        <w:tc>
          <w:tcPr>
            <w:tcW w:w="313" w:type="pct"/>
            <w:shd w:val="clear" w:color="auto" w:fill="890B3E" w:themeFill="background2" w:themeFillShade="80"/>
            <w:hideMark/>
          </w:tcPr>
          <w:p w14:paraId="68706034" w14:textId="43D2D4E5" w:rsidR="00941F20" w:rsidRPr="00B44BA8" w:rsidRDefault="00941F20" w:rsidP="00941F20">
            <w:pPr>
              <w:pStyle w:val="Tabelle-Text"/>
            </w:pPr>
          </w:p>
        </w:tc>
        <w:tc>
          <w:tcPr>
            <w:tcW w:w="315" w:type="pct"/>
            <w:shd w:val="clear" w:color="auto" w:fill="F8B0CD" w:themeFill="background2" w:themeFillTint="66"/>
            <w:hideMark/>
          </w:tcPr>
          <w:p w14:paraId="3A279CEF" w14:textId="0A3E401E" w:rsidR="00941F20" w:rsidRPr="00B44BA8" w:rsidRDefault="00941F20" w:rsidP="00941F20">
            <w:pPr>
              <w:pStyle w:val="Tabelle-Text"/>
            </w:pPr>
          </w:p>
        </w:tc>
        <w:tc>
          <w:tcPr>
            <w:tcW w:w="2555" w:type="pct"/>
            <w:vMerge w:val="restart"/>
            <w:hideMark/>
          </w:tcPr>
          <w:p w14:paraId="1CBC41D6" w14:textId="78B223A1" w:rsidR="00941F20" w:rsidRPr="00B44BA8" w:rsidRDefault="00941F20" w:rsidP="00941F20">
            <w:pPr>
              <w:pStyle w:val="Tabelle-Text"/>
            </w:pPr>
            <w:r w:rsidRPr="00B44BA8">
              <w:t>LEAD2 and LEAD3: Reference population intake targets and food-based dietary guidelines (FBDG) are derived - where data is available - from physiological needs and dietary habits, which do not systematically differ among the 16 states. While states and the EU may technically supplement these guidelines, LEAD2 and LEAD3 are generally understood as a primary legislative power of the federal government.</w:t>
            </w:r>
          </w:p>
        </w:tc>
      </w:tr>
      <w:tr w:rsidR="00941F20" w:rsidRPr="00B44BA8" w14:paraId="1C5CA5C8" w14:textId="77777777" w:rsidTr="00941F20">
        <w:trPr>
          <w:trHeight w:val="495"/>
        </w:trPr>
        <w:tc>
          <w:tcPr>
            <w:tcW w:w="149" w:type="pct"/>
            <w:vMerge/>
            <w:hideMark/>
          </w:tcPr>
          <w:p w14:paraId="2822CA4A" w14:textId="4AB6356D" w:rsidR="00941F20" w:rsidRPr="00B44BA8" w:rsidRDefault="00941F20" w:rsidP="00941F20">
            <w:pPr>
              <w:pStyle w:val="Tabelle-Text"/>
            </w:pPr>
          </w:p>
        </w:tc>
        <w:tc>
          <w:tcPr>
            <w:tcW w:w="440" w:type="pct"/>
            <w:vMerge/>
          </w:tcPr>
          <w:p w14:paraId="08FE4F9D" w14:textId="77777777" w:rsidR="00941F20" w:rsidRPr="00B44BA8" w:rsidRDefault="00941F20" w:rsidP="00941F20">
            <w:pPr>
              <w:pStyle w:val="Tabelle-Text"/>
            </w:pPr>
          </w:p>
        </w:tc>
        <w:tc>
          <w:tcPr>
            <w:tcW w:w="374" w:type="pct"/>
          </w:tcPr>
          <w:p w14:paraId="77C19350" w14:textId="4983313C" w:rsidR="00941F20" w:rsidRPr="00B44BA8" w:rsidRDefault="00941F20" w:rsidP="00941F20">
            <w:pPr>
              <w:pStyle w:val="Tabelle-Text"/>
            </w:pPr>
            <w:r w:rsidRPr="00B44BA8">
              <w:t>LEAD3</w:t>
            </w:r>
          </w:p>
        </w:tc>
        <w:tc>
          <w:tcPr>
            <w:tcW w:w="542" w:type="pct"/>
          </w:tcPr>
          <w:p w14:paraId="59B7441C" w14:textId="18661896" w:rsidR="00941F20" w:rsidRPr="00B44BA8" w:rsidRDefault="00941F20" w:rsidP="00941F20">
            <w:pPr>
              <w:pStyle w:val="Tabelle-Text"/>
            </w:pPr>
            <w:r w:rsidRPr="00AF19DB">
              <w:t>Food-based dietary guidelines</w:t>
            </w:r>
          </w:p>
        </w:tc>
        <w:tc>
          <w:tcPr>
            <w:tcW w:w="312" w:type="pct"/>
            <w:shd w:val="clear" w:color="auto" w:fill="F8B0CD" w:themeFill="background2" w:themeFillTint="66"/>
            <w:hideMark/>
          </w:tcPr>
          <w:p w14:paraId="743B6C72" w14:textId="3F0EB13A" w:rsidR="00941F20" w:rsidRPr="00B44BA8" w:rsidRDefault="00941F20" w:rsidP="00941F20">
            <w:pPr>
              <w:pStyle w:val="Tabelle-Text"/>
            </w:pPr>
          </w:p>
        </w:tc>
        <w:tc>
          <w:tcPr>
            <w:tcW w:w="313" w:type="pct"/>
            <w:shd w:val="clear" w:color="auto" w:fill="890B3E" w:themeFill="background2" w:themeFillShade="80"/>
            <w:hideMark/>
          </w:tcPr>
          <w:p w14:paraId="26BC49AD" w14:textId="31B1D4FD" w:rsidR="00941F20" w:rsidRPr="00B44BA8" w:rsidRDefault="00941F20" w:rsidP="00941F20">
            <w:pPr>
              <w:pStyle w:val="Tabelle-Text"/>
            </w:pPr>
          </w:p>
        </w:tc>
        <w:tc>
          <w:tcPr>
            <w:tcW w:w="315" w:type="pct"/>
            <w:shd w:val="clear" w:color="auto" w:fill="F8B0CD" w:themeFill="background2" w:themeFillTint="66"/>
            <w:hideMark/>
          </w:tcPr>
          <w:p w14:paraId="206339DB" w14:textId="112E7A18" w:rsidR="00941F20" w:rsidRPr="00B44BA8" w:rsidRDefault="00941F20" w:rsidP="00941F20">
            <w:pPr>
              <w:pStyle w:val="Tabelle-Text"/>
            </w:pPr>
          </w:p>
        </w:tc>
        <w:tc>
          <w:tcPr>
            <w:tcW w:w="2555" w:type="pct"/>
            <w:vMerge/>
            <w:hideMark/>
          </w:tcPr>
          <w:p w14:paraId="19AF4F64" w14:textId="466F8B39" w:rsidR="00941F20" w:rsidRPr="00B44BA8" w:rsidRDefault="00941F20" w:rsidP="00941F20">
            <w:pPr>
              <w:pStyle w:val="Tabelle-Text"/>
            </w:pPr>
          </w:p>
        </w:tc>
      </w:tr>
      <w:tr w:rsidR="00941F20" w:rsidRPr="00B44BA8" w14:paraId="302F8036" w14:textId="77777777" w:rsidTr="00941F20">
        <w:trPr>
          <w:trHeight w:val="20"/>
        </w:trPr>
        <w:tc>
          <w:tcPr>
            <w:tcW w:w="149" w:type="pct"/>
            <w:vMerge/>
            <w:hideMark/>
          </w:tcPr>
          <w:p w14:paraId="04B69B75" w14:textId="00C5ED1C" w:rsidR="00941F20" w:rsidRPr="00B44BA8" w:rsidRDefault="00941F20" w:rsidP="00941F20">
            <w:pPr>
              <w:pStyle w:val="Tabelle-Text"/>
            </w:pPr>
          </w:p>
        </w:tc>
        <w:tc>
          <w:tcPr>
            <w:tcW w:w="440" w:type="pct"/>
            <w:vMerge/>
          </w:tcPr>
          <w:p w14:paraId="18159593" w14:textId="77777777" w:rsidR="00941F20" w:rsidRPr="00B44BA8" w:rsidRDefault="00941F20" w:rsidP="00941F20">
            <w:pPr>
              <w:pStyle w:val="Tabelle-Text"/>
            </w:pPr>
          </w:p>
        </w:tc>
        <w:tc>
          <w:tcPr>
            <w:tcW w:w="374" w:type="pct"/>
          </w:tcPr>
          <w:p w14:paraId="45DA9AD9" w14:textId="4904B2A6" w:rsidR="00941F20" w:rsidRPr="00B44BA8" w:rsidRDefault="00941F20" w:rsidP="00941F20">
            <w:pPr>
              <w:pStyle w:val="Tabelle-Text"/>
            </w:pPr>
            <w:r w:rsidRPr="00B44BA8">
              <w:t>LEAD4</w:t>
            </w:r>
          </w:p>
        </w:tc>
        <w:tc>
          <w:tcPr>
            <w:tcW w:w="542" w:type="pct"/>
          </w:tcPr>
          <w:p w14:paraId="6C768F8C" w14:textId="1FC9E213" w:rsidR="00941F20" w:rsidRPr="00B44BA8" w:rsidRDefault="00941F20" w:rsidP="00941F20">
            <w:pPr>
              <w:pStyle w:val="Tabelle-Text"/>
            </w:pPr>
            <w:r w:rsidRPr="00AF19DB">
              <w:t>Implementation plan</w:t>
            </w:r>
          </w:p>
        </w:tc>
        <w:tc>
          <w:tcPr>
            <w:tcW w:w="312" w:type="pct"/>
            <w:shd w:val="clear" w:color="auto" w:fill="EF3A84" w:themeFill="background2"/>
            <w:hideMark/>
          </w:tcPr>
          <w:p w14:paraId="628F365A" w14:textId="59728876" w:rsidR="00941F20" w:rsidRPr="00B44BA8" w:rsidRDefault="00941F20" w:rsidP="00941F20">
            <w:pPr>
              <w:pStyle w:val="Tabelle-Text"/>
            </w:pPr>
          </w:p>
        </w:tc>
        <w:tc>
          <w:tcPr>
            <w:tcW w:w="313" w:type="pct"/>
            <w:shd w:val="clear" w:color="auto" w:fill="EF3A84" w:themeFill="background2"/>
            <w:hideMark/>
          </w:tcPr>
          <w:p w14:paraId="2B2506BE" w14:textId="19E9FDD2" w:rsidR="00941F20" w:rsidRPr="00B44BA8" w:rsidRDefault="00941F20" w:rsidP="00941F20">
            <w:pPr>
              <w:pStyle w:val="Tabelle-Text"/>
            </w:pPr>
          </w:p>
        </w:tc>
        <w:tc>
          <w:tcPr>
            <w:tcW w:w="315" w:type="pct"/>
            <w:shd w:val="clear" w:color="auto" w:fill="EF3A84" w:themeFill="background2"/>
            <w:hideMark/>
          </w:tcPr>
          <w:p w14:paraId="46807E04" w14:textId="40BB2ACB" w:rsidR="00941F20" w:rsidRPr="00B44BA8" w:rsidRDefault="00941F20" w:rsidP="00941F20">
            <w:pPr>
              <w:pStyle w:val="Tabelle-Text"/>
            </w:pPr>
          </w:p>
        </w:tc>
        <w:tc>
          <w:tcPr>
            <w:tcW w:w="2555" w:type="pct"/>
            <w:hideMark/>
          </w:tcPr>
          <w:p w14:paraId="4A6F34DF" w14:textId="4731D555" w:rsidR="00941F20" w:rsidRPr="00B44BA8" w:rsidRDefault="00941F20" w:rsidP="00941F20">
            <w:pPr>
              <w:pStyle w:val="Tabelle-Text"/>
            </w:pPr>
            <w:r w:rsidRPr="00B44BA8">
              <w:t xml:space="preserve">Nutrition strategies and related implementation plans can be developed and adopted at all political levels (e.g., EU: Farm to Fork Strategy </w:t>
            </w:r>
            <w:r w:rsidRPr="00B44BA8">
              <w:fldChar w:fldCharType="begin"/>
            </w:r>
            <w:r w:rsidR="00216423">
              <w:instrText xml:space="preserve"> ADDIN ZOTERO_ITEM CSL_CITATION {"citationID":"a1g0hh3dois","properties":{"formattedCitation":"[29]","plainCitation":"[29]","noteIndex":0},"citationItems":[{"id":877,"uris":["http://zotero.org/users/5617569/items/8QFD5XSV"],"itemData":{"id":877,"type":"report","title":"Farm to Fork Strategy","URL":"https://food.ec.europa.eu/system/files/2020-05/f2f_action-plan_2020_strategy-info_en.pdf","author":[{"family":"European Commission","given":""}],"accessed":{"date-parts":[["2025",3,27]]},"issued":{"date-parts":[["2020"]]}}}],"schema":"https://github.com/citation-style-language/schema/raw/master/csl-citation.json"} </w:instrText>
            </w:r>
            <w:r w:rsidRPr="00B44BA8">
              <w:fldChar w:fldCharType="separate"/>
            </w:r>
            <w:r w:rsidR="00216423">
              <w:t>[29]</w:t>
            </w:r>
            <w:r w:rsidRPr="00B44BA8">
              <w:fldChar w:fldCharType="end"/>
            </w:r>
            <w:r w:rsidRPr="00B44BA8">
              <w:t xml:space="preserve">, Federal: National Nutrition Strategy </w:t>
            </w:r>
            <w:r w:rsidRPr="00B44BA8">
              <w:fldChar w:fldCharType="begin"/>
            </w:r>
            <w:r w:rsidR="00216423">
              <w:instrText xml:space="preserve"> ADDIN ZOTERO_ITEM CSL_CITATION {"citationID":"a2nput7v9gg","properties":{"formattedCitation":"[30]","plainCitation":"[30]","noteIndex":0},"citationItems":[{"id":50,"uris":["http://zotero.org/users/5617569/items/52E8WFEZ"],"itemData":{"id":50,"type":"report","language":"de","publisher-place":"Berlin","source":"Zotero","title":"Gutes Essen für Deutschland Ernährungsstrategie der Bundesregierung","author":[{"family":"Federal Ministry of Food and Agriculture (BMEL)","given":""}],"issued":{"date-parts":[["2024"]]}}}],"schema":"https://github.com/citation-style-language/schema/raw/master/csl-citation.json"} </w:instrText>
            </w:r>
            <w:r w:rsidRPr="00B44BA8">
              <w:fldChar w:fldCharType="separate"/>
            </w:r>
            <w:r w:rsidR="00216423">
              <w:t>[30]</w:t>
            </w:r>
            <w:r w:rsidRPr="00B44BA8">
              <w:fldChar w:fldCharType="end"/>
            </w:r>
            <w:r w:rsidRPr="00B44BA8">
              <w:t xml:space="preserve"> and State: “Brandenburg eats sustainably” </w:t>
            </w:r>
            <w:r w:rsidRPr="00B44BA8">
              <w:fldChar w:fldCharType="begin"/>
            </w:r>
            <w:r w:rsidR="00216423">
              <w:instrText xml:space="preserve"> ADDIN ZOTERO_ITEM CSL_CITATION {"citationID":"amf8nmpsi3","properties":{"formattedCitation":"[31]","plainCitation":"[31]","noteIndex":0},"citationItems":[{"id":49,"uris":["http://zotero.org/users/5617569/items/32R2EPIC"],"itemData":{"id":49,"type":"report","language":"de","publisher":"Brandenburg Ministerium für Soziales, Gesundheit, Integration und Verbraucherschutz","publisher-place":"Potsdam","source":"Zotero","title":"Die Ernährungsstrategie Brandenburg","author":[{"family":"Brandenburg Ministry of Social Affairs, Health, Integration and Consumer Protection","given":""}],"issued":{"date-parts":[["2023",10]]}}}],"schema":"https://github.com/citation-style-language/schema/raw/master/csl-citation.json"} </w:instrText>
            </w:r>
            <w:r w:rsidRPr="00B44BA8">
              <w:fldChar w:fldCharType="separate"/>
            </w:r>
            <w:r w:rsidR="00216423">
              <w:t>[31]</w:t>
            </w:r>
            <w:r w:rsidRPr="00B44BA8">
              <w:fldChar w:fldCharType="end"/>
            </w:r>
            <w:r w:rsidRPr="00B44BA8">
              <w:t>)</w:t>
            </w:r>
          </w:p>
        </w:tc>
      </w:tr>
      <w:tr w:rsidR="00941F20" w:rsidRPr="00B44BA8" w14:paraId="27D6EDB4" w14:textId="77777777" w:rsidTr="00941F20">
        <w:trPr>
          <w:trHeight w:val="20"/>
        </w:trPr>
        <w:tc>
          <w:tcPr>
            <w:tcW w:w="149" w:type="pct"/>
            <w:vMerge/>
            <w:hideMark/>
          </w:tcPr>
          <w:p w14:paraId="40CFA7F5" w14:textId="77833427" w:rsidR="00941F20" w:rsidRPr="00B44BA8" w:rsidRDefault="00941F20" w:rsidP="00941F20">
            <w:pPr>
              <w:pStyle w:val="Tabelle-Text"/>
            </w:pPr>
          </w:p>
        </w:tc>
        <w:tc>
          <w:tcPr>
            <w:tcW w:w="440" w:type="pct"/>
            <w:vMerge/>
          </w:tcPr>
          <w:p w14:paraId="2582A890" w14:textId="77777777" w:rsidR="00941F20" w:rsidRPr="00B44BA8" w:rsidRDefault="00941F20" w:rsidP="00941F20">
            <w:pPr>
              <w:pStyle w:val="Tabelle-Text"/>
            </w:pPr>
          </w:p>
        </w:tc>
        <w:tc>
          <w:tcPr>
            <w:tcW w:w="374" w:type="pct"/>
          </w:tcPr>
          <w:p w14:paraId="57E513EC" w14:textId="54465AB4" w:rsidR="00941F20" w:rsidRPr="00B44BA8" w:rsidRDefault="00941F20" w:rsidP="00941F20">
            <w:pPr>
              <w:pStyle w:val="Tabelle-Text"/>
            </w:pPr>
            <w:r w:rsidRPr="00B44BA8">
              <w:t>LEAD5</w:t>
            </w:r>
          </w:p>
        </w:tc>
        <w:tc>
          <w:tcPr>
            <w:tcW w:w="542" w:type="pct"/>
          </w:tcPr>
          <w:p w14:paraId="796B4787" w14:textId="1EF2B37E" w:rsidR="00941F20" w:rsidRPr="00B44BA8" w:rsidRDefault="00941F20" w:rsidP="00941F20">
            <w:pPr>
              <w:pStyle w:val="Tabelle-Text"/>
            </w:pPr>
            <w:r w:rsidRPr="00AF19DB">
              <w:t>Inequalities and vulnerable populations</w:t>
            </w:r>
          </w:p>
        </w:tc>
        <w:tc>
          <w:tcPr>
            <w:tcW w:w="312" w:type="pct"/>
            <w:shd w:val="clear" w:color="auto" w:fill="EF3A84" w:themeFill="background2"/>
            <w:hideMark/>
          </w:tcPr>
          <w:p w14:paraId="6745888F" w14:textId="67658EDA" w:rsidR="00941F20" w:rsidRPr="00B44BA8" w:rsidRDefault="00941F20" w:rsidP="00941F20">
            <w:pPr>
              <w:pStyle w:val="Tabelle-Text"/>
            </w:pPr>
          </w:p>
        </w:tc>
        <w:tc>
          <w:tcPr>
            <w:tcW w:w="313" w:type="pct"/>
            <w:shd w:val="clear" w:color="auto" w:fill="EF3A84" w:themeFill="background2"/>
            <w:hideMark/>
          </w:tcPr>
          <w:p w14:paraId="7194C630" w14:textId="3E262A9F" w:rsidR="00941F20" w:rsidRPr="00B44BA8" w:rsidRDefault="00941F20" w:rsidP="00941F20">
            <w:pPr>
              <w:pStyle w:val="Tabelle-Text"/>
            </w:pPr>
          </w:p>
        </w:tc>
        <w:tc>
          <w:tcPr>
            <w:tcW w:w="315" w:type="pct"/>
            <w:shd w:val="clear" w:color="auto" w:fill="EF3A84" w:themeFill="background2"/>
            <w:hideMark/>
          </w:tcPr>
          <w:p w14:paraId="73842362" w14:textId="593DDF0A" w:rsidR="00941F20" w:rsidRPr="00B44BA8" w:rsidRDefault="00941F20" w:rsidP="00941F20">
            <w:pPr>
              <w:pStyle w:val="Tabelle-Text"/>
            </w:pPr>
          </w:p>
        </w:tc>
        <w:tc>
          <w:tcPr>
            <w:tcW w:w="2555" w:type="pct"/>
            <w:hideMark/>
          </w:tcPr>
          <w:p w14:paraId="2F4E61DC" w14:textId="14BB852E" w:rsidR="00941F20" w:rsidRPr="00B44BA8" w:rsidRDefault="00941F20" w:rsidP="00941F20">
            <w:pPr>
              <w:pStyle w:val="Tabelle-Text"/>
            </w:pPr>
            <w:r w:rsidRPr="00B44BA8">
              <w:t xml:space="preserve">All levels may introduce policies to reduce inequalities and address vulnerabilities (e.g., Principle 8 of Baden-Württemberg’s nutrition strategy </w:t>
            </w:r>
            <w:r w:rsidRPr="00B44BA8">
              <w:fldChar w:fldCharType="begin"/>
            </w:r>
            <w:r w:rsidR="00216423">
              <w:instrText xml:space="preserve"> ADDIN ZOTERO_ITEM CSL_CITATION {"citationID":"a66eqvo5l5","properties":{"formattedCitation":"[32]","plainCitation":"[32]","noteIndex":0},"citationItems":[{"id":52,"uris":["http://zotero.org/users/5617569/items/6LM8AF39"],"itemData":{"id":52,"type":"report","publisher":"Baden-Württemberg Ministerium für Ernährung, Ländlichen Raum und Verbraucherschutz","publisher-place":"Stuttgart","title":"Ernährungsstrategie Baden-Württemberg","URL":"https://mlr.baden-wuerttemberg.de/fileadmin/redaktion/m-mlr/intern/dateien/PDFs/Essen_und_Trinken/2022_Ern%C3%A4hrungsstrategie_Weiterentwicklung.pdf","author":[{"family":"Baden-Württemberg Ministry of Food, Rural Affairs and Consumer Protection","given":""}],"accessed":{"date-parts":[["2023",11,29]]},"issued":{"date-parts":[["2022",10,25]]}}}],"schema":"https://github.com/citation-style-language/schema/raw/master/csl-citation.json"} </w:instrText>
            </w:r>
            <w:r w:rsidRPr="00B44BA8">
              <w:fldChar w:fldCharType="separate"/>
            </w:r>
            <w:r w:rsidR="00216423">
              <w:t>[32]</w:t>
            </w:r>
            <w:r w:rsidRPr="00B44BA8">
              <w:fldChar w:fldCharType="end"/>
            </w:r>
            <w:r w:rsidRPr="00B44BA8">
              <w:t>)</w:t>
            </w:r>
          </w:p>
        </w:tc>
      </w:tr>
      <w:tr w:rsidR="0048409F" w:rsidRPr="00B44BA8" w14:paraId="2E8D9A77" w14:textId="77777777" w:rsidTr="00941F20">
        <w:trPr>
          <w:trHeight w:val="20"/>
        </w:trPr>
        <w:tc>
          <w:tcPr>
            <w:tcW w:w="149" w:type="pct"/>
            <w:vMerge w:val="restart"/>
            <w:hideMark/>
          </w:tcPr>
          <w:p w14:paraId="1F5FAC92" w14:textId="75D85DE8" w:rsidR="0048409F" w:rsidRPr="00B44BA8" w:rsidRDefault="0048409F" w:rsidP="00941F20">
            <w:pPr>
              <w:pStyle w:val="Tabelle-Text"/>
            </w:pPr>
            <w:r w:rsidRPr="00B44BA8">
              <w:t>10</w:t>
            </w:r>
          </w:p>
        </w:tc>
        <w:tc>
          <w:tcPr>
            <w:tcW w:w="440" w:type="pct"/>
            <w:vMerge w:val="restart"/>
          </w:tcPr>
          <w:p w14:paraId="502B3A05" w14:textId="253417A8" w:rsidR="0048409F" w:rsidRPr="00B44BA8" w:rsidRDefault="0048409F" w:rsidP="00941F20">
            <w:pPr>
              <w:pStyle w:val="Tabelle-Text"/>
            </w:pPr>
            <w:r w:rsidRPr="00941F20">
              <w:t>Governance</w:t>
            </w:r>
          </w:p>
        </w:tc>
        <w:tc>
          <w:tcPr>
            <w:tcW w:w="374" w:type="pct"/>
          </w:tcPr>
          <w:p w14:paraId="771A8C60" w14:textId="021CF5CE" w:rsidR="0048409F" w:rsidRPr="00B44BA8" w:rsidRDefault="0048409F" w:rsidP="00941F20">
            <w:pPr>
              <w:pStyle w:val="Tabelle-Text"/>
            </w:pPr>
            <w:r w:rsidRPr="00B44BA8">
              <w:t xml:space="preserve">GOVER1 </w:t>
            </w:r>
          </w:p>
        </w:tc>
        <w:tc>
          <w:tcPr>
            <w:tcW w:w="542" w:type="pct"/>
          </w:tcPr>
          <w:p w14:paraId="346C1636" w14:textId="28BCEBAE" w:rsidR="0048409F" w:rsidRPr="00B44BA8" w:rsidRDefault="0048409F" w:rsidP="00941F20">
            <w:pPr>
              <w:pStyle w:val="Tabelle-Text"/>
            </w:pPr>
            <w:r w:rsidRPr="00B572CD">
              <w:t>Commercial influences on policy making</w:t>
            </w:r>
          </w:p>
        </w:tc>
        <w:tc>
          <w:tcPr>
            <w:tcW w:w="312" w:type="pct"/>
            <w:shd w:val="clear" w:color="auto" w:fill="EF3A84" w:themeFill="background2"/>
            <w:hideMark/>
          </w:tcPr>
          <w:p w14:paraId="29E70305" w14:textId="224F718A" w:rsidR="0048409F" w:rsidRPr="00B44BA8" w:rsidRDefault="0048409F" w:rsidP="00941F20">
            <w:pPr>
              <w:pStyle w:val="Tabelle-Text"/>
            </w:pPr>
          </w:p>
          <w:p w14:paraId="6A426834" w14:textId="77777777" w:rsidR="0048409F" w:rsidRPr="00B44BA8" w:rsidRDefault="0048409F" w:rsidP="00941F20"/>
        </w:tc>
        <w:tc>
          <w:tcPr>
            <w:tcW w:w="313" w:type="pct"/>
            <w:shd w:val="clear" w:color="auto" w:fill="EF3A84" w:themeFill="background2"/>
            <w:hideMark/>
          </w:tcPr>
          <w:p w14:paraId="10A47D97" w14:textId="5CC37474" w:rsidR="0048409F" w:rsidRPr="00B44BA8" w:rsidRDefault="0048409F" w:rsidP="00941F20">
            <w:pPr>
              <w:pStyle w:val="Tabelle-Text"/>
            </w:pPr>
          </w:p>
        </w:tc>
        <w:tc>
          <w:tcPr>
            <w:tcW w:w="315" w:type="pct"/>
            <w:shd w:val="clear" w:color="auto" w:fill="EF3A84" w:themeFill="background2"/>
            <w:hideMark/>
          </w:tcPr>
          <w:p w14:paraId="1172D683" w14:textId="51575E41" w:rsidR="0048409F" w:rsidRPr="00B44BA8" w:rsidRDefault="0048409F" w:rsidP="00941F20">
            <w:pPr>
              <w:pStyle w:val="Tabelle-Text"/>
            </w:pPr>
          </w:p>
        </w:tc>
        <w:tc>
          <w:tcPr>
            <w:tcW w:w="2555" w:type="pct"/>
            <w:vMerge w:val="restart"/>
            <w:hideMark/>
          </w:tcPr>
          <w:p w14:paraId="5E888464" w14:textId="6A69BCFA" w:rsidR="0048409F" w:rsidRDefault="0048409F" w:rsidP="00941F20">
            <w:pPr>
              <w:pStyle w:val="Tabelle-Text"/>
            </w:pPr>
            <w:r w:rsidRPr="00B44BA8">
              <w:t xml:space="preserve">Regulations limiting the influence of commercial interests on food environment policy are set independently at EU, federal and state levels (e.g., EU mandatory transparency register (OJ L 207, 11.6.2021), Federal lobby registry (LobbyRG), state lobby register in Bavaria </w:t>
            </w:r>
            <w:r w:rsidRPr="00B44BA8">
              <w:fldChar w:fldCharType="begin"/>
            </w:r>
            <w:r w:rsidR="00216423">
              <w:instrText xml:space="preserve"> ADDIN ZOTERO_ITEM CSL_CITATION {"citationID":"a1bd282tuvb","properties":{"formattedCitation":"[33]","plainCitation":"[33]","noteIndex":0},"citationItems":[{"id":57,"uris":["http://zotero.org/users/5617569/items/7FIWADDU"],"itemData":{"id":57,"type":"webpage","title":"Lobbyregister","URL":"https://www.bayern.landtag.de/lobbyregister/","author":[{"family":"Bavarian State Parliament","given":""}],"accessed":{"date-parts":[["2024",1,8]]},"issued":{"date-parts":[["2022"]]}}}],"schema":"https://github.com/citation-style-language/schema/raw/master/csl-citation.json"} </w:instrText>
            </w:r>
            <w:r w:rsidRPr="00B44BA8">
              <w:fldChar w:fldCharType="separate"/>
            </w:r>
            <w:r w:rsidR="00216423">
              <w:t>[33]</w:t>
            </w:r>
            <w:r w:rsidRPr="00B44BA8">
              <w:fldChar w:fldCharType="end"/>
            </w:r>
          </w:p>
          <w:p w14:paraId="7D9C0C18" w14:textId="11D61799" w:rsidR="0048409F" w:rsidRPr="00B44BA8" w:rsidRDefault="0048409F" w:rsidP="00941F20">
            <w:pPr>
              <w:pStyle w:val="Tabelle-Text"/>
            </w:pPr>
            <w:r>
              <w:t>Similarly, all levels of government can introduce policies to increase the use of evidence and transparency in the policy making process and to ensure access to information.</w:t>
            </w:r>
          </w:p>
        </w:tc>
      </w:tr>
      <w:tr w:rsidR="0048409F" w:rsidRPr="00B44BA8" w14:paraId="2B0D61F7" w14:textId="77777777" w:rsidTr="00941F20">
        <w:trPr>
          <w:trHeight w:val="20"/>
        </w:trPr>
        <w:tc>
          <w:tcPr>
            <w:tcW w:w="149" w:type="pct"/>
            <w:vMerge/>
            <w:hideMark/>
          </w:tcPr>
          <w:p w14:paraId="418E19A6" w14:textId="29CF5912" w:rsidR="0048409F" w:rsidRPr="00B44BA8" w:rsidRDefault="0048409F" w:rsidP="00941F20">
            <w:pPr>
              <w:pStyle w:val="Tabelle-Text"/>
            </w:pPr>
          </w:p>
        </w:tc>
        <w:tc>
          <w:tcPr>
            <w:tcW w:w="440" w:type="pct"/>
            <w:vMerge/>
          </w:tcPr>
          <w:p w14:paraId="13A673B1" w14:textId="77777777" w:rsidR="0048409F" w:rsidRPr="00B44BA8" w:rsidRDefault="0048409F" w:rsidP="00941F20">
            <w:pPr>
              <w:pStyle w:val="Tabelle-Text"/>
            </w:pPr>
          </w:p>
        </w:tc>
        <w:tc>
          <w:tcPr>
            <w:tcW w:w="374" w:type="pct"/>
          </w:tcPr>
          <w:p w14:paraId="15367C09" w14:textId="2C0EA213" w:rsidR="0048409F" w:rsidRPr="00B44BA8" w:rsidRDefault="0048409F" w:rsidP="00941F20">
            <w:pPr>
              <w:pStyle w:val="Tabelle-Text"/>
            </w:pPr>
            <w:r w:rsidRPr="00B44BA8">
              <w:t>GOVER2</w:t>
            </w:r>
          </w:p>
        </w:tc>
        <w:tc>
          <w:tcPr>
            <w:tcW w:w="542" w:type="pct"/>
          </w:tcPr>
          <w:p w14:paraId="037ABDEA" w14:textId="72AA2E14" w:rsidR="0048409F" w:rsidRPr="00B44BA8" w:rsidRDefault="0048409F" w:rsidP="00941F20">
            <w:pPr>
              <w:pStyle w:val="Tabelle-Text"/>
            </w:pPr>
            <w:r w:rsidRPr="00B572CD">
              <w:t>Use of evidence</w:t>
            </w:r>
          </w:p>
        </w:tc>
        <w:tc>
          <w:tcPr>
            <w:tcW w:w="312" w:type="pct"/>
            <w:shd w:val="clear" w:color="auto" w:fill="EF3A84" w:themeFill="background2"/>
            <w:hideMark/>
          </w:tcPr>
          <w:p w14:paraId="703F2B48" w14:textId="4C262187" w:rsidR="0048409F" w:rsidRPr="00B44BA8" w:rsidRDefault="0048409F" w:rsidP="00941F20">
            <w:pPr>
              <w:pStyle w:val="Tabelle-Text"/>
            </w:pPr>
          </w:p>
        </w:tc>
        <w:tc>
          <w:tcPr>
            <w:tcW w:w="313" w:type="pct"/>
            <w:shd w:val="clear" w:color="auto" w:fill="EF3A84" w:themeFill="background2"/>
            <w:hideMark/>
          </w:tcPr>
          <w:p w14:paraId="426C69F5" w14:textId="6DE11434" w:rsidR="0048409F" w:rsidRPr="00B44BA8" w:rsidRDefault="0048409F" w:rsidP="00941F20">
            <w:pPr>
              <w:pStyle w:val="Tabelle-Text"/>
            </w:pPr>
          </w:p>
        </w:tc>
        <w:tc>
          <w:tcPr>
            <w:tcW w:w="315" w:type="pct"/>
            <w:shd w:val="clear" w:color="auto" w:fill="EF3A84" w:themeFill="background2"/>
            <w:hideMark/>
          </w:tcPr>
          <w:p w14:paraId="5429BF22" w14:textId="6ED0F8C3" w:rsidR="0048409F" w:rsidRPr="00B44BA8" w:rsidRDefault="0048409F" w:rsidP="00941F20">
            <w:pPr>
              <w:pStyle w:val="Tabelle-Text"/>
            </w:pPr>
          </w:p>
        </w:tc>
        <w:tc>
          <w:tcPr>
            <w:tcW w:w="2555" w:type="pct"/>
            <w:vMerge/>
            <w:hideMark/>
          </w:tcPr>
          <w:p w14:paraId="6096611A" w14:textId="0F046219" w:rsidR="0048409F" w:rsidRPr="00B44BA8" w:rsidRDefault="0048409F" w:rsidP="00941F20">
            <w:pPr>
              <w:pStyle w:val="Tabelle-Text"/>
              <w:rPr>
                <w:highlight w:val="yellow"/>
              </w:rPr>
            </w:pPr>
          </w:p>
        </w:tc>
      </w:tr>
      <w:tr w:rsidR="0048409F" w:rsidRPr="00B44BA8" w14:paraId="48A2CE98" w14:textId="77777777" w:rsidTr="00941F20">
        <w:trPr>
          <w:trHeight w:val="20"/>
        </w:trPr>
        <w:tc>
          <w:tcPr>
            <w:tcW w:w="149" w:type="pct"/>
            <w:vMerge/>
            <w:hideMark/>
          </w:tcPr>
          <w:p w14:paraId="7EEA5D7D" w14:textId="234289E3" w:rsidR="0048409F" w:rsidRPr="00B44BA8" w:rsidRDefault="0048409F" w:rsidP="00941F20">
            <w:pPr>
              <w:pStyle w:val="Tabelle-Text"/>
            </w:pPr>
          </w:p>
        </w:tc>
        <w:tc>
          <w:tcPr>
            <w:tcW w:w="440" w:type="pct"/>
            <w:vMerge/>
          </w:tcPr>
          <w:p w14:paraId="69E79369" w14:textId="77777777" w:rsidR="0048409F" w:rsidRPr="00B44BA8" w:rsidRDefault="0048409F" w:rsidP="00941F20">
            <w:pPr>
              <w:pStyle w:val="Tabelle-Text"/>
            </w:pPr>
          </w:p>
        </w:tc>
        <w:tc>
          <w:tcPr>
            <w:tcW w:w="374" w:type="pct"/>
          </w:tcPr>
          <w:p w14:paraId="6965144F" w14:textId="486C7C42" w:rsidR="0048409F" w:rsidRPr="00B44BA8" w:rsidRDefault="0048409F" w:rsidP="00941F20">
            <w:pPr>
              <w:pStyle w:val="Tabelle-Text"/>
            </w:pPr>
            <w:r w:rsidRPr="00B44BA8">
              <w:t>GOVER3</w:t>
            </w:r>
          </w:p>
        </w:tc>
        <w:tc>
          <w:tcPr>
            <w:tcW w:w="542" w:type="pct"/>
          </w:tcPr>
          <w:p w14:paraId="001182AB" w14:textId="05B6AB22" w:rsidR="0048409F" w:rsidRPr="00B44BA8" w:rsidRDefault="0048409F" w:rsidP="00941F20">
            <w:pPr>
              <w:pStyle w:val="Tabelle-Text"/>
            </w:pPr>
            <w:r w:rsidRPr="00B572CD">
              <w:t>Transparency</w:t>
            </w:r>
          </w:p>
        </w:tc>
        <w:tc>
          <w:tcPr>
            <w:tcW w:w="312" w:type="pct"/>
            <w:shd w:val="clear" w:color="auto" w:fill="EF3A84" w:themeFill="background2"/>
            <w:hideMark/>
          </w:tcPr>
          <w:p w14:paraId="217CB3DC" w14:textId="7C493467" w:rsidR="0048409F" w:rsidRPr="00B44BA8" w:rsidRDefault="0048409F" w:rsidP="00941F20">
            <w:pPr>
              <w:pStyle w:val="Tabelle-Text"/>
            </w:pPr>
          </w:p>
        </w:tc>
        <w:tc>
          <w:tcPr>
            <w:tcW w:w="313" w:type="pct"/>
            <w:shd w:val="clear" w:color="auto" w:fill="EF3A84" w:themeFill="background2"/>
            <w:hideMark/>
          </w:tcPr>
          <w:p w14:paraId="480CCCEC" w14:textId="61E44401" w:rsidR="0048409F" w:rsidRPr="00B44BA8" w:rsidRDefault="0048409F" w:rsidP="00941F20">
            <w:pPr>
              <w:pStyle w:val="Tabelle-Text"/>
            </w:pPr>
          </w:p>
        </w:tc>
        <w:tc>
          <w:tcPr>
            <w:tcW w:w="315" w:type="pct"/>
            <w:shd w:val="clear" w:color="auto" w:fill="EF3A84" w:themeFill="background2"/>
            <w:hideMark/>
          </w:tcPr>
          <w:p w14:paraId="2E1E56F2" w14:textId="0D11BB40" w:rsidR="0048409F" w:rsidRPr="00B44BA8" w:rsidRDefault="0048409F" w:rsidP="00941F20">
            <w:pPr>
              <w:pStyle w:val="Tabelle-Text"/>
            </w:pPr>
          </w:p>
        </w:tc>
        <w:tc>
          <w:tcPr>
            <w:tcW w:w="2555" w:type="pct"/>
            <w:vMerge/>
            <w:hideMark/>
          </w:tcPr>
          <w:p w14:paraId="5CFA5A41" w14:textId="77F8633F" w:rsidR="0048409F" w:rsidRPr="00B44BA8" w:rsidRDefault="0048409F" w:rsidP="00941F20">
            <w:pPr>
              <w:pStyle w:val="Tabelle-Text"/>
              <w:rPr>
                <w:highlight w:val="yellow"/>
              </w:rPr>
            </w:pPr>
          </w:p>
        </w:tc>
      </w:tr>
      <w:tr w:rsidR="0048409F" w:rsidRPr="00B44BA8" w14:paraId="7163B2C5" w14:textId="77777777" w:rsidTr="00941F20">
        <w:trPr>
          <w:trHeight w:val="20"/>
        </w:trPr>
        <w:tc>
          <w:tcPr>
            <w:tcW w:w="149" w:type="pct"/>
            <w:vMerge/>
            <w:hideMark/>
          </w:tcPr>
          <w:p w14:paraId="02B5688E" w14:textId="28DBE670" w:rsidR="0048409F" w:rsidRPr="00B44BA8" w:rsidRDefault="0048409F" w:rsidP="00941F20">
            <w:pPr>
              <w:pStyle w:val="Tabelle-Text"/>
            </w:pPr>
          </w:p>
        </w:tc>
        <w:tc>
          <w:tcPr>
            <w:tcW w:w="440" w:type="pct"/>
            <w:vMerge/>
          </w:tcPr>
          <w:p w14:paraId="7F6AD170" w14:textId="77777777" w:rsidR="0048409F" w:rsidRPr="00B44BA8" w:rsidRDefault="0048409F" w:rsidP="00941F20">
            <w:pPr>
              <w:pStyle w:val="Tabelle-Text"/>
            </w:pPr>
          </w:p>
        </w:tc>
        <w:tc>
          <w:tcPr>
            <w:tcW w:w="374" w:type="pct"/>
          </w:tcPr>
          <w:p w14:paraId="6B45ADB0" w14:textId="04E7DA27" w:rsidR="0048409F" w:rsidRPr="00B44BA8" w:rsidRDefault="0048409F" w:rsidP="00941F20">
            <w:pPr>
              <w:pStyle w:val="Tabelle-Text"/>
            </w:pPr>
            <w:r w:rsidRPr="00B44BA8">
              <w:t>GOVER4</w:t>
            </w:r>
          </w:p>
        </w:tc>
        <w:tc>
          <w:tcPr>
            <w:tcW w:w="542" w:type="pct"/>
          </w:tcPr>
          <w:p w14:paraId="0478CB02" w14:textId="4BCFE030" w:rsidR="0048409F" w:rsidRPr="00B44BA8" w:rsidRDefault="0048409F" w:rsidP="00941F20">
            <w:pPr>
              <w:pStyle w:val="Tabelle-Text"/>
            </w:pPr>
            <w:r w:rsidRPr="00B572CD">
              <w:t>Access to information</w:t>
            </w:r>
          </w:p>
        </w:tc>
        <w:tc>
          <w:tcPr>
            <w:tcW w:w="312" w:type="pct"/>
            <w:shd w:val="clear" w:color="auto" w:fill="EF3A84" w:themeFill="background2"/>
            <w:hideMark/>
          </w:tcPr>
          <w:p w14:paraId="02C073D8" w14:textId="1F6C4F6D" w:rsidR="0048409F" w:rsidRPr="00B44BA8" w:rsidRDefault="0048409F" w:rsidP="00941F20">
            <w:pPr>
              <w:pStyle w:val="Tabelle-Text"/>
            </w:pPr>
          </w:p>
        </w:tc>
        <w:tc>
          <w:tcPr>
            <w:tcW w:w="313" w:type="pct"/>
            <w:shd w:val="clear" w:color="auto" w:fill="EF3A84" w:themeFill="background2"/>
            <w:hideMark/>
          </w:tcPr>
          <w:p w14:paraId="2C28DCBB" w14:textId="192FD3C1" w:rsidR="0048409F" w:rsidRPr="00B44BA8" w:rsidRDefault="0048409F" w:rsidP="00941F20">
            <w:pPr>
              <w:pStyle w:val="Tabelle-Text"/>
            </w:pPr>
          </w:p>
        </w:tc>
        <w:tc>
          <w:tcPr>
            <w:tcW w:w="315" w:type="pct"/>
            <w:shd w:val="clear" w:color="auto" w:fill="EF3A84" w:themeFill="background2"/>
            <w:hideMark/>
          </w:tcPr>
          <w:p w14:paraId="36A8B70F" w14:textId="5ADB4DB5" w:rsidR="0048409F" w:rsidRPr="00B44BA8" w:rsidRDefault="0048409F" w:rsidP="00941F20">
            <w:pPr>
              <w:pStyle w:val="Tabelle-Text"/>
            </w:pPr>
          </w:p>
        </w:tc>
        <w:tc>
          <w:tcPr>
            <w:tcW w:w="2555" w:type="pct"/>
            <w:vMerge/>
            <w:hideMark/>
          </w:tcPr>
          <w:p w14:paraId="0183875E" w14:textId="7BEDC69D" w:rsidR="0048409F" w:rsidRPr="00B44BA8" w:rsidRDefault="0048409F" w:rsidP="00941F20">
            <w:pPr>
              <w:pStyle w:val="Tabelle-Text"/>
            </w:pPr>
          </w:p>
        </w:tc>
      </w:tr>
      <w:tr w:rsidR="0048409F" w:rsidRPr="00B44BA8" w14:paraId="0F63530F" w14:textId="77777777" w:rsidTr="00941F20">
        <w:trPr>
          <w:trHeight w:val="20"/>
        </w:trPr>
        <w:tc>
          <w:tcPr>
            <w:tcW w:w="149" w:type="pct"/>
            <w:vMerge w:val="restart"/>
            <w:hideMark/>
          </w:tcPr>
          <w:p w14:paraId="2B841164" w14:textId="691C250A" w:rsidR="0048409F" w:rsidRPr="00B44BA8" w:rsidRDefault="0048409F" w:rsidP="00941F20">
            <w:pPr>
              <w:pStyle w:val="Tabelle-Text"/>
            </w:pPr>
            <w:r w:rsidRPr="00B44BA8">
              <w:lastRenderedPageBreak/>
              <w:t>11</w:t>
            </w:r>
          </w:p>
        </w:tc>
        <w:tc>
          <w:tcPr>
            <w:tcW w:w="440" w:type="pct"/>
            <w:vMerge w:val="restart"/>
          </w:tcPr>
          <w:p w14:paraId="362F4556" w14:textId="1D0BA2C8" w:rsidR="0048409F" w:rsidRPr="00B44BA8" w:rsidRDefault="0048409F" w:rsidP="00941F20">
            <w:pPr>
              <w:pStyle w:val="Tabelle-Text"/>
            </w:pPr>
            <w:r w:rsidRPr="00941F20">
              <w:t>Monitoring and intelligence</w:t>
            </w:r>
          </w:p>
        </w:tc>
        <w:tc>
          <w:tcPr>
            <w:tcW w:w="374" w:type="pct"/>
          </w:tcPr>
          <w:p w14:paraId="0BDD64F9" w14:textId="4DA8CC67" w:rsidR="0048409F" w:rsidRPr="00B44BA8" w:rsidRDefault="0048409F" w:rsidP="00941F20">
            <w:pPr>
              <w:pStyle w:val="Tabelle-Text"/>
            </w:pPr>
            <w:r w:rsidRPr="00B44BA8">
              <w:t>MONIT1</w:t>
            </w:r>
          </w:p>
        </w:tc>
        <w:tc>
          <w:tcPr>
            <w:tcW w:w="542" w:type="pct"/>
          </w:tcPr>
          <w:p w14:paraId="049BFCF4" w14:textId="1F92AC1A" w:rsidR="0048409F" w:rsidRPr="00B44BA8" w:rsidRDefault="0048409F" w:rsidP="00941F20">
            <w:pPr>
              <w:pStyle w:val="Tabelle-Text"/>
            </w:pPr>
            <w:r w:rsidRPr="00A24F20">
              <w:t>Food environments</w:t>
            </w:r>
          </w:p>
        </w:tc>
        <w:tc>
          <w:tcPr>
            <w:tcW w:w="312" w:type="pct"/>
            <w:shd w:val="clear" w:color="auto" w:fill="EF3A84" w:themeFill="background2"/>
            <w:hideMark/>
          </w:tcPr>
          <w:p w14:paraId="15EA73B7" w14:textId="00C9B5F5" w:rsidR="0048409F" w:rsidRPr="00B44BA8" w:rsidRDefault="0048409F" w:rsidP="00941F20">
            <w:pPr>
              <w:pStyle w:val="Tabelle-Text"/>
            </w:pPr>
          </w:p>
        </w:tc>
        <w:tc>
          <w:tcPr>
            <w:tcW w:w="313" w:type="pct"/>
            <w:shd w:val="clear" w:color="auto" w:fill="EF3A84" w:themeFill="background2"/>
            <w:hideMark/>
          </w:tcPr>
          <w:p w14:paraId="5E65E2C2" w14:textId="55563AB0" w:rsidR="0048409F" w:rsidRPr="00B44BA8" w:rsidRDefault="0048409F" w:rsidP="00941F20">
            <w:pPr>
              <w:pStyle w:val="Tabelle-Text"/>
            </w:pPr>
          </w:p>
        </w:tc>
        <w:tc>
          <w:tcPr>
            <w:tcW w:w="315" w:type="pct"/>
            <w:shd w:val="clear" w:color="auto" w:fill="EF3A84" w:themeFill="background2"/>
            <w:hideMark/>
          </w:tcPr>
          <w:p w14:paraId="05B91DEC" w14:textId="6816651A" w:rsidR="0048409F" w:rsidRPr="00B44BA8" w:rsidRDefault="0048409F" w:rsidP="00941F20">
            <w:pPr>
              <w:pStyle w:val="Tabelle-Text"/>
            </w:pPr>
          </w:p>
        </w:tc>
        <w:tc>
          <w:tcPr>
            <w:tcW w:w="2555" w:type="pct"/>
            <w:vMerge w:val="restart"/>
            <w:hideMark/>
          </w:tcPr>
          <w:p w14:paraId="6EFAFC6B" w14:textId="420A62EF" w:rsidR="0048409F" w:rsidRPr="0048409F" w:rsidRDefault="0048409F" w:rsidP="00941F20">
            <w:pPr>
              <w:pStyle w:val="Tabelle-Text"/>
              <w:rPr>
                <w:color w:val="EF3A84" w:themeColor="background2"/>
              </w:rPr>
            </w:pPr>
            <w:r>
              <w:t xml:space="preserve">All levels of government can introduce monitoring and intelligence systems – a </w:t>
            </w:r>
            <w:r w:rsidRPr="00B44BA8">
              <w:t xml:space="preserve">coordination across levels is </w:t>
            </w:r>
            <w:r>
              <w:t xml:space="preserve">important </w:t>
            </w:r>
            <w:r w:rsidRPr="00B44BA8">
              <w:t>to avoid duplicative use of public resources</w:t>
            </w:r>
            <w:r>
              <w:t xml:space="preserve">. Similarly, as all levels may introduces policies and programs (see policy domains), policy evaluation is relevant and possible across all levels. </w:t>
            </w:r>
          </w:p>
          <w:p w14:paraId="29BD9A5D" w14:textId="2382383A" w:rsidR="0048409F" w:rsidRPr="00B44BA8" w:rsidRDefault="0048409F" w:rsidP="00941F20">
            <w:pPr>
              <w:pStyle w:val="Tabelle-Text"/>
              <w:rPr>
                <w:color w:val="EF3A84" w:themeColor="background2"/>
              </w:rPr>
            </w:pPr>
          </w:p>
        </w:tc>
      </w:tr>
      <w:tr w:rsidR="0048409F" w:rsidRPr="00B44BA8" w14:paraId="1D57AD5B" w14:textId="77777777" w:rsidTr="00941F20">
        <w:trPr>
          <w:trHeight w:val="20"/>
        </w:trPr>
        <w:tc>
          <w:tcPr>
            <w:tcW w:w="149" w:type="pct"/>
            <w:vMerge/>
            <w:hideMark/>
          </w:tcPr>
          <w:p w14:paraId="56A3E6E2" w14:textId="772F333E" w:rsidR="0048409F" w:rsidRPr="00B44BA8" w:rsidRDefault="0048409F" w:rsidP="00941F20">
            <w:pPr>
              <w:pStyle w:val="Tabelle-Text"/>
            </w:pPr>
          </w:p>
        </w:tc>
        <w:tc>
          <w:tcPr>
            <w:tcW w:w="440" w:type="pct"/>
            <w:vMerge/>
          </w:tcPr>
          <w:p w14:paraId="2F4F86C7" w14:textId="77777777" w:rsidR="0048409F" w:rsidRPr="00B44BA8" w:rsidRDefault="0048409F" w:rsidP="00941F20">
            <w:pPr>
              <w:pStyle w:val="Tabelle-Text"/>
            </w:pPr>
          </w:p>
        </w:tc>
        <w:tc>
          <w:tcPr>
            <w:tcW w:w="374" w:type="pct"/>
          </w:tcPr>
          <w:p w14:paraId="481941A2" w14:textId="5126033A" w:rsidR="0048409F" w:rsidRPr="00B44BA8" w:rsidRDefault="0048409F" w:rsidP="00941F20">
            <w:pPr>
              <w:pStyle w:val="Tabelle-Text"/>
            </w:pPr>
            <w:r w:rsidRPr="00B44BA8">
              <w:t>MONIT2</w:t>
            </w:r>
          </w:p>
        </w:tc>
        <w:tc>
          <w:tcPr>
            <w:tcW w:w="542" w:type="pct"/>
          </w:tcPr>
          <w:p w14:paraId="68DD57C5" w14:textId="58E1313E" w:rsidR="0048409F" w:rsidRPr="00B44BA8" w:rsidRDefault="0048409F" w:rsidP="00941F20">
            <w:pPr>
              <w:pStyle w:val="Tabelle-Text"/>
            </w:pPr>
            <w:r w:rsidRPr="00A24F20">
              <w:t>Nutrition and health status</w:t>
            </w:r>
          </w:p>
        </w:tc>
        <w:tc>
          <w:tcPr>
            <w:tcW w:w="312" w:type="pct"/>
            <w:shd w:val="clear" w:color="auto" w:fill="EF3A84" w:themeFill="background2"/>
            <w:hideMark/>
          </w:tcPr>
          <w:p w14:paraId="7178D612" w14:textId="3E3182B8" w:rsidR="0048409F" w:rsidRPr="00B44BA8" w:rsidRDefault="0048409F" w:rsidP="00941F20">
            <w:pPr>
              <w:pStyle w:val="Tabelle-Text"/>
            </w:pPr>
          </w:p>
        </w:tc>
        <w:tc>
          <w:tcPr>
            <w:tcW w:w="313" w:type="pct"/>
            <w:shd w:val="clear" w:color="auto" w:fill="EF3A84" w:themeFill="background2"/>
            <w:hideMark/>
          </w:tcPr>
          <w:p w14:paraId="43B97191" w14:textId="0C709261" w:rsidR="0048409F" w:rsidRPr="00B44BA8" w:rsidRDefault="0048409F" w:rsidP="00941F20">
            <w:pPr>
              <w:pStyle w:val="Tabelle-Text"/>
            </w:pPr>
          </w:p>
        </w:tc>
        <w:tc>
          <w:tcPr>
            <w:tcW w:w="315" w:type="pct"/>
            <w:shd w:val="clear" w:color="auto" w:fill="EF3A84" w:themeFill="background2"/>
            <w:hideMark/>
          </w:tcPr>
          <w:p w14:paraId="3C46996C" w14:textId="55AC5C4B" w:rsidR="0048409F" w:rsidRPr="00B44BA8" w:rsidRDefault="0048409F" w:rsidP="00941F20">
            <w:pPr>
              <w:pStyle w:val="Tabelle-Text"/>
            </w:pPr>
          </w:p>
        </w:tc>
        <w:tc>
          <w:tcPr>
            <w:tcW w:w="2555" w:type="pct"/>
            <w:vMerge/>
            <w:hideMark/>
          </w:tcPr>
          <w:p w14:paraId="7B78A497" w14:textId="5CC39CB0" w:rsidR="0048409F" w:rsidRPr="00B44BA8" w:rsidRDefault="0048409F" w:rsidP="00941F20">
            <w:pPr>
              <w:pStyle w:val="Tabelle-Text"/>
              <w:rPr>
                <w:highlight w:val="yellow"/>
              </w:rPr>
            </w:pPr>
          </w:p>
        </w:tc>
      </w:tr>
      <w:tr w:rsidR="0048409F" w:rsidRPr="00B44BA8" w14:paraId="6A8FEBD4" w14:textId="77777777" w:rsidTr="00941F20">
        <w:trPr>
          <w:trHeight w:val="20"/>
        </w:trPr>
        <w:tc>
          <w:tcPr>
            <w:tcW w:w="149" w:type="pct"/>
            <w:vMerge/>
            <w:hideMark/>
          </w:tcPr>
          <w:p w14:paraId="5635CDB1" w14:textId="0E63D9A2" w:rsidR="0048409F" w:rsidRPr="00B44BA8" w:rsidRDefault="0048409F" w:rsidP="00941F20">
            <w:pPr>
              <w:pStyle w:val="Tabelle-Text"/>
            </w:pPr>
          </w:p>
        </w:tc>
        <w:tc>
          <w:tcPr>
            <w:tcW w:w="440" w:type="pct"/>
            <w:vMerge/>
          </w:tcPr>
          <w:p w14:paraId="2555F211" w14:textId="77777777" w:rsidR="0048409F" w:rsidRPr="00B44BA8" w:rsidRDefault="0048409F" w:rsidP="00941F20">
            <w:pPr>
              <w:pStyle w:val="Tabelle-Text"/>
            </w:pPr>
          </w:p>
        </w:tc>
        <w:tc>
          <w:tcPr>
            <w:tcW w:w="374" w:type="pct"/>
          </w:tcPr>
          <w:p w14:paraId="3CA7A4C8" w14:textId="3A56A6B5" w:rsidR="0048409F" w:rsidRPr="00B44BA8" w:rsidRDefault="0048409F" w:rsidP="00941F20">
            <w:pPr>
              <w:pStyle w:val="Tabelle-Text"/>
            </w:pPr>
            <w:r w:rsidRPr="00B44BA8">
              <w:t>MOINT5</w:t>
            </w:r>
          </w:p>
        </w:tc>
        <w:tc>
          <w:tcPr>
            <w:tcW w:w="542" w:type="pct"/>
          </w:tcPr>
          <w:p w14:paraId="6920F3F6" w14:textId="4F621747" w:rsidR="0048409F" w:rsidRPr="00B44BA8" w:rsidRDefault="0048409F" w:rsidP="00941F20">
            <w:pPr>
              <w:pStyle w:val="Tabelle-Text"/>
            </w:pPr>
            <w:r w:rsidRPr="00203C5D">
              <w:t>Programs and policies</w:t>
            </w:r>
          </w:p>
        </w:tc>
        <w:tc>
          <w:tcPr>
            <w:tcW w:w="312" w:type="pct"/>
            <w:shd w:val="clear" w:color="auto" w:fill="EF3A84" w:themeFill="background2"/>
            <w:hideMark/>
          </w:tcPr>
          <w:p w14:paraId="0D42B300" w14:textId="505D86E8" w:rsidR="0048409F" w:rsidRPr="00B44BA8" w:rsidRDefault="0048409F" w:rsidP="00941F20">
            <w:pPr>
              <w:pStyle w:val="Tabelle-Text"/>
            </w:pPr>
          </w:p>
        </w:tc>
        <w:tc>
          <w:tcPr>
            <w:tcW w:w="313" w:type="pct"/>
            <w:shd w:val="clear" w:color="auto" w:fill="EF3A84" w:themeFill="background2"/>
            <w:hideMark/>
          </w:tcPr>
          <w:p w14:paraId="52D9C1E5" w14:textId="2F0D4E12" w:rsidR="0048409F" w:rsidRPr="00B44BA8" w:rsidRDefault="0048409F" w:rsidP="00941F20">
            <w:pPr>
              <w:pStyle w:val="Tabelle-Text"/>
            </w:pPr>
          </w:p>
        </w:tc>
        <w:tc>
          <w:tcPr>
            <w:tcW w:w="315" w:type="pct"/>
            <w:shd w:val="clear" w:color="auto" w:fill="EF3A84" w:themeFill="background2"/>
            <w:hideMark/>
          </w:tcPr>
          <w:p w14:paraId="06F03F31" w14:textId="2C78CF93" w:rsidR="0048409F" w:rsidRPr="00B44BA8" w:rsidRDefault="0048409F" w:rsidP="00941F20">
            <w:pPr>
              <w:pStyle w:val="Tabelle-Text"/>
            </w:pPr>
          </w:p>
        </w:tc>
        <w:tc>
          <w:tcPr>
            <w:tcW w:w="2555" w:type="pct"/>
            <w:vMerge/>
            <w:hideMark/>
          </w:tcPr>
          <w:p w14:paraId="49B4FBD7" w14:textId="2ABF40CF" w:rsidR="0048409F" w:rsidRPr="00B44BA8" w:rsidRDefault="0048409F" w:rsidP="00941F20">
            <w:pPr>
              <w:pStyle w:val="Tabelle-Text"/>
            </w:pPr>
          </w:p>
        </w:tc>
      </w:tr>
      <w:tr w:rsidR="0048409F" w:rsidRPr="00B44BA8" w14:paraId="2A0D0A20" w14:textId="77777777" w:rsidTr="00941F20">
        <w:trPr>
          <w:trHeight w:val="20"/>
        </w:trPr>
        <w:tc>
          <w:tcPr>
            <w:tcW w:w="149" w:type="pct"/>
            <w:vMerge/>
            <w:hideMark/>
          </w:tcPr>
          <w:p w14:paraId="2467FECE" w14:textId="4C9899CA" w:rsidR="0048409F" w:rsidRPr="00B44BA8" w:rsidRDefault="0048409F" w:rsidP="00941F20">
            <w:pPr>
              <w:pStyle w:val="Tabelle-Text"/>
            </w:pPr>
          </w:p>
        </w:tc>
        <w:tc>
          <w:tcPr>
            <w:tcW w:w="440" w:type="pct"/>
            <w:vMerge/>
          </w:tcPr>
          <w:p w14:paraId="094DADE2" w14:textId="77777777" w:rsidR="0048409F" w:rsidRPr="00B44BA8" w:rsidRDefault="0048409F" w:rsidP="00941F20">
            <w:pPr>
              <w:pStyle w:val="Tabelle-Text"/>
            </w:pPr>
          </w:p>
        </w:tc>
        <w:tc>
          <w:tcPr>
            <w:tcW w:w="374" w:type="pct"/>
          </w:tcPr>
          <w:p w14:paraId="12158443" w14:textId="2946310B" w:rsidR="0048409F" w:rsidRPr="00B44BA8" w:rsidRDefault="0048409F" w:rsidP="00941F20">
            <w:pPr>
              <w:pStyle w:val="Tabelle-Text"/>
            </w:pPr>
            <w:r w:rsidRPr="00B44BA8">
              <w:t>MONIT6</w:t>
            </w:r>
          </w:p>
        </w:tc>
        <w:tc>
          <w:tcPr>
            <w:tcW w:w="542" w:type="pct"/>
          </w:tcPr>
          <w:p w14:paraId="44A6D923" w14:textId="0123EDB1" w:rsidR="0048409F" w:rsidRPr="00B44BA8" w:rsidRDefault="0048409F" w:rsidP="00941F20">
            <w:pPr>
              <w:pStyle w:val="Tabelle-Text"/>
            </w:pPr>
            <w:r w:rsidRPr="00203C5D">
              <w:t>Health inequalities</w:t>
            </w:r>
          </w:p>
        </w:tc>
        <w:tc>
          <w:tcPr>
            <w:tcW w:w="312" w:type="pct"/>
            <w:shd w:val="clear" w:color="auto" w:fill="EF3A84" w:themeFill="background2"/>
            <w:hideMark/>
          </w:tcPr>
          <w:p w14:paraId="1B3E007C" w14:textId="31BFF55F" w:rsidR="0048409F" w:rsidRPr="00B44BA8" w:rsidRDefault="0048409F" w:rsidP="00941F20">
            <w:pPr>
              <w:pStyle w:val="Tabelle-Text"/>
            </w:pPr>
          </w:p>
        </w:tc>
        <w:tc>
          <w:tcPr>
            <w:tcW w:w="313" w:type="pct"/>
            <w:shd w:val="clear" w:color="auto" w:fill="EF3A84" w:themeFill="background2"/>
            <w:hideMark/>
          </w:tcPr>
          <w:p w14:paraId="34A56765" w14:textId="2C35157B" w:rsidR="0048409F" w:rsidRPr="00B44BA8" w:rsidRDefault="0048409F" w:rsidP="00941F20">
            <w:pPr>
              <w:pStyle w:val="Tabelle-Text"/>
            </w:pPr>
          </w:p>
        </w:tc>
        <w:tc>
          <w:tcPr>
            <w:tcW w:w="315" w:type="pct"/>
            <w:shd w:val="clear" w:color="auto" w:fill="EF3A84" w:themeFill="background2"/>
            <w:hideMark/>
          </w:tcPr>
          <w:p w14:paraId="487C5912" w14:textId="0B85CC9B" w:rsidR="0048409F" w:rsidRPr="00B44BA8" w:rsidRDefault="0048409F" w:rsidP="00941F20">
            <w:pPr>
              <w:pStyle w:val="Tabelle-Text"/>
            </w:pPr>
          </w:p>
        </w:tc>
        <w:tc>
          <w:tcPr>
            <w:tcW w:w="2555" w:type="pct"/>
            <w:vMerge/>
            <w:hideMark/>
          </w:tcPr>
          <w:p w14:paraId="6571D709" w14:textId="0D5756BC" w:rsidR="0048409F" w:rsidRPr="00B44BA8" w:rsidRDefault="0048409F" w:rsidP="00941F20">
            <w:pPr>
              <w:pStyle w:val="Tabelle-Text"/>
              <w:rPr>
                <w:highlight w:val="yellow"/>
              </w:rPr>
            </w:pPr>
          </w:p>
        </w:tc>
      </w:tr>
      <w:tr w:rsidR="0048409F" w:rsidRPr="00B44BA8" w14:paraId="37CDC89A" w14:textId="77777777" w:rsidTr="00941F20">
        <w:trPr>
          <w:trHeight w:val="20"/>
        </w:trPr>
        <w:tc>
          <w:tcPr>
            <w:tcW w:w="149" w:type="pct"/>
            <w:vMerge/>
            <w:hideMark/>
          </w:tcPr>
          <w:p w14:paraId="331AC6B8" w14:textId="608BF441" w:rsidR="0048409F" w:rsidRPr="00B44BA8" w:rsidRDefault="0048409F" w:rsidP="00941F20">
            <w:pPr>
              <w:pStyle w:val="Tabelle-Text"/>
            </w:pPr>
          </w:p>
        </w:tc>
        <w:tc>
          <w:tcPr>
            <w:tcW w:w="440" w:type="pct"/>
            <w:vMerge/>
          </w:tcPr>
          <w:p w14:paraId="1BCB5E26" w14:textId="77777777" w:rsidR="0048409F" w:rsidRPr="00B44BA8" w:rsidRDefault="0048409F" w:rsidP="00941F20">
            <w:pPr>
              <w:pStyle w:val="Tabelle-Text"/>
            </w:pPr>
          </w:p>
        </w:tc>
        <w:tc>
          <w:tcPr>
            <w:tcW w:w="374" w:type="pct"/>
          </w:tcPr>
          <w:p w14:paraId="67678778" w14:textId="04D42AD2" w:rsidR="0048409F" w:rsidRPr="00B44BA8" w:rsidRDefault="0048409F" w:rsidP="00941F20">
            <w:pPr>
              <w:pStyle w:val="Tabelle-Text"/>
            </w:pPr>
            <w:r w:rsidRPr="00B44BA8">
              <w:t>MONIT7</w:t>
            </w:r>
          </w:p>
        </w:tc>
        <w:tc>
          <w:tcPr>
            <w:tcW w:w="542" w:type="pct"/>
          </w:tcPr>
          <w:p w14:paraId="25464568" w14:textId="5A624C2E" w:rsidR="0048409F" w:rsidRPr="00B44BA8" w:rsidRDefault="0048409F" w:rsidP="00941F20">
            <w:pPr>
              <w:pStyle w:val="Tabelle-Text"/>
            </w:pPr>
            <w:r w:rsidRPr="00203C5D">
              <w:t>Environmental impact of the food system</w:t>
            </w:r>
          </w:p>
        </w:tc>
        <w:tc>
          <w:tcPr>
            <w:tcW w:w="312" w:type="pct"/>
            <w:shd w:val="clear" w:color="auto" w:fill="EF3A84" w:themeFill="background2"/>
            <w:hideMark/>
          </w:tcPr>
          <w:p w14:paraId="48787A54" w14:textId="2706FD46" w:rsidR="0048409F" w:rsidRPr="00B44BA8" w:rsidRDefault="0048409F" w:rsidP="00941F20">
            <w:pPr>
              <w:pStyle w:val="Tabelle-Text"/>
            </w:pPr>
          </w:p>
        </w:tc>
        <w:tc>
          <w:tcPr>
            <w:tcW w:w="313" w:type="pct"/>
            <w:shd w:val="clear" w:color="auto" w:fill="EF3A84" w:themeFill="background2"/>
            <w:hideMark/>
          </w:tcPr>
          <w:p w14:paraId="50F9BF6F" w14:textId="522F2B4A" w:rsidR="0048409F" w:rsidRPr="00B44BA8" w:rsidRDefault="0048409F" w:rsidP="00941F20">
            <w:pPr>
              <w:pStyle w:val="Tabelle-Text"/>
            </w:pPr>
          </w:p>
        </w:tc>
        <w:tc>
          <w:tcPr>
            <w:tcW w:w="315" w:type="pct"/>
            <w:shd w:val="clear" w:color="auto" w:fill="EF3A84" w:themeFill="background2"/>
            <w:hideMark/>
          </w:tcPr>
          <w:p w14:paraId="1831D3C7" w14:textId="769C8CF2" w:rsidR="0048409F" w:rsidRPr="00B44BA8" w:rsidRDefault="0048409F" w:rsidP="00941F20">
            <w:pPr>
              <w:pStyle w:val="Tabelle-Text"/>
            </w:pPr>
          </w:p>
        </w:tc>
        <w:tc>
          <w:tcPr>
            <w:tcW w:w="2555" w:type="pct"/>
            <w:vMerge/>
            <w:hideMark/>
          </w:tcPr>
          <w:p w14:paraId="4A963396" w14:textId="1E7262CE" w:rsidR="0048409F" w:rsidRPr="00B44BA8" w:rsidRDefault="0048409F" w:rsidP="00941F20">
            <w:pPr>
              <w:pStyle w:val="Tabelle-Text"/>
              <w:rPr>
                <w:highlight w:val="yellow"/>
              </w:rPr>
            </w:pPr>
          </w:p>
        </w:tc>
      </w:tr>
      <w:tr w:rsidR="0048409F" w:rsidRPr="00B44BA8" w14:paraId="7EE5486D" w14:textId="77777777" w:rsidTr="00941F20">
        <w:trPr>
          <w:trHeight w:val="20"/>
        </w:trPr>
        <w:tc>
          <w:tcPr>
            <w:tcW w:w="149" w:type="pct"/>
            <w:vMerge w:val="restart"/>
            <w:hideMark/>
          </w:tcPr>
          <w:p w14:paraId="7D804A2D" w14:textId="1F3DF2E7" w:rsidR="0048409F" w:rsidRPr="00B44BA8" w:rsidRDefault="0048409F" w:rsidP="00941F20">
            <w:pPr>
              <w:pStyle w:val="Tabelle-Text"/>
            </w:pPr>
            <w:r w:rsidRPr="00B44BA8">
              <w:t>12</w:t>
            </w:r>
          </w:p>
        </w:tc>
        <w:tc>
          <w:tcPr>
            <w:tcW w:w="440" w:type="pct"/>
            <w:vMerge w:val="restart"/>
          </w:tcPr>
          <w:p w14:paraId="49A5637A" w14:textId="7C265193" w:rsidR="0048409F" w:rsidRPr="00B44BA8" w:rsidRDefault="0048409F" w:rsidP="00941F20">
            <w:pPr>
              <w:pStyle w:val="Tabelle-Text"/>
            </w:pPr>
            <w:r w:rsidRPr="00941F20">
              <w:t>Funding and resources</w:t>
            </w:r>
          </w:p>
        </w:tc>
        <w:tc>
          <w:tcPr>
            <w:tcW w:w="374" w:type="pct"/>
          </w:tcPr>
          <w:p w14:paraId="65A59D29" w14:textId="0DD1917D" w:rsidR="0048409F" w:rsidRPr="00B44BA8" w:rsidRDefault="0048409F" w:rsidP="00941F20">
            <w:pPr>
              <w:pStyle w:val="Tabelle-Text"/>
            </w:pPr>
            <w:r w:rsidRPr="00B44BA8">
              <w:t>FUND1</w:t>
            </w:r>
          </w:p>
        </w:tc>
        <w:tc>
          <w:tcPr>
            <w:tcW w:w="542" w:type="pct"/>
          </w:tcPr>
          <w:p w14:paraId="3DAA8CC5" w14:textId="55DA08C5" w:rsidR="0048409F" w:rsidRPr="00B44BA8" w:rsidRDefault="0048409F" w:rsidP="00941F20">
            <w:pPr>
              <w:pStyle w:val="Tabelle-Text"/>
            </w:pPr>
            <w:r>
              <w:t>Budget</w:t>
            </w:r>
          </w:p>
        </w:tc>
        <w:tc>
          <w:tcPr>
            <w:tcW w:w="312" w:type="pct"/>
            <w:shd w:val="clear" w:color="auto" w:fill="EF3A84" w:themeFill="background2"/>
            <w:hideMark/>
          </w:tcPr>
          <w:p w14:paraId="0AED6152" w14:textId="6F3B5AF9" w:rsidR="0048409F" w:rsidRPr="00B44BA8" w:rsidRDefault="0048409F" w:rsidP="00941F20">
            <w:pPr>
              <w:pStyle w:val="Tabelle-Text"/>
            </w:pPr>
          </w:p>
        </w:tc>
        <w:tc>
          <w:tcPr>
            <w:tcW w:w="313" w:type="pct"/>
            <w:shd w:val="clear" w:color="auto" w:fill="EF3A84" w:themeFill="background2"/>
            <w:hideMark/>
          </w:tcPr>
          <w:p w14:paraId="4FBB3AB7" w14:textId="531E0009" w:rsidR="0048409F" w:rsidRPr="00B44BA8" w:rsidRDefault="0048409F" w:rsidP="00941F20">
            <w:pPr>
              <w:pStyle w:val="Tabelle-Text"/>
            </w:pPr>
          </w:p>
        </w:tc>
        <w:tc>
          <w:tcPr>
            <w:tcW w:w="315" w:type="pct"/>
            <w:shd w:val="clear" w:color="auto" w:fill="EF3A84" w:themeFill="background2"/>
            <w:hideMark/>
          </w:tcPr>
          <w:p w14:paraId="5CC85399" w14:textId="40F44398" w:rsidR="0048409F" w:rsidRPr="00B44BA8" w:rsidRDefault="0048409F" w:rsidP="00941F20">
            <w:pPr>
              <w:pStyle w:val="Tabelle-Text"/>
            </w:pPr>
          </w:p>
        </w:tc>
        <w:tc>
          <w:tcPr>
            <w:tcW w:w="2555" w:type="pct"/>
            <w:hideMark/>
          </w:tcPr>
          <w:p w14:paraId="0C3BFB9D" w14:textId="61BE28FB" w:rsidR="0048409F" w:rsidRPr="00B44BA8" w:rsidRDefault="0048409F" w:rsidP="00941F20">
            <w:pPr>
              <w:pStyle w:val="Tabelle-Text"/>
              <w:rPr>
                <w:highlight w:val="yellow"/>
              </w:rPr>
            </w:pPr>
            <w:r>
              <w:t xml:space="preserve">As all levels hold their own budgets and may introduce policies (see policy domains) consideration is relevant across all levels. </w:t>
            </w:r>
          </w:p>
        </w:tc>
      </w:tr>
      <w:tr w:rsidR="00941F20" w:rsidRPr="00B44BA8" w14:paraId="6322D27E" w14:textId="77777777" w:rsidTr="00941F20">
        <w:trPr>
          <w:trHeight w:val="20"/>
        </w:trPr>
        <w:tc>
          <w:tcPr>
            <w:tcW w:w="149" w:type="pct"/>
            <w:vMerge/>
            <w:hideMark/>
          </w:tcPr>
          <w:p w14:paraId="61EE4848" w14:textId="6FC7A33B" w:rsidR="00941F20" w:rsidRPr="00B44BA8" w:rsidRDefault="00941F20" w:rsidP="00941F20">
            <w:pPr>
              <w:pStyle w:val="Tabelle-Text"/>
            </w:pPr>
          </w:p>
        </w:tc>
        <w:tc>
          <w:tcPr>
            <w:tcW w:w="440" w:type="pct"/>
            <w:vMerge/>
          </w:tcPr>
          <w:p w14:paraId="5E714ACA" w14:textId="77777777" w:rsidR="00941F20" w:rsidRPr="00B44BA8" w:rsidRDefault="00941F20" w:rsidP="00941F20">
            <w:pPr>
              <w:pStyle w:val="Tabelle-Text"/>
            </w:pPr>
          </w:p>
        </w:tc>
        <w:tc>
          <w:tcPr>
            <w:tcW w:w="374" w:type="pct"/>
          </w:tcPr>
          <w:p w14:paraId="7C3E2BBD" w14:textId="3BC71EBC" w:rsidR="00941F20" w:rsidRPr="00B44BA8" w:rsidRDefault="00941F20" w:rsidP="00941F20">
            <w:pPr>
              <w:pStyle w:val="Tabelle-Text"/>
            </w:pPr>
            <w:r w:rsidRPr="00B44BA8">
              <w:t>FUND2</w:t>
            </w:r>
          </w:p>
        </w:tc>
        <w:tc>
          <w:tcPr>
            <w:tcW w:w="542" w:type="pct"/>
          </w:tcPr>
          <w:p w14:paraId="0D57E613" w14:textId="4C535AA8" w:rsidR="00941F20" w:rsidRPr="00B44BA8" w:rsidRDefault="00941F20" w:rsidP="00941F20">
            <w:pPr>
              <w:pStyle w:val="Tabelle-Text"/>
            </w:pPr>
            <w:r w:rsidRPr="00444A87">
              <w:t>Government funded research</w:t>
            </w:r>
          </w:p>
        </w:tc>
        <w:tc>
          <w:tcPr>
            <w:tcW w:w="312" w:type="pct"/>
            <w:shd w:val="clear" w:color="auto" w:fill="EF3A84" w:themeFill="background2"/>
            <w:hideMark/>
          </w:tcPr>
          <w:p w14:paraId="3757ED0A" w14:textId="75D1EE64" w:rsidR="00941F20" w:rsidRPr="00B44BA8" w:rsidRDefault="00941F20" w:rsidP="00941F20">
            <w:pPr>
              <w:pStyle w:val="Tabelle-Text"/>
            </w:pPr>
          </w:p>
        </w:tc>
        <w:tc>
          <w:tcPr>
            <w:tcW w:w="313" w:type="pct"/>
            <w:shd w:val="clear" w:color="auto" w:fill="EF3A84" w:themeFill="background2"/>
            <w:hideMark/>
          </w:tcPr>
          <w:p w14:paraId="432D7625" w14:textId="11B359CF" w:rsidR="00941F20" w:rsidRPr="00B44BA8" w:rsidRDefault="00941F20" w:rsidP="00941F20">
            <w:pPr>
              <w:pStyle w:val="Tabelle-Text"/>
            </w:pPr>
          </w:p>
        </w:tc>
        <w:tc>
          <w:tcPr>
            <w:tcW w:w="315" w:type="pct"/>
            <w:shd w:val="clear" w:color="auto" w:fill="EF3A84" w:themeFill="background2"/>
            <w:hideMark/>
          </w:tcPr>
          <w:p w14:paraId="421A45AE" w14:textId="288907D5" w:rsidR="00941F20" w:rsidRPr="00B44BA8" w:rsidRDefault="00941F20" w:rsidP="00941F20">
            <w:pPr>
              <w:pStyle w:val="Tabelle-Text"/>
            </w:pPr>
          </w:p>
        </w:tc>
        <w:tc>
          <w:tcPr>
            <w:tcW w:w="2555" w:type="pct"/>
            <w:hideMark/>
          </w:tcPr>
          <w:p w14:paraId="04EFEEB2" w14:textId="0C600ADF" w:rsidR="00941F20" w:rsidRPr="00B44BA8" w:rsidRDefault="00941F20" w:rsidP="00941F20">
            <w:pPr>
              <w:pStyle w:val="Tabelle-Text"/>
            </w:pPr>
            <w:r w:rsidRPr="00B44BA8">
              <w:t xml:space="preserve">In Germany, Universities are under the legislative power of the states (Articles 30(1), 70(1), Basic Law) and cooperation between the federal government and states in science and research is governed by Article 91b(1), Basic Law. Universities receive approximately 75% of their basic funding from states </w:t>
            </w:r>
            <w:r w:rsidRPr="00B44BA8">
              <w:fldChar w:fldCharType="begin"/>
            </w:r>
            <w:r w:rsidR="00216423">
              <w:instrText xml:space="preserve"> ADDIN ZOTERO_ITEM CSL_CITATION {"citationID":"a2oenv99o4o","properties":{"formattedCitation":"[34]","plainCitation":"[34]","noteIndex":0},"citationItems":[{"id":48,"uris":["http://zotero.org/users/5617569/items/GIJCCB5E"],"itemData":{"id":48,"type":"webpage","abstract":"Als Träger der Hochschulen stellen die Bundesländer die Grundfinanzierung der Hochschulen sicher. Insgesamt kommen fast 90 Prozent der Finanzmittel der Hochschulen von der öffentlichen Hand - der weit überwiegende Teil von den Ländern (ca. 75 Prozent); der Bund ist an der Finanzierung von","language":"de","title":"Hochschulfinanzierung","URL":"https://www.hrk.de/themen/hochschulsystem/hochschulfinanzierung","author":[{"family":"German Rectors' Conference (Hochschulrektorenkonferenz)","given":""}],"accessed":{"date-parts":[["2024",1,10]]},"issued":{"date-parts":[["2024"]]}}}],"schema":"https://github.com/citation-style-language/schema/raw/master/csl-citation.json"} </w:instrText>
            </w:r>
            <w:r w:rsidRPr="00B44BA8">
              <w:fldChar w:fldCharType="separate"/>
            </w:r>
            <w:r w:rsidR="00216423">
              <w:t>[34]</w:t>
            </w:r>
            <w:r w:rsidRPr="00B44BA8">
              <w:fldChar w:fldCharType="end"/>
            </w:r>
            <w:r w:rsidRPr="00B44BA8">
              <w:t xml:space="preserve">, while the federal government and the EU mostly fund research projects (e.g., Horizon Europe Research Fund Pillar II Cluster: Food, Bioeconomy, Natural Resources, Agriculture and Environment, Federal Ministry of Education and Research Nutrition Research Competence Cluster (up to 56 Mio. €)). </w:t>
            </w:r>
          </w:p>
        </w:tc>
      </w:tr>
      <w:tr w:rsidR="00941F20" w:rsidRPr="00B44BA8" w14:paraId="4841A866" w14:textId="77777777" w:rsidTr="00941F20">
        <w:trPr>
          <w:trHeight w:val="20"/>
        </w:trPr>
        <w:tc>
          <w:tcPr>
            <w:tcW w:w="149" w:type="pct"/>
            <w:vMerge/>
            <w:hideMark/>
          </w:tcPr>
          <w:p w14:paraId="2E0E1F39" w14:textId="5BB17AE7" w:rsidR="00941F20" w:rsidRPr="00B44BA8" w:rsidRDefault="00941F20" w:rsidP="00941F20">
            <w:pPr>
              <w:pStyle w:val="Tabelle-Text"/>
            </w:pPr>
          </w:p>
        </w:tc>
        <w:tc>
          <w:tcPr>
            <w:tcW w:w="440" w:type="pct"/>
            <w:vMerge/>
          </w:tcPr>
          <w:p w14:paraId="62E8A29E" w14:textId="77777777" w:rsidR="00941F20" w:rsidRPr="00B44BA8" w:rsidRDefault="00941F20" w:rsidP="00941F20">
            <w:pPr>
              <w:pStyle w:val="Tabelle-Text"/>
            </w:pPr>
          </w:p>
        </w:tc>
        <w:tc>
          <w:tcPr>
            <w:tcW w:w="374" w:type="pct"/>
          </w:tcPr>
          <w:p w14:paraId="2142102D" w14:textId="60F2E038" w:rsidR="00941F20" w:rsidRPr="00B44BA8" w:rsidRDefault="00941F20" w:rsidP="00941F20">
            <w:pPr>
              <w:pStyle w:val="Tabelle-Text"/>
            </w:pPr>
            <w:r w:rsidRPr="00B44BA8">
              <w:t>FUND3</w:t>
            </w:r>
          </w:p>
        </w:tc>
        <w:tc>
          <w:tcPr>
            <w:tcW w:w="542" w:type="pct"/>
          </w:tcPr>
          <w:p w14:paraId="6ED087D9" w14:textId="34C9B4FA" w:rsidR="00941F20" w:rsidRPr="00B44BA8" w:rsidRDefault="00941F20" w:rsidP="00941F20">
            <w:pPr>
              <w:pStyle w:val="Tabelle-Text"/>
            </w:pPr>
            <w:r w:rsidRPr="00444A87">
              <w:t>Statutory health promotion agency</w:t>
            </w:r>
          </w:p>
        </w:tc>
        <w:tc>
          <w:tcPr>
            <w:tcW w:w="312" w:type="pct"/>
            <w:shd w:val="clear" w:color="auto" w:fill="EF3A84" w:themeFill="background2"/>
            <w:hideMark/>
          </w:tcPr>
          <w:p w14:paraId="6A757E1E" w14:textId="5D803C6A" w:rsidR="00941F20" w:rsidRPr="00B44BA8" w:rsidRDefault="00941F20" w:rsidP="00941F20">
            <w:pPr>
              <w:pStyle w:val="Tabelle-Text"/>
            </w:pPr>
          </w:p>
        </w:tc>
        <w:tc>
          <w:tcPr>
            <w:tcW w:w="313" w:type="pct"/>
            <w:shd w:val="clear" w:color="auto" w:fill="EF3A84" w:themeFill="background2"/>
            <w:hideMark/>
          </w:tcPr>
          <w:p w14:paraId="38743B70" w14:textId="343A1D4E" w:rsidR="00941F20" w:rsidRPr="00B44BA8" w:rsidRDefault="00941F20" w:rsidP="00941F20">
            <w:pPr>
              <w:pStyle w:val="Tabelle-Text"/>
            </w:pPr>
          </w:p>
        </w:tc>
        <w:tc>
          <w:tcPr>
            <w:tcW w:w="315" w:type="pct"/>
            <w:shd w:val="clear" w:color="auto" w:fill="EF3A84" w:themeFill="background2"/>
            <w:hideMark/>
          </w:tcPr>
          <w:p w14:paraId="5E18F8CC" w14:textId="3482FAC0" w:rsidR="00941F20" w:rsidRPr="00B44BA8" w:rsidRDefault="00941F20" w:rsidP="00941F20">
            <w:pPr>
              <w:pStyle w:val="Tabelle-Text"/>
            </w:pPr>
          </w:p>
        </w:tc>
        <w:tc>
          <w:tcPr>
            <w:tcW w:w="2555" w:type="pct"/>
            <w:hideMark/>
          </w:tcPr>
          <w:p w14:paraId="7F0DA464" w14:textId="33AC2A51" w:rsidR="00941F20" w:rsidRPr="00B44BA8" w:rsidRDefault="00941F20" w:rsidP="00941F20">
            <w:pPr>
              <w:pStyle w:val="Tabelle-Text"/>
            </w:pPr>
            <w:r w:rsidRPr="00B44BA8">
              <w:t>EU, federal and state agencies exist (e.g., EU Consumers, Health, Agriculture and Food Executive Agency (CHAFEA), Federal Office for Agriculture and Food (BLE) and Bavaria’s Competence Centre for Nutrition (KeRN))</w:t>
            </w:r>
          </w:p>
        </w:tc>
      </w:tr>
      <w:tr w:rsidR="00941F20" w:rsidRPr="00B44BA8" w14:paraId="6F8964F3" w14:textId="77777777" w:rsidTr="00941F20">
        <w:trPr>
          <w:trHeight w:val="20"/>
        </w:trPr>
        <w:tc>
          <w:tcPr>
            <w:tcW w:w="149" w:type="pct"/>
            <w:vMerge w:val="restart"/>
            <w:hideMark/>
          </w:tcPr>
          <w:p w14:paraId="6F8F2AC2" w14:textId="1A9537B2" w:rsidR="00941F20" w:rsidRPr="00B44BA8" w:rsidRDefault="00941F20" w:rsidP="00941F20">
            <w:pPr>
              <w:pStyle w:val="Tabelle-Text"/>
            </w:pPr>
            <w:r w:rsidRPr="00B44BA8">
              <w:t>13</w:t>
            </w:r>
          </w:p>
        </w:tc>
        <w:tc>
          <w:tcPr>
            <w:tcW w:w="440" w:type="pct"/>
            <w:vMerge w:val="restart"/>
          </w:tcPr>
          <w:p w14:paraId="2A1EED67" w14:textId="0FD51569" w:rsidR="00941F20" w:rsidRPr="00B44BA8" w:rsidRDefault="00941F20" w:rsidP="00941F20">
            <w:pPr>
              <w:pStyle w:val="Tabelle-Text"/>
            </w:pPr>
            <w:r w:rsidRPr="00941F20">
              <w:t>Platforms for interaction</w:t>
            </w:r>
          </w:p>
        </w:tc>
        <w:tc>
          <w:tcPr>
            <w:tcW w:w="374" w:type="pct"/>
          </w:tcPr>
          <w:p w14:paraId="271888AC" w14:textId="6090C0F3" w:rsidR="00941F20" w:rsidRPr="00B44BA8" w:rsidRDefault="00941F20" w:rsidP="00941F20">
            <w:pPr>
              <w:pStyle w:val="Tabelle-Text"/>
            </w:pPr>
            <w:r w:rsidRPr="00B44BA8">
              <w:t>PLAT1</w:t>
            </w:r>
          </w:p>
        </w:tc>
        <w:tc>
          <w:tcPr>
            <w:tcW w:w="542" w:type="pct"/>
          </w:tcPr>
          <w:p w14:paraId="62684312" w14:textId="67C595DD" w:rsidR="00941F20" w:rsidRPr="00B44BA8" w:rsidRDefault="00941F20" w:rsidP="00941F20">
            <w:pPr>
              <w:pStyle w:val="Tabelle-Text"/>
            </w:pPr>
            <w:r w:rsidRPr="00941F20">
              <w:t>Across government departments and levels</w:t>
            </w:r>
          </w:p>
        </w:tc>
        <w:tc>
          <w:tcPr>
            <w:tcW w:w="312" w:type="pct"/>
            <w:shd w:val="clear" w:color="auto" w:fill="EF3A84" w:themeFill="background2"/>
            <w:hideMark/>
          </w:tcPr>
          <w:p w14:paraId="79724B2F" w14:textId="514A36F7" w:rsidR="00941F20" w:rsidRPr="00B44BA8" w:rsidRDefault="00941F20" w:rsidP="00941F20">
            <w:pPr>
              <w:pStyle w:val="Tabelle-Text"/>
            </w:pPr>
          </w:p>
        </w:tc>
        <w:tc>
          <w:tcPr>
            <w:tcW w:w="313" w:type="pct"/>
            <w:shd w:val="clear" w:color="auto" w:fill="EF3A84" w:themeFill="background2"/>
            <w:hideMark/>
          </w:tcPr>
          <w:p w14:paraId="30BB335A" w14:textId="272B8683" w:rsidR="00941F20" w:rsidRPr="00B44BA8" w:rsidRDefault="00941F20" w:rsidP="00941F20">
            <w:pPr>
              <w:pStyle w:val="Tabelle-Text"/>
            </w:pPr>
          </w:p>
        </w:tc>
        <w:tc>
          <w:tcPr>
            <w:tcW w:w="315" w:type="pct"/>
            <w:shd w:val="clear" w:color="auto" w:fill="EF3A84" w:themeFill="background2"/>
            <w:hideMark/>
          </w:tcPr>
          <w:p w14:paraId="18ADBF1E" w14:textId="4BD40ED4" w:rsidR="00941F20" w:rsidRPr="00B44BA8" w:rsidRDefault="00941F20" w:rsidP="00941F20">
            <w:pPr>
              <w:pStyle w:val="Tabelle-Text"/>
            </w:pPr>
          </w:p>
        </w:tc>
        <w:tc>
          <w:tcPr>
            <w:tcW w:w="2555" w:type="pct"/>
            <w:hideMark/>
          </w:tcPr>
          <w:p w14:paraId="5C8996F2" w14:textId="2BFE52C9" w:rsidR="00941F20" w:rsidRPr="00B44BA8" w:rsidRDefault="00941F20" w:rsidP="00941F20">
            <w:pPr>
              <w:pStyle w:val="Tabelle-Text"/>
              <w:rPr>
                <w:highlight w:val="yellow"/>
              </w:rPr>
            </w:pPr>
            <w:r w:rsidRPr="00B44BA8">
              <w:t xml:space="preserve">Relevant for all levels as </w:t>
            </w:r>
            <w:r w:rsidR="0048409F">
              <w:t xml:space="preserve">the </w:t>
            </w:r>
            <w:r w:rsidRPr="00B44BA8">
              <w:t>indicator relates to the interaction of government levels and departments</w:t>
            </w:r>
          </w:p>
        </w:tc>
      </w:tr>
      <w:tr w:rsidR="00941F20" w:rsidRPr="00B44BA8" w14:paraId="50E45632" w14:textId="77777777" w:rsidTr="00941F20">
        <w:trPr>
          <w:trHeight w:val="20"/>
        </w:trPr>
        <w:tc>
          <w:tcPr>
            <w:tcW w:w="149" w:type="pct"/>
            <w:vMerge/>
            <w:hideMark/>
          </w:tcPr>
          <w:p w14:paraId="6A141BC9" w14:textId="0DD9EFF6" w:rsidR="00941F20" w:rsidRPr="00B44BA8" w:rsidRDefault="00941F20" w:rsidP="00941F20">
            <w:pPr>
              <w:pStyle w:val="Tabelle-Text"/>
            </w:pPr>
          </w:p>
        </w:tc>
        <w:tc>
          <w:tcPr>
            <w:tcW w:w="440" w:type="pct"/>
            <w:vMerge/>
          </w:tcPr>
          <w:p w14:paraId="5E71F24E" w14:textId="77777777" w:rsidR="00941F20" w:rsidRPr="00B44BA8" w:rsidRDefault="00941F20" w:rsidP="00941F20">
            <w:pPr>
              <w:pStyle w:val="Tabelle-Text"/>
            </w:pPr>
          </w:p>
        </w:tc>
        <w:tc>
          <w:tcPr>
            <w:tcW w:w="374" w:type="pct"/>
          </w:tcPr>
          <w:p w14:paraId="757EA405" w14:textId="2C4706BE" w:rsidR="00941F20" w:rsidRPr="00B44BA8" w:rsidRDefault="00941F20" w:rsidP="00941F20">
            <w:pPr>
              <w:pStyle w:val="Tabelle-Text"/>
            </w:pPr>
            <w:r w:rsidRPr="00B44BA8">
              <w:t xml:space="preserve">PLAT2 </w:t>
            </w:r>
          </w:p>
        </w:tc>
        <w:tc>
          <w:tcPr>
            <w:tcW w:w="542" w:type="pct"/>
          </w:tcPr>
          <w:p w14:paraId="207ACBC2" w14:textId="33656847" w:rsidR="00941F20" w:rsidRPr="00B44BA8" w:rsidRDefault="00941F20" w:rsidP="00941F20">
            <w:pPr>
              <w:pStyle w:val="Tabelle-Text"/>
            </w:pPr>
            <w:r w:rsidRPr="000C455D">
              <w:t>Government and the commercial food sector</w:t>
            </w:r>
          </w:p>
        </w:tc>
        <w:tc>
          <w:tcPr>
            <w:tcW w:w="312" w:type="pct"/>
            <w:shd w:val="clear" w:color="auto" w:fill="EF3A84" w:themeFill="background2"/>
            <w:hideMark/>
          </w:tcPr>
          <w:p w14:paraId="4B3A66EC" w14:textId="2149C08C" w:rsidR="00941F20" w:rsidRPr="00B44BA8" w:rsidRDefault="00941F20" w:rsidP="00941F20">
            <w:pPr>
              <w:pStyle w:val="Tabelle-Text"/>
            </w:pPr>
          </w:p>
        </w:tc>
        <w:tc>
          <w:tcPr>
            <w:tcW w:w="313" w:type="pct"/>
            <w:shd w:val="clear" w:color="auto" w:fill="EF3A84" w:themeFill="background2"/>
            <w:hideMark/>
          </w:tcPr>
          <w:p w14:paraId="1A8B4D72" w14:textId="256C730F" w:rsidR="00941F20" w:rsidRPr="00B44BA8" w:rsidRDefault="00941F20" w:rsidP="00941F20">
            <w:pPr>
              <w:pStyle w:val="Tabelle-Text"/>
            </w:pPr>
          </w:p>
        </w:tc>
        <w:tc>
          <w:tcPr>
            <w:tcW w:w="315" w:type="pct"/>
            <w:shd w:val="clear" w:color="auto" w:fill="EF3A84" w:themeFill="background2"/>
            <w:hideMark/>
          </w:tcPr>
          <w:p w14:paraId="6D26BC7E" w14:textId="4C86C2C4" w:rsidR="00941F20" w:rsidRPr="00B44BA8" w:rsidRDefault="00941F20" w:rsidP="00941F20">
            <w:pPr>
              <w:pStyle w:val="Tabelle-Text"/>
            </w:pPr>
          </w:p>
        </w:tc>
        <w:tc>
          <w:tcPr>
            <w:tcW w:w="2555" w:type="pct"/>
            <w:hideMark/>
          </w:tcPr>
          <w:p w14:paraId="021A22D1" w14:textId="0B354F22" w:rsidR="00941F20" w:rsidRPr="00B44BA8" w:rsidRDefault="0048409F" w:rsidP="00941F20">
            <w:pPr>
              <w:pStyle w:val="Tabelle-Text"/>
              <w:rPr>
                <w:highlight w:val="yellow"/>
              </w:rPr>
            </w:pPr>
            <w:r>
              <w:t>The commercial sector may is active across government levels and all levels of government may introduce policies</w:t>
            </w:r>
            <w:r w:rsidR="00941F20" w:rsidRPr="00B44BA8">
              <w:t>, this indicator is relevant for all levels</w:t>
            </w:r>
            <w:r>
              <w:t xml:space="preserve">. </w:t>
            </w:r>
          </w:p>
        </w:tc>
      </w:tr>
      <w:tr w:rsidR="00941F20" w:rsidRPr="00B44BA8" w14:paraId="0B961F60" w14:textId="77777777" w:rsidTr="00941F20">
        <w:trPr>
          <w:trHeight w:val="20"/>
        </w:trPr>
        <w:tc>
          <w:tcPr>
            <w:tcW w:w="149" w:type="pct"/>
            <w:vMerge/>
            <w:hideMark/>
          </w:tcPr>
          <w:p w14:paraId="6B75D78F" w14:textId="6D49A056" w:rsidR="00941F20" w:rsidRPr="00B44BA8" w:rsidRDefault="00941F20" w:rsidP="00941F20">
            <w:pPr>
              <w:pStyle w:val="Tabelle-Text"/>
            </w:pPr>
          </w:p>
        </w:tc>
        <w:tc>
          <w:tcPr>
            <w:tcW w:w="440" w:type="pct"/>
            <w:vMerge/>
          </w:tcPr>
          <w:p w14:paraId="7112C08C" w14:textId="77777777" w:rsidR="00941F20" w:rsidRPr="00B44BA8" w:rsidRDefault="00941F20" w:rsidP="00941F20">
            <w:pPr>
              <w:pStyle w:val="Tabelle-Text"/>
            </w:pPr>
          </w:p>
        </w:tc>
        <w:tc>
          <w:tcPr>
            <w:tcW w:w="374" w:type="pct"/>
          </w:tcPr>
          <w:p w14:paraId="1132420E" w14:textId="75CEC5B6" w:rsidR="00941F20" w:rsidRPr="00B44BA8" w:rsidRDefault="00941F20" w:rsidP="00941F20">
            <w:pPr>
              <w:pStyle w:val="Tabelle-Text"/>
            </w:pPr>
            <w:r w:rsidRPr="00B44BA8">
              <w:t>PLAT3</w:t>
            </w:r>
          </w:p>
        </w:tc>
        <w:tc>
          <w:tcPr>
            <w:tcW w:w="542" w:type="pct"/>
          </w:tcPr>
          <w:p w14:paraId="22DB82B6" w14:textId="545E4D80" w:rsidR="00941F20" w:rsidRPr="00B44BA8" w:rsidRDefault="00941F20" w:rsidP="00941F20">
            <w:pPr>
              <w:pStyle w:val="Tabelle-Text"/>
            </w:pPr>
            <w:r w:rsidRPr="000C455D">
              <w:t>Government and civil society</w:t>
            </w:r>
          </w:p>
        </w:tc>
        <w:tc>
          <w:tcPr>
            <w:tcW w:w="312" w:type="pct"/>
            <w:shd w:val="clear" w:color="auto" w:fill="EF3A84" w:themeFill="background2"/>
            <w:hideMark/>
          </w:tcPr>
          <w:p w14:paraId="53E954C5" w14:textId="68EABB82" w:rsidR="00941F20" w:rsidRPr="00B44BA8" w:rsidRDefault="00941F20" w:rsidP="00941F20">
            <w:pPr>
              <w:pStyle w:val="Tabelle-Text"/>
            </w:pPr>
          </w:p>
        </w:tc>
        <w:tc>
          <w:tcPr>
            <w:tcW w:w="313" w:type="pct"/>
            <w:shd w:val="clear" w:color="auto" w:fill="EF3A84" w:themeFill="background2"/>
            <w:hideMark/>
          </w:tcPr>
          <w:p w14:paraId="3965D9D1" w14:textId="1028500F" w:rsidR="00941F20" w:rsidRPr="00B44BA8" w:rsidRDefault="00941F20" w:rsidP="00941F20">
            <w:pPr>
              <w:pStyle w:val="Tabelle-Text"/>
            </w:pPr>
          </w:p>
        </w:tc>
        <w:tc>
          <w:tcPr>
            <w:tcW w:w="315" w:type="pct"/>
            <w:shd w:val="clear" w:color="auto" w:fill="EF3A84" w:themeFill="background2"/>
            <w:hideMark/>
          </w:tcPr>
          <w:p w14:paraId="1361EF03" w14:textId="7593FD27" w:rsidR="00941F20" w:rsidRPr="00B44BA8" w:rsidRDefault="00941F20" w:rsidP="00941F20">
            <w:pPr>
              <w:pStyle w:val="Tabelle-Text"/>
            </w:pPr>
          </w:p>
        </w:tc>
        <w:tc>
          <w:tcPr>
            <w:tcW w:w="2555" w:type="pct"/>
            <w:hideMark/>
          </w:tcPr>
          <w:p w14:paraId="2F1AEF87" w14:textId="078A1B9E" w:rsidR="00941F20" w:rsidRPr="00B44BA8" w:rsidRDefault="00941F20" w:rsidP="00941F20">
            <w:pPr>
              <w:pStyle w:val="Tabelle-Text"/>
              <w:rPr>
                <w:highlight w:val="yellow"/>
              </w:rPr>
            </w:pPr>
            <w:r w:rsidRPr="00B44BA8">
              <w:t>Civil society is active at the EU, federal and state level, thus this indicator is relevant for all levels</w:t>
            </w:r>
          </w:p>
        </w:tc>
      </w:tr>
      <w:tr w:rsidR="00941F20" w:rsidRPr="00B44BA8" w14:paraId="62190779" w14:textId="77777777" w:rsidTr="00941F20">
        <w:trPr>
          <w:trHeight w:val="20"/>
        </w:trPr>
        <w:tc>
          <w:tcPr>
            <w:tcW w:w="149" w:type="pct"/>
            <w:vMerge/>
            <w:hideMark/>
          </w:tcPr>
          <w:p w14:paraId="1E190E65" w14:textId="0EC1C820" w:rsidR="00941F20" w:rsidRPr="00B44BA8" w:rsidRDefault="00941F20" w:rsidP="00941F20">
            <w:pPr>
              <w:pStyle w:val="Tabelle-Text"/>
            </w:pPr>
          </w:p>
        </w:tc>
        <w:tc>
          <w:tcPr>
            <w:tcW w:w="440" w:type="pct"/>
            <w:vMerge/>
          </w:tcPr>
          <w:p w14:paraId="5CBB5941" w14:textId="77777777" w:rsidR="00941F20" w:rsidRPr="00B44BA8" w:rsidRDefault="00941F20" w:rsidP="00941F20">
            <w:pPr>
              <w:pStyle w:val="Tabelle-Text"/>
            </w:pPr>
          </w:p>
        </w:tc>
        <w:tc>
          <w:tcPr>
            <w:tcW w:w="374" w:type="pct"/>
          </w:tcPr>
          <w:p w14:paraId="7BAF6BD5" w14:textId="1883C6B0" w:rsidR="00941F20" w:rsidRPr="00B44BA8" w:rsidRDefault="00941F20" w:rsidP="00941F20">
            <w:pPr>
              <w:pStyle w:val="Tabelle-Text"/>
            </w:pPr>
            <w:r w:rsidRPr="00B44BA8">
              <w:t>PLAT5</w:t>
            </w:r>
          </w:p>
        </w:tc>
        <w:tc>
          <w:tcPr>
            <w:tcW w:w="542" w:type="pct"/>
          </w:tcPr>
          <w:p w14:paraId="4249F948" w14:textId="1B460DD4" w:rsidR="00941F20" w:rsidRPr="00B44BA8" w:rsidRDefault="00941F20" w:rsidP="00941F20">
            <w:pPr>
              <w:pStyle w:val="Tabelle-Text"/>
            </w:pPr>
            <w:r w:rsidRPr="00941F20">
              <w:t>Municipal initiatives</w:t>
            </w:r>
          </w:p>
        </w:tc>
        <w:tc>
          <w:tcPr>
            <w:tcW w:w="312" w:type="pct"/>
            <w:shd w:val="clear" w:color="auto" w:fill="F8B0CD" w:themeFill="background2" w:themeFillTint="66"/>
            <w:hideMark/>
          </w:tcPr>
          <w:p w14:paraId="62721C80" w14:textId="5E387E78" w:rsidR="00941F20" w:rsidRPr="00B44BA8" w:rsidRDefault="00941F20" w:rsidP="00941F20">
            <w:pPr>
              <w:pStyle w:val="Tabelle-Text"/>
            </w:pPr>
          </w:p>
        </w:tc>
        <w:tc>
          <w:tcPr>
            <w:tcW w:w="313" w:type="pct"/>
            <w:shd w:val="clear" w:color="auto" w:fill="F8B0CD" w:themeFill="background2" w:themeFillTint="66"/>
            <w:hideMark/>
          </w:tcPr>
          <w:p w14:paraId="4EBC43EC" w14:textId="3858B1B0" w:rsidR="00941F20" w:rsidRPr="00B44BA8" w:rsidRDefault="00941F20" w:rsidP="00941F20">
            <w:pPr>
              <w:pStyle w:val="Tabelle-Text"/>
            </w:pPr>
          </w:p>
        </w:tc>
        <w:tc>
          <w:tcPr>
            <w:tcW w:w="315" w:type="pct"/>
            <w:shd w:val="clear" w:color="auto" w:fill="890B3E" w:themeFill="background2" w:themeFillShade="80"/>
            <w:hideMark/>
          </w:tcPr>
          <w:p w14:paraId="2786A461" w14:textId="77777777" w:rsidR="00941F20" w:rsidRPr="00B44BA8" w:rsidRDefault="00941F20" w:rsidP="00941F20"/>
        </w:tc>
        <w:tc>
          <w:tcPr>
            <w:tcW w:w="2555" w:type="pct"/>
            <w:hideMark/>
          </w:tcPr>
          <w:p w14:paraId="735CE970" w14:textId="6D840040" w:rsidR="00941F20" w:rsidRPr="00B44BA8" w:rsidRDefault="00941F20" w:rsidP="00941F20">
            <w:pPr>
              <w:pStyle w:val="Tabelle-Text"/>
            </w:pPr>
            <w:r w:rsidRPr="00B44BA8">
              <w:t xml:space="preserve">Municipalities are, from an organizational perspective, part of the states (Art. 28, Basic Law). While the German Basic law defines basic principles and rights of the municipalities (Art. 28, Basic Law), the municipal laws of the states define the rights, </w:t>
            </w:r>
            <w:r>
              <w:t>legislative powers</w:t>
            </w:r>
            <w:r w:rsidRPr="00B44BA8">
              <w:t xml:space="preserve"> and tasks in detail </w:t>
            </w:r>
            <w:r w:rsidRPr="00B44BA8">
              <w:fldChar w:fldCharType="begin"/>
            </w:r>
            <w:r w:rsidR="00216423">
              <w:instrText xml:space="preserve"> ADDIN ZOTERO_ITEM CSL_CITATION {"citationID":"ae9u5af144","properties":{"formattedCitation":"[35]","plainCitation":"[35]","noteIndex":0},"citationItems":[{"id":63,"uris":["http://zotero.org/users/5617569/items/A7S2WBDM"],"itemData":{"id":63,"type":"webpage","abstract":"Recht der Gemeinden, das von den Ländern erlassen wird und in den Einzelheiten differiert. Geregelt werden die Institutionen der Gemeinde, wie Bürgermeister und Gemeinderat, ferner deren Aufgaben und","container-title":"bpb.de","language":"de","title":"Kommunalrecht","URL":"https://www.bpb.de/kurz-knapp/lexika/recht-a-z/323644/kommunalrecht/","author":[{"family":"Federal Agency for Civic Education (bpb)","given":""}],"accessed":{"date-parts":[["2024",1,12]]},"issued":{"date-parts":[["2024"]]}}}],"schema":"https://github.com/citation-style-language/schema/raw/master/csl-citation.json"} </w:instrText>
            </w:r>
            <w:r w:rsidRPr="00B44BA8">
              <w:fldChar w:fldCharType="separate"/>
            </w:r>
            <w:r w:rsidR="00216423">
              <w:t>[35]</w:t>
            </w:r>
            <w:r w:rsidRPr="00B44BA8">
              <w:fldChar w:fldCharType="end"/>
            </w:r>
            <w:r w:rsidRPr="00B44BA8">
              <w:t xml:space="preserve">. As states define the overarching structures (incl. financing) for municipal support – they have the primary responsibility for municipal initiatives while the EU and the Federal government may support. </w:t>
            </w:r>
          </w:p>
        </w:tc>
      </w:tr>
      <w:tr w:rsidR="00941F20" w:rsidRPr="00B44BA8" w14:paraId="11728591" w14:textId="77777777" w:rsidTr="00941F20">
        <w:trPr>
          <w:trHeight w:val="20"/>
        </w:trPr>
        <w:tc>
          <w:tcPr>
            <w:tcW w:w="149" w:type="pct"/>
            <w:vMerge w:val="restart"/>
            <w:hideMark/>
          </w:tcPr>
          <w:p w14:paraId="572D20DD" w14:textId="4EE3CC55" w:rsidR="00941F20" w:rsidRPr="00B44BA8" w:rsidRDefault="00941F20" w:rsidP="00941F20">
            <w:pPr>
              <w:pStyle w:val="Tabelle-Text"/>
            </w:pPr>
            <w:r w:rsidRPr="00B44BA8">
              <w:t>14</w:t>
            </w:r>
          </w:p>
        </w:tc>
        <w:tc>
          <w:tcPr>
            <w:tcW w:w="440" w:type="pct"/>
            <w:vMerge w:val="restart"/>
          </w:tcPr>
          <w:p w14:paraId="5528DD30" w14:textId="30BC2E29" w:rsidR="00941F20" w:rsidRPr="00B44BA8" w:rsidRDefault="00941F20" w:rsidP="00941F20">
            <w:pPr>
              <w:pStyle w:val="Tabelle-Text"/>
            </w:pPr>
            <w:r w:rsidRPr="00941F20">
              <w:t>Health in all policies</w:t>
            </w:r>
          </w:p>
        </w:tc>
        <w:tc>
          <w:tcPr>
            <w:tcW w:w="374" w:type="pct"/>
          </w:tcPr>
          <w:p w14:paraId="1A555931" w14:textId="126A1340" w:rsidR="00941F20" w:rsidRPr="00B44BA8" w:rsidRDefault="00941F20" w:rsidP="00941F20">
            <w:pPr>
              <w:pStyle w:val="Tabelle-Text"/>
            </w:pPr>
            <w:r w:rsidRPr="00B44BA8">
              <w:t>HIAP1</w:t>
            </w:r>
          </w:p>
        </w:tc>
        <w:tc>
          <w:tcPr>
            <w:tcW w:w="542" w:type="pct"/>
          </w:tcPr>
          <w:p w14:paraId="795290A1" w14:textId="2836E19D" w:rsidR="00941F20" w:rsidRPr="00B44BA8" w:rsidRDefault="00941F20" w:rsidP="00941F20">
            <w:pPr>
              <w:pStyle w:val="Tabelle-Text"/>
            </w:pPr>
            <w:r w:rsidRPr="0051212C">
              <w:t>Consideration in all government policies</w:t>
            </w:r>
          </w:p>
        </w:tc>
        <w:tc>
          <w:tcPr>
            <w:tcW w:w="312" w:type="pct"/>
            <w:shd w:val="clear" w:color="auto" w:fill="EF3A84" w:themeFill="background2"/>
            <w:hideMark/>
          </w:tcPr>
          <w:p w14:paraId="21CEB94E" w14:textId="05C3E4A1" w:rsidR="00941F20" w:rsidRPr="00B44BA8" w:rsidRDefault="00941F20" w:rsidP="00941F20">
            <w:pPr>
              <w:pStyle w:val="Tabelle-Text"/>
            </w:pPr>
          </w:p>
        </w:tc>
        <w:tc>
          <w:tcPr>
            <w:tcW w:w="313" w:type="pct"/>
            <w:shd w:val="clear" w:color="auto" w:fill="EF3A84" w:themeFill="background2"/>
            <w:hideMark/>
          </w:tcPr>
          <w:p w14:paraId="12A7BC55" w14:textId="4726AB8F" w:rsidR="00941F20" w:rsidRPr="00B44BA8" w:rsidRDefault="00941F20" w:rsidP="00941F20">
            <w:pPr>
              <w:pStyle w:val="Tabelle-Text"/>
            </w:pPr>
          </w:p>
        </w:tc>
        <w:tc>
          <w:tcPr>
            <w:tcW w:w="315" w:type="pct"/>
            <w:shd w:val="clear" w:color="auto" w:fill="EF3A84" w:themeFill="background2"/>
            <w:hideMark/>
          </w:tcPr>
          <w:p w14:paraId="47F0B7EF" w14:textId="31907A32" w:rsidR="00941F20" w:rsidRPr="00B44BA8" w:rsidRDefault="00941F20" w:rsidP="00941F20">
            <w:pPr>
              <w:pStyle w:val="Tabelle-Text"/>
            </w:pPr>
          </w:p>
        </w:tc>
        <w:tc>
          <w:tcPr>
            <w:tcW w:w="2555" w:type="pct"/>
            <w:hideMark/>
          </w:tcPr>
          <w:p w14:paraId="78CD285C" w14:textId="4943E99F" w:rsidR="00941F20" w:rsidRPr="00B44BA8" w:rsidRDefault="00941F20" w:rsidP="00941F20">
            <w:pPr>
              <w:pStyle w:val="Tabelle-Text"/>
            </w:pPr>
            <w:r w:rsidRPr="00B44BA8">
              <w:t xml:space="preserve">As all governments pursue food environment policies, this indicator is relevant for all levels </w:t>
            </w:r>
          </w:p>
        </w:tc>
      </w:tr>
      <w:tr w:rsidR="00941F20" w:rsidRPr="00B44BA8" w14:paraId="72D537BA" w14:textId="77777777" w:rsidTr="00941F20">
        <w:trPr>
          <w:trHeight w:val="20"/>
        </w:trPr>
        <w:tc>
          <w:tcPr>
            <w:tcW w:w="149" w:type="pct"/>
            <w:vMerge/>
            <w:hideMark/>
          </w:tcPr>
          <w:p w14:paraId="41BD1E77" w14:textId="2D500460" w:rsidR="00941F20" w:rsidRPr="00B44BA8" w:rsidRDefault="00941F20" w:rsidP="00941F20">
            <w:pPr>
              <w:pStyle w:val="Tabelle-Text"/>
            </w:pPr>
          </w:p>
        </w:tc>
        <w:tc>
          <w:tcPr>
            <w:tcW w:w="440" w:type="pct"/>
            <w:vMerge/>
          </w:tcPr>
          <w:p w14:paraId="593C9710" w14:textId="77777777" w:rsidR="00941F20" w:rsidRPr="00B44BA8" w:rsidRDefault="00941F20" w:rsidP="00941F20">
            <w:pPr>
              <w:pStyle w:val="Tabelle-Text"/>
            </w:pPr>
          </w:p>
        </w:tc>
        <w:tc>
          <w:tcPr>
            <w:tcW w:w="374" w:type="pct"/>
          </w:tcPr>
          <w:p w14:paraId="00DBFF6D" w14:textId="0A713267" w:rsidR="00941F20" w:rsidRPr="00B44BA8" w:rsidRDefault="00941F20" w:rsidP="00941F20">
            <w:pPr>
              <w:pStyle w:val="Tabelle-Text"/>
            </w:pPr>
            <w:r w:rsidRPr="00B44BA8">
              <w:t>HIAP2</w:t>
            </w:r>
          </w:p>
        </w:tc>
        <w:tc>
          <w:tcPr>
            <w:tcW w:w="542" w:type="pct"/>
          </w:tcPr>
          <w:p w14:paraId="0F469A18" w14:textId="5C7A0CB7" w:rsidR="00941F20" w:rsidRPr="00B44BA8" w:rsidRDefault="00941F20" w:rsidP="00941F20">
            <w:pPr>
              <w:pStyle w:val="Tabelle-Text"/>
            </w:pPr>
            <w:r w:rsidRPr="0051212C">
              <w:t xml:space="preserve">Health impact assessment  </w:t>
            </w:r>
          </w:p>
        </w:tc>
        <w:tc>
          <w:tcPr>
            <w:tcW w:w="312" w:type="pct"/>
            <w:shd w:val="clear" w:color="auto" w:fill="EF3A84" w:themeFill="background2"/>
            <w:hideMark/>
          </w:tcPr>
          <w:p w14:paraId="5F2998AE" w14:textId="0EACA390" w:rsidR="00941F20" w:rsidRPr="00B44BA8" w:rsidRDefault="00941F20" w:rsidP="00941F20">
            <w:pPr>
              <w:pStyle w:val="Tabelle-Text"/>
            </w:pPr>
          </w:p>
        </w:tc>
        <w:tc>
          <w:tcPr>
            <w:tcW w:w="313" w:type="pct"/>
            <w:shd w:val="clear" w:color="auto" w:fill="EF3A84" w:themeFill="background2"/>
            <w:hideMark/>
          </w:tcPr>
          <w:p w14:paraId="59D33289" w14:textId="100B8529" w:rsidR="00941F20" w:rsidRPr="00B44BA8" w:rsidRDefault="00941F20" w:rsidP="00941F20">
            <w:pPr>
              <w:pStyle w:val="Tabelle-Text"/>
            </w:pPr>
          </w:p>
        </w:tc>
        <w:tc>
          <w:tcPr>
            <w:tcW w:w="315" w:type="pct"/>
            <w:shd w:val="clear" w:color="auto" w:fill="EF3A84" w:themeFill="background2"/>
            <w:hideMark/>
          </w:tcPr>
          <w:p w14:paraId="16469E1E" w14:textId="25003210" w:rsidR="00941F20" w:rsidRPr="00B44BA8" w:rsidRDefault="00941F20" w:rsidP="00941F20">
            <w:pPr>
              <w:pStyle w:val="Tabelle-Text"/>
            </w:pPr>
          </w:p>
        </w:tc>
        <w:tc>
          <w:tcPr>
            <w:tcW w:w="2555" w:type="pct"/>
            <w:hideMark/>
          </w:tcPr>
          <w:p w14:paraId="2E2CB167" w14:textId="28CDFEC9" w:rsidR="00941F20" w:rsidRPr="00B44BA8" w:rsidRDefault="00941F20" w:rsidP="00941F20">
            <w:pPr>
              <w:pStyle w:val="Tabelle-Text"/>
            </w:pPr>
            <w:r w:rsidRPr="00B44BA8">
              <w:t>As all governments pursue food environment policies, this indicator is relevant for all levels</w:t>
            </w:r>
          </w:p>
        </w:tc>
      </w:tr>
    </w:tbl>
    <w:p w14:paraId="57B9F718" w14:textId="119533AB" w:rsidR="009120A7" w:rsidRPr="00B80FA8" w:rsidRDefault="009120A7" w:rsidP="001E40B4"/>
    <w:p w14:paraId="1949A830" w14:textId="77777777" w:rsidR="00F621EE" w:rsidRDefault="00F621EE" w:rsidP="00A372B1">
      <w:pPr>
        <w:pStyle w:val="berschrift1"/>
        <w:ind w:left="709"/>
        <w:sectPr w:rsidR="00F621EE" w:rsidSect="00F621EE">
          <w:pgSz w:w="15840" w:h="12240" w:orient="landscape"/>
          <w:pgMar w:top="1077" w:right="1077" w:bottom="1077" w:left="1077" w:header="720" w:footer="720" w:gutter="0"/>
          <w:cols w:space="720"/>
          <w:docGrid w:linePitch="360"/>
        </w:sectPr>
      </w:pPr>
    </w:p>
    <w:p w14:paraId="36DACA82" w14:textId="6F39D913" w:rsidR="00FC2735" w:rsidRPr="00B44BA8" w:rsidRDefault="00E86823" w:rsidP="00A372B1">
      <w:pPr>
        <w:pStyle w:val="berschrift1"/>
        <w:ind w:left="709"/>
      </w:pPr>
      <w:bookmarkStart w:id="47" w:name="_Toc221783982"/>
      <w:r w:rsidRPr="00B44BA8">
        <w:lastRenderedPageBreak/>
        <w:t>References</w:t>
      </w:r>
      <w:bookmarkEnd w:id="47"/>
    </w:p>
    <w:p w14:paraId="08B731C7" w14:textId="77777777" w:rsidR="00216423" w:rsidRPr="005C3655" w:rsidRDefault="0035352B" w:rsidP="00216423">
      <w:pPr>
        <w:pStyle w:val="Literaturverzeichnis"/>
        <w:rPr>
          <w:rFonts w:eastAsiaTheme="minorHAnsi"/>
          <w:lang w:val="en-US" w:eastAsia="en-US"/>
        </w:rPr>
      </w:pPr>
      <w:r w:rsidRPr="00B44BA8">
        <w:fldChar w:fldCharType="begin"/>
      </w:r>
      <w:r w:rsidR="00216423">
        <w:instrText xml:space="preserve"> ADDIN ZOTERO_BIBL {"uncited":[],"omitted":[],"custom":[]} CSL_BIBLIOGRAPHY </w:instrText>
      </w:r>
      <w:r w:rsidRPr="00B44BA8">
        <w:fldChar w:fldCharType="separate"/>
      </w:r>
      <w:r w:rsidR="00216423" w:rsidRPr="005C3655">
        <w:rPr>
          <w:rFonts w:eastAsiaTheme="minorHAnsi"/>
          <w:lang w:val="en-US" w:eastAsia="en-US"/>
        </w:rPr>
        <w:t>1. Swinburn B, Vandevijvere S, Kraak V, Sacks G, Snowdon W, Hawkes C, et al. Monitoring and benchmarking government policies and actions to improve the healthiness of food environments: a proposed Government Healthy Food Environment Policy Index. Obesity Reviews. 2013;14:24–37. https://doi.org/10.1111/obr.12073</w:t>
      </w:r>
    </w:p>
    <w:p w14:paraId="76FD6160" w14:textId="77777777" w:rsidR="00216423" w:rsidRPr="005C3655" w:rsidRDefault="00216423" w:rsidP="00216423">
      <w:pPr>
        <w:pStyle w:val="Literaturverzeichnis"/>
        <w:rPr>
          <w:rFonts w:eastAsiaTheme="minorHAnsi"/>
          <w:lang w:val="en-US" w:eastAsia="en-US"/>
        </w:rPr>
      </w:pPr>
      <w:r w:rsidRPr="005C3655">
        <w:rPr>
          <w:rFonts w:eastAsiaTheme="minorHAnsi"/>
          <w:lang w:val="en-US" w:eastAsia="en-US"/>
        </w:rPr>
        <w:t>2. Philipsborn P von, Geffert K, Klinger C, Hebestreit A, Stratil J, Rehfuess EA. Nutrition policies in Germany: a systematic assessment with the Food Environment Policy Index. Public Health Nutrition. Cambridge University Press; 2022;25:1691–700. https://doi.org/10.1017/S1368980021004742</w:t>
      </w:r>
    </w:p>
    <w:p w14:paraId="718DA804" w14:textId="77777777" w:rsidR="00216423" w:rsidRPr="005C3655" w:rsidRDefault="00216423" w:rsidP="00216423">
      <w:pPr>
        <w:pStyle w:val="Literaturverzeichnis"/>
        <w:rPr>
          <w:rFonts w:eastAsiaTheme="minorHAnsi"/>
          <w:lang w:val="en-US" w:eastAsia="en-US"/>
        </w:rPr>
      </w:pPr>
      <w:r w:rsidRPr="005C3655">
        <w:rPr>
          <w:rFonts w:eastAsiaTheme="minorHAnsi"/>
          <w:lang w:val="en-US" w:eastAsia="en-US"/>
        </w:rPr>
        <w:t>3. United Nations Climate Change. Food loss and waste account for 8-10% of annual global greenhouse gas emissions; cost USD 1 trillion annually [Internet]. 2024 [cited 2025 Apr 9]. https://unfccc.int/news/food-loss-and-waste-account-for-8-10-of-annual-global-greenhouse-gas-emissions-cost-usd-1-trillion. Accessed 9 Apr 2025</w:t>
      </w:r>
    </w:p>
    <w:p w14:paraId="6273A34D" w14:textId="77777777" w:rsidR="00216423" w:rsidRPr="005C3655" w:rsidRDefault="00216423" w:rsidP="00216423">
      <w:pPr>
        <w:pStyle w:val="Literaturverzeichnis"/>
        <w:rPr>
          <w:rFonts w:eastAsiaTheme="minorHAnsi"/>
          <w:lang w:val="en-US" w:eastAsia="en-US"/>
        </w:rPr>
      </w:pPr>
      <w:r w:rsidRPr="005C3655">
        <w:rPr>
          <w:rFonts w:eastAsiaTheme="minorHAnsi"/>
          <w:lang w:val="en-US" w:eastAsia="en-US"/>
        </w:rPr>
        <w:t>4. Karbasy K, Vanderlee L, L’Abbé M. Local Food-EPI: Pilot Study to Assess Regional / Municipal Food Environment Policies Across Ontario [Internet]. Canada, Toronto: University of Toronto; 2018. https://sustainontario.com/greenhouse/custom/uploads/2019/07/Food-EPI_Evidence-Document-Toronto.pdf. Accessed 30 Aug 2023</w:t>
      </w:r>
    </w:p>
    <w:p w14:paraId="094CB8F0" w14:textId="77777777" w:rsidR="00216423" w:rsidRPr="005C3655" w:rsidRDefault="00216423" w:rsidP="00216423">
      <w:pPr>
        <w:pStyle w:val="Literaturverzeichnis"/>
        <w:rPr>
          <w:rFonts w:eastAsiaTheme="minorHAnsi"/>
          <w:lang w:val="en-US" w:eastAsia="en-US"/>
        </w:rPr>
      </w:pPr>
      <w:r w:rsidRPr="005C3655">
        <w:rPr>
          <w:rFonts w:eastAsiaTheme="minorHAnsi"/>
          <w:lang w:val="en-US" w:eastAsia="en-US"/>
        </w:rPr>
        <w:t>5. Tong A, Sainsbury P, Craig J. Consolidated criteria for reporting qualitative research (COREQ): a 32-item checklist for interviews and focus groups. International Journal for Quality in Health Care. 2007;19:349–57. https://doi.org/10.1093/intqhc/mzm042</w:t>
      </w:r>
    </w:p>
    <w:p w14:paraId="5F5F7B3E" w14:textId="77777777" w:rsidR="00216423" w:rsidRPr="00216423" w:rsidRDefault="00216423" w:rsidP="00216423">
      <w:pPr>
        <w:pStyle w:val="Literaturverzeichnis"/>
        <w:rPr>
          <w:rFonts w:eastAsiaTheme="minorHAnsi"/>
          <w:lang w:val="de-DE" w:eastAsia="en-US"/>
        </w:rPr>
      </w:pPr>
      <w:r w:rsidRPr="005C3655">
        <w:rPr>
          <w:rFonts w:eastAsiaTheme="minorHAnsi"/>
          <w:lang w:val="en-US" w:eastAsia="en-US"/>
        </w:rPr>
        <w:t xml:space="preserve">6. Alemanno A, Garde A. The emergence of an EU lifestyle policy: The case of alcohol, tobacco and unhealthy diets. </w:t>
      </w:r>
      <w:r w:rsidRPr="00216423">
        <w:rPr>
          <w:rFonts w:eastAsiaTheme="minorHAnsi"/>
          <w:lang w:val="de-DE" w:eastAsia="en-US"/>
        </w:rPr>
        <w:t>COLA. 2013;50:1745–86. https://doi.org/10.54648/COLA2013165</w:t>
      </w:r>
    </w:p>
    <w:p w14:paraId="6D07F23B" w14:textId="77777777" w:rsidR="00216423" w:rsidRPr="00216423" w:rsidRDefault="00216423" w:rsidP="00216423">
      <w:pPr>
        <w:pStyle w:val="Literaturverzeichnis"/>
        <w:rPr>
          <w:rFonts w:eastAsiaTheme="minorHAnsi"/>
          <w:lang w:val="de-DE" w:eastAsia="en-US"/>
        </w:rPr>
      </w:pPr>
      <w:r w:rsidRPr="00216423">
        <w:rPr>
          <w:rFonts w:eastAsiaTheme="minorHAnsi"/>
          <w:lang w:val="de-DE" w:eastAsia="en-US"/>
        </w:rPr>
        <w:t xml:space="preserve">7. German Bundestag. Gesetzgebungszuständigkeiten von Bund und Ländern [Internet]. </w:t>
      </w:r>
      <w:r w:rsidRPr="005C3655">
        <w:rPr>
          <w:rFonts w:eastAsiaTheme="minorHAnsi"/>
          <w:lang w:val="en-US" w:eastAsia="en-US"/>
        </w:rPr>
        <w:t xml:space="preserve">2023 [cited 2023 Nov 21]. https://www.bundestag.de/parlament/aufgaben/gesetzgebung_neu/gesetzgebung/bundesstaatsprinzip-255460. </w:t>
      </w:r>
      <w:r w:rsidRPr="00216423">
        <w:rPr>
          <w:rFonts w:eastAsiaTheme="minorHAnsi"/>
          <w:lang w:val="de-DE" w:eastAsia="en-US"/>
        </w:rPr>
        <w:t>Accessed 21 Nov 2023</w:t>
      </w:r>
    </w:p>
    <w:p w14:paraId="64E4B32C" w14:textId="77777777" w:rsidR="00216423" w:rsidRPr="005C3655" w:rsidRDefault="00216423" w:rsidP="00216423">
      <w:pPr>
        <w:pStyle w:val="Literaturverzeichnis"/>
        <w:rPr>
          <w:rFonts w:eastAsiaTheme="minorHAnsi"/>
          <w:lang w:val="en-US" w:eastAsia="en-US"/>
        </w:rPr>
      </w:pPr>
      <w:r w:rsidRPr="00216423">
        <w:rPr>
          <w:rFonts w:eastAsiaTheme="minorHAnsi"/>
          <w:lang w:val="de-DE" w:eastAsia="en-US"/>
        </w:rPr>
        <w:t xml:space="preserve">8. Federal Ministry of Food and Agriculture (BMEL). Der Nutri-Score-Algorithmus entwicklet sich weiter - für gesündere Ernährungsentscheidungen [Internet]. </w:t>
      </w:r>
      <w:r w:rsidRPr="005C3655">
        <w:rPr>
          <w:rFonts w:eastAsiaTheme="minorHAnsi"/>
          <w:lang w:val="en-US" w:eastAsia="en-US"/>
        </w:rPr>
        <w:t>2023 [cited 2025 May 20]. https://www.bmel.de/SharedDocs/Downloads/DE/_Ernaehrung/Lebensmittel-Kennzeichnung/pm-nutriscor-weiterentwicklung-laender.pdf?__blob=publicationFile&amp;v=2. Accessed 20 May 2025</w:t>
      </w:r>
    </w:p>
    <w:p w14:paraId="34BA94D9" w14:textId="77777777" w:rsidR="00216423" w:rsidRPr="005C3655" w:rsidRDefault="00216423" w:rsidP="00216423">
      <w:pPr>
        <w:pStyle w:val="Literaturverzeichnis"/>
        <w:rPr>
          <w:rFonts w:eastAsiaTheme="minorHAnsi"/>
          <w:lang w:val="en-US" w:eastAsia="en-US"/>
        </w:rPr>
      </w:pPr>
      <w:r w:rsidRPr="005C3655">
        <w:rPr>
          <w:rFonts w:eastAsiaTheme="minorHAnsi"/>
          <w:lang w:val="en-US" w:eastAsia="en-US"/>
        </w:rPr>
        <w:t xml:space="preserve">9. European Council. Green claims directive: Council ready to start talks with the European Parliament. Brussels; 2024 June. Report No.: 530/24. </w:t>
      </w:r>
    </w:p>
    <w:p w14:paraId="74ED17F4" w14:textId="77777777" w:rsidR="00216423" w:rsidRPr="005C3655" w:rsidRDefault="00216423" w:rsidP="00216423">
      <w:pPr>
        <w:pStyle w:val="Literaturverzeichnis"/>
        <w:rPr>
          <w:rFonts w:eastAsiaTheme="minorHAnsi"/>
          <w:lang w:val="en-US" w:eastAsia="en-US"/>
        </w:rPr>
      </w:pPr>
      <w:r w:rsidRPr="005C3655">
        <w:rPr>
          <w:rFonts w:eastAsiaTheme="minorHAnsi"/>
          <w:lang w:val="en-US" w:eastAsia="en-US"/>
        </w:rPr>
        <w:t>10. European Parliament. Parliamentary question | Answer for question E-003413/22 | Answer given by Ms Kyriakides on behalf of the European Commission [Internet]. 2022 [cited 2025 Apr 8]. https://www.europarl.europa.eu/doceo/document/E-9-2022-003413-ASW_EN.html. Accessed 8 Apr 2025</w:t>
      </w:r>
    </w:p>
    <w:p w14:paraId="46BCE4A6" w14:textId="77777777" w:rsidR="00216423" w:rsidRPr="005C3655" w:rsidRDefault="00216423" w:rsidP="00216423">
      <w:pPr>
        <w:pStyle w:val="Literaturverzeichnis"/>
        <w:rPr>
          <w:rFonts w:eastAsiaTheme="minorHAnsi"/>
          <w:lang w:val="en-US" w:eastAsia="en-US"/>
        </w:rPr>
      </w:pPr>
      <w:r w:rsidRPr="00216423">
        <w:rPr>
          <w:rFonts w:eastAsiaTheme="minorHAnsi"/>
          <w:lang w:val="de-DE" w:eastAsia="en-US"/>
        </w:rPr>
        <w:lastRenderedPageBreak/>
        <w:t xml:space="preserve">11. Federal Constitutional Court. Erfolglose Verfassungsbeschwerde gegen Tübinger Verpackungssteuersatzung [Internet]. </w:t>
      </w:r>
      <w:r w:rsidRPr="005C3655">
        <w:rPr>
          <w:rFonts w:eastAsiaTheme="minorHAnsi"/>
          <w:lang w:val="en-US" w:eastAsia="en-US"/>
        </w:rPr>
        <w:t>2025 [cited 2025 Mar 10]. https://www.bundesverfassungsgericht.de/SharedDocs/Pressemitteilungen/DE/2025/bvg25-006.html. Accessed 10 Mar 2025</w:t>
      </w:r>
    </w:p>
    <w:p w14:paraId="579C9BA1" w14:textId="77777777" w:rsidR="00216423" w:rsidRPr="005C3655" w:rsidRDefault="00216423" w:rsidP="00216423">
      <w:pPr>
        <w:pStyle w:val="Literaturverzeichnis"/>
        <w:rPr>
          <w:rFonts w:eastAsiaTheme="minorHAnsi"/>
          <w:lang w:val="en-US" w:eastAsia="en-US"/>
        </w:rPr>
      </w:pPr>
      <w:r w:rsidRPr="00216423">
        <w:rPr>
          <w:rFonts w:eastAsiaTheme="minorHAnsi"/>
          <w:lang w:val="de-DE" w:eastAsia="en-US"/>
        </w:rPr>
        <w:t xml:space="preserve">12. Jansen C, Buyken A, Depa J, Kroke A. Ernährung in der Schule: Zwischen administrativen Zuständigkeiten und strukturellen Rahmenbedingungen. </w:t>
      </w:r>
      <w:r w:rsidRPr="005C3655">
        <w:rPr>
          <w:rFonts w:eastAsiaTheme="minorHAnsi"/>
          <w:lang w:val="en-US" w:eastAsia="en-US"/>
        </w:rPr>
        <w:t>Ernährungs Umschau. 2020;18–23. https://doi.org/10.4455/eu.2020.007</w:t>
      </w:r>
    </w:p>
    <w:p w14:paraId="2E0B5BD6" w14:textId="77777777" w:rsidR="00216423" w:rsidRPr="00216423" w:rsidRDefault="00216423" w:rsidP="00216423">
      <w:pPr>
        <w:pStyle w:val="Literaturverzeichnis"/>
        <w:rPr>
          <w:rFonts w:eastAsiaTheme="minorHAnsi"/>
          <w:lang w:val="de-DE" w:eastAsia="en-US"/>
        </w:rPr>
      </w:pPr>
      <w:r w:rsidRPr="005C3655">
        <w:rPr>
          <w:rFonts w:eastAsiaTheme="minorHAnsi"/>
          <w:lang w:val="en-US" w:eastAsia="en-US"/>
        </w:rPr>
        <w:t xml:space="preserve">13. European Commission. School scheme explained [Internet]. European Commission - Agriculture and rural development. 2024 [cited 2024 Oct 29]. https://agriculture.ec.europa.eu/common-agricultural-policy/market-measures/school-fruit-vegetables-and-milk-scheme/school-scheme-explained_en. </w:t>
      </w:r>
      <w:r w:rsidRPr="00216423">
        <w:rPr>
          <w:rFonts w:eastAsiaTheme="minorHAnsi"/>
          <w:lang w:val="de-DE" w:eastAsia="en-US"/>
        </w:rPr>
        <w:t>Accessed 29 Oct 2024</w:t>
      </w:r>
    </w:p>
    <w:p w14:paraId="04CEED3F" w14:textId="77777777" w:rsidR="00216423" w:rsidRPr="00216423" w:rsidRDefault="00216423" w:rsidP="00216423">
      <w:pPr>
        <w:pStyle w:val="Literaturverzeichnis"/>
        <w:rPr>
          <w:rFonts w:eastAsiaTheme="minorHAnsi"/>
          <w:lang w:val="de-DE" w:eastAsia="en-US"/>
        </w:rPr>
      </w:pPr>
      <w:r w:rsidRPr="00216423">
        <w:rPr>
          <w:rFonts w:eastAsiaTheme="minorHAnsi"/>
          <w:lang w:val="de-DE" w:eastAsia="en-US"/>
        </w:rPr>
        <w:t xml:space="preserve">14. German Nutrition Society (DGE). DGE-Qualitätsstandard für die Verpflegung in Schulen. Bonn: Deutsche Gesellschaft für Ernährung; 2023. Report No.: 5. Auflage, 2. korrigierter und aktualisierter Nachdruck. </w:t>
      </w:r>
    </w:p>
    <w:p w14:paraId="11704ED3" w14:textId="77777777" w:rsidR="00216423" w:rsidRPr="00216423" w:rsidRDefault="00216423" w:rsidP="00216423">
      <w:pPr>
        <w:pStyle w:val="Literaturverzeichnis"/>
        <w:rPr>
          <w:rFonts w:eastAsiaTheme="minorHAnsi"/>
          <w:lang w:val="de-DE" w:eastAsia="en-US"/>
        </w:rPr>
      </w:pPr>
      <w:r w:rsidRPr="00216423">
        <w:rPr>
          <w:rFonts w:eastAsiaTheme="minorHAnsi"/>
          <w:lang w:val="de-DE" w:eastAsia="en-US"/>
        </w:rPr>
        <w:t xml:space="preserve">15. German Nutrition Society (DGE). DGE-Qualitätsstandard für die Verpflegung in Kitas. Bonn: Deutsche Gesellschaft für Ernährung; 2023. Report No.: 6. Auflage, 2. korrigierter und aktualisierter Nachdruck. </w:t>
      </w:r>
    </w:p>
    <w:p w14:paraId="1C8CAC54" w14:textId="77777777" w:rsidR="00216423" w:rsidRPr="00216423" w:rsidRDefault="00216423" w:rsidP="00216423">
      <w:pPr>
        <w:pStyle w:val="Literaturverzeichnis"/>
        <w:rPr>
          <w:rFonts w:eastAsiaTheme="minorHAnsi"/>
          <w:lang w:val="de-DE" w:eastAsia="en-US"/>
        </w:rPr>
      </w:pPr>
      <w:r w:rsidRPr="00216423">
        <w:rPr>
          <w:rFonts w:eastAsiaTheme="minorHAnsi"/>
          <w:lang w:val="de-DE" w:eastAsia="en-US"/>
        </w:rPr>
        <w:t>16. City of Varel. Regionalplanung, Regionales Raumordnungsprogramm (RROP) [Internet]. 2024 [cited 2024 Apr 10]. https://www.varel.de/buergerservice/dienstleistungen/regionalplanung-regionales-raumordnungsprogramm-rrop--901001864-0.html?myMedium=1. Accessed 10 Apr 2024</w:t>
      </w:r>
    </w:p>
    <w:p w14:paraId="5BBBC46B" w14:textId="77777777" w:rsidR="00216423" w:rsidRPr="005C3655" w:rsidRDefault="00216423" w:rsidP="00216423">
      <w:pPr>
        <w:pStyle w:val="Literaturverzeichnis"/>
        <w:rPr>
          <w:rFonts w:eastAsiaTheme="minorHAnsi"/>
          <w:lang w:val="en-US" w:eastAsia="en-US"/>
        </w:rPr>
      </w:pPr>
      <w:r w:rsidRPr="00216423">
        <w:rPr>
          <w:rFonts w:eastAsiaTheme="minorHAnsi"/>
          <w:lang w:val="de-DE" w:eastAsia="en-US"/>
        </w:rPr>
        <w:t xml:space="preserve">17. Grupp K, Stelkens U. Ladenöffnungsgesetze der Länder [Internet]. </w:t>
      </w:r>
      <w:r w:rsidRPr="005C3655">
        <w:rPr>
          <w:rFonts w:eastAsiaTheme="minorHAnsi"/>
          <w:lang w:val="en-US" w:eastAsia="en-US"/>
        </w:rPr>
        <w:t>Saarheim. 2023 [cited 2023 Dec 13]. https://www.saarheim.de/Gesetze_Laender/loeg_laender.htm. Accessed 13 Dec 2023</w:t>
      </w:r>
    </w:p>
    <w:p w14:paraId="4D6B15A9" w14:textId="77777777" w:rsidR="00216423" w:rsidRPr="005C3655" w:rsidRDefault="00216423" w:rsidP="00216423">
      <w:pPr>
        <w:pStyle w:val="Literaturverzeichnis"/>
        <w:rPr>
          <w:rFonts w:eastAsiaTheme="minorHAnsi"/>
          <w:lang w:val="en-US" w:eastAsia="en-US"/>
        </w:rPr>
      </w:pPr>
      <w:r w:rsidRPr="00216423">
        <w:rPr>
          <w:rFonts w:eastAsiaTheme="minorHAnsi"/>
          <w:lang w:val="de-DE" w:eastAsia="en-US"/>
        </w:rPr>
        <w:t xml:space="preserve">18. Heinrich Böll Foundation. Ladenöffnungszeiten [Internet]. </w:t>
      </w:r>
      <w:r w:rsidRPr="005C3655">
        <w:rPr>
          <w:rFonts w:eastAsiaTheme="minorHAnsi"/>
          <w:lang w:val="en-US" w:eastAsia="en-US"/>
        </w:rPr>
        <w:t>KommunalWiki. 2023 [cited 2023 Dec 13]. https://kommunalwiki.boell.de/index.php/Laden%C3%B6ffnungszeiten. Accessed 13 Dec 2023</w:t>
      </w:r>
    </w:p>
    <w:p w14:paraId="202AD79A" w14:textId="77777777" w:rsidR="00216423" w:rsidRPr="005C3655" w:rsidRDefault="00216423" w:rsidP="00216423">
      <w:pPr>
        <w:pStyle w:val="Literaturverzeichnis"/>
        <w:rPr>
          <w:rFonts w:eastAsiaTheme="minorHAnsi"/>
          <w:lang w:val="en-US" w:eastAsia="en-US"/>
        </w:rPr>
      </w:pPr>
      <w:r w:rsidRPr="005C3655">
        <w:rPr>
          <w:rFonts w:eastAsiaTheme="minorHAnsi"/>
          <w:lang w:val="en-US" w:eastAsia="en-US"/>
        </w:rPr>
        <w:t>19. Baumann F, Buchwald A, Friehe T, Hottenrott H, Mechtel M. The effect of a ban on late-night off-premise alcohol sales on violent crime: Evidence from Germany. International Review of Law and Economics. 2019;60:105850. https://doi.org/10.1016/j.irle.2019.105850</w:t>
      </w:r>
    </w:p>
    <w:p w14:paraId="269DF54E" w14:textId="77777777" w:rsidR="00216423" w:rsidRPr="00216423" w:rsidRDefault="00216423" w:rsidP="00216423">
      <w:pPr>
        <w:pStyle w:val="Literaturverzeichnis"/>
        <w:rPr>
          <w:rFonts w:eastAsiaTheme="minorHAnsi"/>
          <w:lang w:val="de-DE" w:eastAsia="en-US"/>
        </w:rPr>
      </w:pPr>
      <w:r w:rsidRPr="005C3655">
        <w:rPr>
          <w:rFonts w:eastAsiaTheme="minorHAnsi"/>
          <w:lang w:val="en-US" w:eastAsia="en-US"/>
        </w:rPr>
        <w:t xml:space="preserve">20. Research Services of the Federal Parliament. </w:t>
      </w:r>
      <w:r w:rsidRPr="00216423">
        <w:rPr>
          <w:rFonts w:eastAsiaTheme="minorHAnsi"/>
          <w:lang w:val="de-DE" w:eastAsia="en-US"/>
        </w:rPr>
        <w:t>Zuständigkeiten von Bund, Ländern und der EU im Medien und Telekommunikationsrecht [Internet]. Berlin: Deutscher Bundestag; 2007 Mar. https://www.bundestag.de/resource/blob/414758/56625ce3f32429cedc2ca5def04f87a1/wd-10-029-07-pdf-data.pdf. Accessed 27 Nov 2023</w:t>
      </w:r>
    </w:p>
    <w:p w14:paraId="14D87A52" w14:textId="77777777" w:rsidR="00216423" w:rsidRPr="005C3655" w:rsidRDefault="00216423" w:rsidP="00216423">
      <w:pPr>
        <w:pStyle w:val="Literaturverzeichnis"/>
        <w:rPr>
          <w:rFonts w:eastAsiaTheme="minorHAnsi"/>
          <w:lang w:val="en-US" w:eastAsia="en-US"/>
        </w:rPr>
      </w:pPr>
      <w:r w:rsidRPr="005C3655">
        <w:rPr>
          <w:rFonts w:eastAsiaTheme="minorHAnsi"/>
          <w:lang w:val="en-US" w:eastAsia="en-US"/>
        </w:rPr>
        <w:t xml:space="preserve">21. Research Services of the Federal Parliament. </w:t>
      </w:r>
      <w:r w:rsidRPr="00216423">
        <w:rPr>
          <w:rFonts w:eastAsiaTheme="minorHAnsi"/>
          <w:lang w:val="de-DE" w:eastAsia="en-US"/>
        </w:rPr>
        <w:t xml:space="preserve">Verbot für an Kinder gerichtete Lebensmittelwerbung - Verfassungsrechtlicher Rahmen. </w:t>
      </w:r>
      <w:r w:rsidRPr="005C3655">
        <w:rPr>
          <w:rFonts w:eastAsiaTheme="minorHAnsi"/>
          <w:lang w:val="en-US" w:eastAsia="en-US"/>
        </w:rPr>
        <w:t xml:space="preserve">Berlin: Deutscher Bundestag; 2023. Report No.: WD 3-3000-098/23. </w:t>
      </w:r>
    </w:p>
    <w:p w14:paraId="4FD94C1E" w14:textId="77777777" w:rsidR="00216423" w:rsidRPr="00216423" w:rsidRDefault="00216423" w:rsidP="00216423">
      <w:pPr>
        <w:pStyle w:val="Literaturverzeichnis"/>
        <w:rPr>
          <w:rFonts w:eastAsiaTheme="minorHAnsi"/>
          <w:lang w:val="de-DE" w:eastAsia="en-US"/>
        </w:rPr>
      </w:pPr>
      <w:r w:rsidRPr="005C3655">
        <w:rPr>
          <w:rFonts w:eastAsiaTheme="minorHAnsi"/>
          <w:lang w:val="en-US" w:eastAsia="en-US"/>
        </w:rPr>
        <w:lastRenderedPageBreak/>
        <w:t xml:space="preserve">22. Federal Government of Germany. </w:t>
      </w:r>
      <w:r w:rsidRPr="00216423">
        <w:rPr>
          <w:rFonts w:eastAsiaTheme="minorHAnsi"/>
          <w:lang w:val="de-DE" w:eastAsia="en-US"/>
        </w:rPr>
        <w:t>Hochwertige Bildung weltweit | Bundesregierung [Internet]. Die Bundesregierung informiert | Startseite. 2023 [cited 2024 Nov 15]. https://www.bundesregierung.de/breg-de/schwerpunkte-der-bundesregierung/nachhaltigkeitspolitik/bildung-weltweit-1004538. Accessed 15 Nov 2024</w:t>
      </w:r>
    </w:p>
    <w:p w14:paraId="5E49FACE" w14:textId="77777777" w:rsidR="00216423" w:rsidRPr="005C3655" w:rsidRDefault="00216423" w:rsidP="00216423">
      <w:pPr>
        <w:pStyle w:val="Literaturverzeichnis"/>
        <w:rPr>
          <w:rFonts w:eastAsiaTheme="minorHAnsi"/>
          <w:lang w:val="en-US" w:eastAsia="en-US"/>
        </w:rPr>
      </w:pPr>
      <w:r w:rsidRPr="00216423">
        <w:rPr>
          <w:rFonts w:eastAsiaTheme="minorHAnsi"/>
          <w:lang w:val="de-DE" w:eastAsia="en-US"/>
        </w:rPr>
        <w:t xml:space="preserve">23. Degenhart ProfDrC. Verfassungsfragen marktbezogener Kommunikation: Werbeverbote für Tabakprodukte [Internet]. Universität Leipzig; 2015. https://www.bmel.de/SharedDocs/Downloads/DE/Glaeserne-Gesetze/Stellungnahmen/2-gesetz-aenderung-tabakerzeugnisgesetz_FAW-RG-Degenhart.pdf?__blob=publicationFile&amp;v=3. </w:t>
      </w:r>
      <w:r w:rsidRPr="005C3655">
        <w:rPr>
          <w:rFonts w:eastAsiaTheme="minorHAnsi"/>
          <w:lang w:val="en-US" w:eastAsia="en-US"/>
        </w:rPr>
        <w:t>Accessed 27 Nov 2023</w:t>
      </w:r>
    </w:p>
    <w:p w14:paraId="57279DDB" w14:textId="77777777" w:rsidR="00216423" w:rsidRPr="005C3655" w:rsidRDefault="00216423" w:rsidP="00216423">
      <w:pPr>
        <w:pStyle w:val="Literaturverzeichnis"/>
        <w:rPr>
          <w:rFonts w:eastAsiaTheme="minorHAnsi"/>
          <w:lang w:val="en-US" w:eastAsia="en-US"/>
        </w:rPr>
      </w:pPr>
      <w:r w:rsidRPr="005C3655">
        <w:rPr>
          <w:rFonts w:eastAsiaTheme="minorHAnsi"/>
          <w:lang w:val="en-US" w:eastAsia="en-US"/>
        </w:rPr>
        <w:t xml:space="preserve">24. Friedrichshain-Kreuzberg District Administration (Berlin). Initiative against misogynistic, sexist, and discriminatory advertising. Drucksache DS 1013-01/IV Feb 26, 2014. </w:t>
      </w:r>
    </w:p>
    <w:p w14:paraId="25DFBF6A" w14:textId="77777777" w:rsidR="00216423" w:rsidRPr="00216423" w:rsidRDefault="00216423" w:rsidP="00216423">
      <w:pPr>
        <w:pStyle w:val="Literaturverzeichnis"/>
        <w:rPr>
          <w:rFonts w:eastAsiaTheme="minorHAnsi"/>
          <w:lang w:val="de-DE" w:eastAsia="en-US"/>
        </w:rPr>
      </w:pPr>
      <w:r w:rsidRPr="005C3655">
        <w:rPr>
          <w:rFonts w:eastAsiaTheme="minorHAnsi"/>
          <w:lang w:val="en-US" w:eastAsia="en-US"/>
        </w:rPr>
        <w:t xml:space="preserve">25. Research Services of the Federal Parliament. </w:t>
      </w:r>
      <w:r w:rsidRPr="00216423">
        <w:rPr>
          <w:rFonts w:eastAsiaTheme="minorHAnsi"/>
          <w:lang w:val="de-DE" w:eastAsia="en-US"/>
        </w:rPr>
        <w:t>Die Auswirkung der Grundfläche von Einzelhandelsbetrieben auf deren baurechtliche Genehmigungsfähigkeit im unbeplanten Außenbereich [Internet]. Berlin: Deutscher Bundestag; 2020. Report No.: WD 7-3000-084/20. https://www.bundestag.de/resource/blob/709638/a03828fa88c53607632adc5aa2d53b86/WD-7-084-20-pdf.pdf. Accessed 10 Apr 2024</w:t>
      </w:r>
    </w:p>
    <w:p w14:paraId="13BF0BB8" w14:textId="77777777" w:rsidR="00216423" w:rsidRPr="005C3655" w:rsidRDefault="00216423" w:rsidP="00216423">
      <w:pPr>
        <w:pStyle w:val="Literaturverzeichnis"/>
        <w:rPr>
          <w:rFonts w:eastAsiaTheme="minorHAnsi"/>
          <w:lang w:val="en-US" w:eastAsia="en-US"/>
        </w:rPr>
      </w:pPr>
      <w:r w:rsidRPr="005C3655">
        <w:rPr>
          <w:rFonts w:eastAsiaTheme="minorHAnsi"/>
          <w:lang w:val="en-US" w:eastAsia="en-US"/>
        </w:rPr>
        <w:t>26. Muir S, Dhuria P, Roe E, Lawrence W, Baird J, Vogel C. UK government’s new placement legislation is a ‘good first step’: a rapid qualitative analysis of consumer, business, enforcement and health stakeholder perspectives. BMC Medicine. 2023;21:33. https://doi.org/10.1186/s12916-023-02726-9</w:t>
      </w:r>
    </w:p>
    <w:p w14:paraId="23314CE4" w14:textId="77777777" w:rsidR="00216423" w:rsidRPr="005C3655" w:rsidRDefault="00216423" w:rsidP="00216423">
      <w:pPr>
        <w:pStyle w:val="Literaturverzeichnis"/>
        <w:rPr>
          <w:rFonts w:eastAsiaTheme="minorHAnsi"/>
          <w:lang w:val="en-US" w:eastAsia="en-US"/>
        </w:rPr>
      </w:pPr>
      <w:r w:rsidRPr="005C3655">
        <w:rPr>
          <w:rFonts w:eastAsiaTheme="minorHAnsi"/>
          <w:lang w:val="en-US" w:eastAsia="en-US"/>
        </w:rPr>
        <w:t>27. GOV.UK. Restricting promotions of products high in fat, sugar or salt by location and by volume price: implementation guidance [Internet]. 2024 [cited 2024 Apr 10]. https://www.gov.uk/government/publications/restricting-promotions-of-products-high-in-fat-sugar-or-salt-by-location-and-by-volume-price/restricting-promotions-of-products-high-in-fat-sugar-or-salt-by-location-and-by-volume-price-implementation-guidance. Accessed 10 Apr 2024</w:t>
      </w:r>
    </w:p>
    <w:p w14:paraId="355F7F66" w14:textId="77777777" w:rsidR="00216423" w:rsidRPr="005C3655" w:rsidRDefault="00216423" w:rsidP="00216423">
      <w:pPr>
        <w:pStyle w:val="Literaturverzeichnis"/>
        <w:rPr>
          <w:rFonts w:eastAsiaTheme="minorHAnsi"/>
          <w:lang w:val="en-US" w:eastAsia="en-US"/>
        </w:rPr>
      </w:pPr>
      <w:r w:rsidRPr="005C3655">
        <w:rPr>
          <w:rFonts w:eastAsiaTheme="minorHAnsi"/>
          <w:lang w:val="en-US" w:eastAsia="en-US"/>
        </w:rPr>
        <w:t>28. City of New Orleans Health Department. Health Policy - Healthy Kids’ Meal Beverage Ordinance Complaints - [Internet]. 2023 [cited 2023 Nov 8]. https://nola.gov/health-department/health-policy/healthy-kids%E2%80%99-meal-beverage-ordinance-complaints/. Accessed 8 Nov 2023</w:t>
      </w:r>
    </w:p>
    <w:p w14:paraId="2BA74B37" w14:textId="77777777" w:rsidR="00216423" w:rsidRPr="005C3655" w:rsidRDefault="00216423" w:rsidP="00216423">
      <w:pPr>
        <w:pStyle w:val="Literaturverzeichnis"/>
        <w:rPr>
          <w:rFonts w:eastAsiaTheme="minorHAnsi"/>
          <w:lang w:val="en-US" w:eastAsia="en-US"/>
        </w:rPr>
      </w:pPr>
      <w:r w:rsidRPr="005C3655">
        <w:rPr>
          <w:rFonts w:eastAsiaTheme="minorHAnsi"/>
          <w:lang w:val="en-US" w:eastAsia="en-US"/>
        </w:rPr>
        <w:t>29. European Commission. Farm to Fork Strategy [Internet]. 2020. https://food.ec.europa.eu/system/files/2020-05/f2f_action-plan_2020_strategy-info_en.pdf. Accessed 27 Mar 2025</w:t>
      </w:r>
    </w:p>
    <w:p w14:paraId="4BFD4AAE" w14:textId="77777777" w:rsidR="00216423" w:rsidRPr="005C3655" w:rsidRDefault="00216423" w:rsidP="00216423">
      <w:pPr>
        <w:pStyle w:val="Literaturverzeichnis"/>
        <w:rPr>
          <w:rFonts w:eastAsiaTheme="minorHAnsi"/>
          <w:lang w:val="en-US" w:eastAsia="en-US"/>
        </w:rPr>
      </w:pPr>
      <w:r w:rsidRPr="005C3655">
        <w:rPr>
          <w:rFonts w:eastAsiaTheme="minorHAnsi"/>
          <w:lang w:val="en-US" w:eastAsia="en-US"/>
        </w:rPr>
        <w:t xml:space="preserve">30. Federal Ministry of Food and Agriculture (BMEL). </w:t>
      </w:r>
      <w:r w:rsidRPr="00216423">
        <w:rPr>
          <w:rFonts w:eastAsiaTheme="minorHAnsi"/>
          <w:lang w:val="de-DE" w:eastAsia="en-US"/>
        </w:rPr>
        <w:t xml:space="preserve">Gutes Essen für Deutschland Ernährungsstrategie der Bundesregierung. </w:t>
      </w:r>
      <w:r w:rsidRPr="005C3655">
        <w:rPr>
          <w:rFonts w:eastAsiaTheme="minorHAnsi"/>
          <w:lang w:val="en-US" w:eastAsia="en-US"/>
        </w:rPr>
        <w:t xml:space="preserve">Berlin; 2024. </w:t>
      </w:r>
    </w:p>
    <w:p w14:paraId="4F26DCE9" w14:textId="77777777" w:rsidR="00216423" w:rsidRPr="00216423" w:rsidRDefault="00216423" w:rsidP="00216423">
      <w:pPr>
        <w:pStyle w:val="Literaturverzeichnis"/>
        <w:rPr>
          <w:rFonts w:eastAsiaTheme="minorHAnsi"/>
          <w:lang w:val="de-DE" w:eastAsia="en-US"/>
        </w:rPr>
      </w:pPr>
      <w:r w:rsidRPr="005C3655">
        <w:rPr>
          <w:rFonts w:eastAsiaTheme="minorHAnsi"/>
          <w:lang w:val="en-US" w:eastAsia="en-US"/>
        </w:rPr>
        <w:t xml:space="preserve">31. Brandenburg Ministry of Social Affairs, Health, Integration and Consumer Protection. </w:t>
      </w:r>
      <w:r w:rsidRPr="00216423">
        <w:rPr>
          <w:rFonts w:eastAsiaTheme="minorHAnsi"/>
          <w:lang w:val="de-DE" w:eastAsia="en-US"/>
        </w:rPr>
        <w:t xml:space="preserve">Die Ernährungsstrategie Brandenburg. Potsdam: Brandenburg Ministerium für Soziales, Gesundheit, Integration und Verbraucherschutz; 2023 Oct. </w:t>
      </w:r>
    </w:p>
    <w:p w14:paraId="20F5BF79" w14:textId="77777777" w:rsidR="00216423" w:rsidRPr="00216423" w:rsidRDefault="00216423" w:rsidP="00216423">
      <w:pPr>
        <w:pStyle w:val="Literaturverzeichnis"/>
        <w:rPr>
          <w:rFonts w:eastAsiaTheme="minorHAnsi"/>
          <w:lang w:val="de-DE" w:eastAsia="en-US"/>
        </w:rPr>
      </w:pPr>
      <w:r w:rsidRPr="005C3655">
        <w:rPr>
          <w:rFonts w:eastAsiaTheme="minorHAnsi"/>
          <w:lang w:val="en-US" w:eastAsia="en-US"/>
        </w:rPr>
        <w:lastRenderedPageBreak/>
        <w:t xml:space="preserve">32. Baden-Württemberg Ministry of Food, Rural Affairs and Consumer Protection. </w:t>
      </w:r>
      <w:r w:rsidRPr="00216423">
        <w:rPr>
          <w:rFonts w:eastAsiaTheme="minorHAnsi"/>
          <w:lang w:val="de-DE" w:eastAsia="en-US"/>
        </w:rPr>
        <w:t>Ernährungsstrategie Baden-Württemberg [Internet]. Stuttgart: Baden-Württemberg Ministerium für Ernährung, Ländlichen Raum und Verbraucherschutz; 2022 Oct. https://mlr.baden-wuerttemberg.de/fileadmin/redaktion/m-mlr/intern/dateien/PDFs/Essen_und_Trinken/2022_Ern%C3%A4hrungsstrategie_Weiterentwicklung.pdf. Accessed 29 Nov 2023</w:t>
      </w:r>
    </w:p>
    <w:p w14:paraId="0EBF3CDB" w14:textId="77777777" w:rsidR="00216423" w:rsidRPr="005C3655" w:rsidRDefault="00216423" w:rsidP="00216423">
      <w:pPr>
        <w:pStyle w:val="Literaturverzeichnis"/>
        <w:rPr>
          <w:rFonts w:eastAsiaTheme="minorHAnsi"/>
          <w:lang w:val="en-US" w:eastAsia="en-US"/>
        </w:rPr>
      </w:pPr>
      <w:r w:rsidRPr="005C3655">
        <w:rPr>
          <w:rFonts w:eastAsiaTheme="minorHAnsi"/>
          <w:lang w:val="en-US" w:eastAsia="en-US"/>
        </w:rPr>
        <w:t>33. Bavarian State Parliament. Lobbyregister [Internet]. 2022 [cited 2024 Jan 8]. https://www.bayern.landtag.de/lobbyregister/. Accessed 8 Jan 2024</w:t>
      </w:r>
    </w:p>
    <w:p w14:paraId="598E645D" w14:textId="77777777" w:rsidR="00216423" w:rsidRPr="005C3655" w:rsidRDefault="00216423" w:rsidP="00216423">
      <w:pPr>
        <w:pStyle w:val="Literaturverzeichnis"/>
        <w:rPr>
          <w:rFonts w:eastAsiaTheme="minorHAnsi"/>
          <w:lang w:val="en-US" w:eastAsia="en-US"/>
        </w:rPr>
      </w:pPr>
      <w:r w:rsidRPr="005C3655">
        <w:rPr>
          <w:rFonts w:eastAsiaTheme="minorHAnsi"/>
          <w:lang w:val="en-US" w:eastAsia="en-US"/>
        </w:rPr>
        <w:t>34. German Rectors’ Conference (Hochschulrektorenkonferenz). Hochschulfinanzierung [Internet]. 2024 [cited 2024 Jan 10]. https://www.hrk.de/themen/hochschulsystem/hochschulfinanzierung. Accessed 10 Jan 2024</w:t>
      </w:r>
    </w:p>
    <w:p w14:paraId="46AD3693" w14:textId="77777777" w:rsidR="00216423" w:rsidRPr="00216423" w:rsidRDefault="00216423" w:rsidP="00216423">
      <w:pPr>
        <w:pStyle w:val="Literaturverzeichnis"/>
        <w:rPr>
          <w:rFonts w:eastAsiaTheme="minorHAnsi"/>
          <w:lang w:val="de-DE" w:eastAsia="en-US"/>
        </w:rPr>
      </w:pPr>
      <w:r w:rsidRPr="005C3655">
        <w:rPr>
          <w:rFonts w:eastAsiaTheme="minorHAnsi"/>
          <w:lang w:val="en-US" w:eastAsia="en-US"/>
        </w:rPr>
        <w:t xml:space="preserve">35. Federal Agency for Civic Education (bpb). Kommunalrecht [Internet]. bpb.de. 2024 [cited 2024 Jan 12]. https://www.bpb.de/kurz-knapp/lexika/recht-a-z/323644/kommunalrecht/. </w:t>
      </w:r>
      <w:r w:rsidRPr="00216423">
        <w:rPr>
          <w:rFonts w:eastAsiaTheme="minorHAnsi"/>
          <w:lang w:val="de-DE" w:eastAsia="en-US"/>
        </w:rPr>
        <w:t>Accessed 12 Jan 2024</w:t>
      </w:r>
    </w:p>
    <w:p w14:paraId="4DCE91FF" w14:textId="7E1389BA" w:rsidR="007F38A8" w:rsidRPr="00FC2735" w:rsidRDefault="0035352B" w:rsidP="00F833B1">
      <w:pPr>
        <w:pStyle w:val="References"/>
      </w:pPr>
      <w:r w:rsidRPr="00B44BA8">
        <w:fldChar w:fldCharType="end"/>
      </w:r>
    </w:p>
    <w:sectPr w:rsidR="007F38A8" w:rsidRPr="00FC2735" w:rsidSect="00851D7C">
      <w:pgSz w:w="12240" w:h="15840"/>
      <w:pgMar w:top="1077" w:right="1077" w:bottom="1077"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8AE6A" w14:textId="77777777" w:rsidR="00E0373F" w:rsidRDefault="00E0373F" w:rsidP="001E40B4">
      <w:r>
        <w:separator/>
      </w:r>
    </w:p>
    <w:p w14:paraId="246806F4" w14:textId="77777777" w:rsidR="00E0373F" w:rsidRDefault="00E0373F" w:rsidP="001E40B4"/>
  </w:endnote>
  <w:endnote w:type="continuationSeparator" w:id="0">
    <w:p w14:paraId="2C6849B0" w14:textId="77777777" w:rsidR="00E0373F" w:rsidRDefault="00E0373F" w:rsidP="001E40B4">
      <w:r>
        <w:continuationSeparator/>
      </w:r>
    </w:p>
    <w:p w14:paraId="37DFA71A" w14:textId="77777777" w:rsidR="00E0373F" w:rsidRDefault="00E0373F" w:rsidP="001E40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Textkörper CS)">
    <w:panose1 w:val="020B0604020202020204"/>
    <w:charset w:val="00"/>
    <w:family w:val="roman"/>
    <w:pitch w:val="default"/>
  </w:font>
  <w:font w:name="Calibri (Textkörper)">
    <w:altName w:val="Calibri"/>
    <w:panose1 w:val="020B0604020202020204"/>
    <w:charset w:val="00"/>
    <w:family w:val="roman"/>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2344219"/>
      <w:docPartObj>
        <w:docPartGallery w:val="Page Numbers (Bottom of Page)"/>
        <w:docPartUnique/>
      </w:docPartObj>
    </w:sdtPr>
    <w:sdtContent>
      <w:p w14:paraId="3D87A1E1" w14:textId="77777777" w:rsidR="009120A7" w:rsidRDefault="009120A7" w:rsidP="001E40B4">
        <w:pPr>
          <w:pStyle w:val="Fuzeile"/>
        </w:pPr>
        <w:r>
          <w:fldChar w:fldCharType="begin"/>
        </w:r>
        <w:r>
          <w:instrText>PAGE   \* MERGEFORMAT</w:instrText>
        </w:r>
        <w:r>
          <w:fldChar w:fldCharType="separate"/>
        </w:r>
        <w:r>
          <w:rPr>
            <w:lang w:val="de-DE"/>
          </w:rPr>
          <w:t>2</w:t>
        </w:r>
        <w:r>
          <w:fldChar w:fldCharType="end"/>
        </w:r>
      </w:p>
    </w:sdtContent>
  </w:sdt>
  <w:p w14:paraId="175A1494" w14:textId="77777777" w:rsidR="009120A7" w:rsidRDefault="009120A7" w:rsidP="001E40B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9483891"/>
      <w:docPartObj>
        <w:docPartGallery w:val="Page Numbers (Bottom of Page)"/>
        <w:docPartUnique/>
      </w:docPartObj>
    </w:sdtPr>
    <w:sdtContent>
      <w:p w14:paraId="09BA6658" w14:textId="46C45D71" w:rsidR="00BA605E" w:rsidRDefault="00BA605E" w:rsidP="001E40B4">
        <w:pPr>
          <w:pStyle w:val="Fuzeile"/>
        </w:pPr>
        <w:r>
          <w:fldChar w:fldCharType="begin"/>
        </w:r>
        <w:r>
          <w:instrText>PAGE   \* MERGEFORMAT</w:instrText>
        </w:r>
        <w:r>
          <w:fldChar w:fldCharType="separate"/>
        </w:r>
        <w:r>
          <w:rPr>
            <w:lang w:val="de-DE"/>
          </w:rPr>
          <w:t>2</w:t>
        </w:r>
        <w:r>
          <w:fldChar w:fldCharType="end"/>
        </w:r>
      </w:p>
    </w:sdtContent>
  </w:sdt>
  <w:p w14:paraId="3B8D8D78" w14:textId="77777777" w:rsidR="00BA605E" w:rsidRDefault="00BA605E" w:rsidP="001E40B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2DD7C" w14:textId="77777777" w:rsidR="00E0373F" w:rsidRDefault="00E0373F" w:rsidP="001E40B4">
      <w:r>
        <w:separator/>
      </w:r>
    </w:p>
    <w:p w14:paraId="7977B4D0" w14:textId="77777777" w:rsidR="00E0373F" w:rsidRDefault="00E0373F" w:rsidP="001E40B4"/>
  </w:footnote>
  <w:footnote w:type="continuationSeparator" w:id="0">
    <w:p w14:paraId="0FAC8FAA" w14:textId="77777777" w:rsidR="00E0373F" w:rsidRDefault="00E0373F" w:rsidP="001E40B4">
      <w:r>
        <w:continuationSeparator/>
      </w:r>
    </w:p>
    <w:p w14:paraId="6A103297" w14:textId="77777777" w:rsidR="00E0373F" w:rsidRDefault="00E0373F" w:rsidP="001E40B4"/>
  </w:footnote>
  <w:footnote w:id="1">
    <w:p w14:paraId="23E0B076" w14:textId="7A837D3C" w:rsidR="005D4C4D" w:rsidRPr="005D4C4D" w:rsidRDefault="005D4C4D" w:rsidP="001E40B4">
      <w:pPr>
        <w:pStyle w:val="Funotentext"/>
      </w:pPr>
      <w:r w:rsidRPr="00AF6376">
        <w:rPr>
          <w:rStyle w:val="Funotenzeichen"/>
        </w:rPr>
        <w:footnoteRef/>
      </w:r>
      <w:r w:rsidRPr="005D4C4D">
        <w:t xml:space="preserve"> Based on </w:t>
      </w:r>
      <w:r w:rsidR="00327CA9" w:rsidRPr="00327CA9">
        <w:t xml:space="preserve">INFORMAS Protocol: Public Sector Module - Annex 3: Up-to-date list of the good practice indicators of the Food-EPI’ </w:t>
      </w:r>
      <w:r w:rsidRPr="005D4C4D">
        <w:t xml:space="preserve">(Available at: </w:t>
      </w:r>
      <w:hyperlink r:id="rId1" w:history="1">
        <w:r w:rsidR="00327CA9" w:rsidRPr="00327CA9">
          <w:rPr>
            <w:rStyle w:val="Hyperlink"/>
          </w:rPr>
          <w:t>University of Auckland</w:t>
        </w:r>
      </w:hyperlink>
      <w:r w:rsidR="00327CA9">
        <w:t>, Accessed: 20.03.2025)</w:t>
      </w:r>
    </w:p>
  </w:footnote>
  <w:footnote w:id="2">
    <w:p w14:paraId="64FD32F8" w14:textId="77777777" w:rsidR="009C586E" w:rsidRPr="005D4C4D" w:rsidRDefault="009C586E" w:rsidP="001E40B4">
      <w:pPr>
        <w:pStyle w:val="Funotentext"/>
      </w:pPr>
      <w:r w:rsidRPr="00AF6376">
        <w:rPr>
          <w:rStyle w:val="Funotenzeichen"/>
        </w:rPr>
        <w:footnoteRef/>
      </w:r>
      <w:r w:rsidRPr="005D4C4D">
        <w:t xml:space="preserve"> Based on </w:t>
      </w:r>
      <w:r w:rsidRPr="00327CA9">
        <w:t xml:space="preserve">INFORMAS Protocol: Public Sector Module - Annex 3: Up-to-date list of the good practice indicators of the Food-EPI’ </w:t>
      </w:r>
      <w:r w:rsidRPr="005D4C4D">
        <w:t xml:space="preserve">(Available at: </w:t>
      </w:r>
      <w:hyperlink r:id="rId2" w:history="1">
        <w:r w:rsidRPr="00327CA9">
          <w:rPr>
            <w:rStyle w:val="Hyperlink"/>
          </w:rPr>
          <w:t>University of Auckland</w:t>
        </w:r>
      </w:hyperlink>
      <w:r>
        <w:t>, Accessed: 20.03.2025)</w:t>
      </w:r>
    </w:p>
  </w:footnote>
  <w:footnote w:id="3">
    <w:p w14:paraId="11C298B5" w14:textId="1661DF32" w:rsidR="00090F3D" w:rsidRPr="0002077B" w:rsidRDefault="00090F3D" w:rsidP="001E40B4">
      <w:pPr>
        <w:pStyle w:val="Funotentext"/>
      </w:pPr>
      <w:r w:rsidRPr="00AF6376">
        <w:rPr>
          <w:rStyle w:val="Funotenzeichen"/>
        </w:rPr>
        <w:footnoteRef/>
      </w:r>
      <w:r w:rsidRPr="0002077B">
        <w:t xml:space="preserve"> </w:t>
      </w:r>
      <w:r w:rsidR="0002077B" w:rsidRPr="0002077B">
        <w:t xml:space="preserve">We refined the study objectives during the </w:t>
      </w:r>
      <w:r w:rsidR="0002077B">
        <w:t>study</w:t>
      </w:r>
      <w:r w:rsidR="0002077B" w:rsidRPr="0002077B">
        <w:t xml:space="preserve">, recognizing that a thorough assessment of the distribution of legislative competences is </w:t>
      </w:r>
      <w:r w:rsidR="0002077B">
        <w:t>a prerequisite for</w:t>
      </w:r>
      <w:r w:rsidR="0002077B" w:rsidRPr="0002077B">
        <w:t xml:space="preserve"> developing the state-specific Food-EPI. The interview responses remain relevant to the revised objective, as the focus continues to be on identifying the allocation of competences.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A96"/>
    <w:multiLevelType w:val="hybridMultilevel"/>
    <w:tmpl w:val="852087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F4307D"/>
    <w:multiLevelType w:val="hybridMultilevel"/>
    <w:tmpl w:val="C8641DC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88737C"/>
    <w:multiLevelType w:val="hybridMultilevel"/>
    <w:tmpl w:val="3924895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4FC6CE3"/>
    <w:multiLevelType w:val="hybridMultilevel"/>
    <w:tmpl w:val="092E9E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81C40E7"/>
    <w:multiLevelType w:val="hybridMultilevel"/>
    <w:tmpl w:val="496407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902438F"/>
    <w:multiLevelType w:val="hybridMultilevel"/>
    <w:tmpl w:val="972E41F4"/>
    <w:lvl w:ilvl="0" w:tplc="0BC61D5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A2E4101"/>
    <w:multiLevelType w:val="hybridMultilevel"/>
    <w:tmpl w:val="E7EA9C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BA449B8"/>
    <w:multiLevelType w:val="hybridMultilevel"/>
    <w:tmpl w:val="C86C77B6"/>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5E7732"/>
    <w:multiLevelType w:val="hybridMultilevel"/>
    <w:tmpl w:val="F320D156"/>
    <w:lvl w:ilvl="0" w:tplc="86B8E7CC">
      <w:start w:val="1"/>
      <w:numFmt w:val="decimal"/>
      <w:lvlText w:val="%1)"/>
      <w:lvlJc w:val="left"/>
      <w:pPr>
        <w:ind w:left="1020" w:hanging="360"/>
      </w:pPr>
    </w:lvl>
    <w:lvl w:ilvl="1" w:tplc="27C055F2">
      <w:start w:val="1"/>
      <w:numFmt w:val="decimal"/>
      <w:lvlText w:val="%2)"/>
      <w:lvlJc w:val="left"/>
      <w:pPr>
        <w:ind w:left="1020" w:hanging="360"/>
      </w:pPr>
    </w:lvl>
    <w:lvl w:ilvl="2" w:tplc="8B76D4FC">
      <w:start w:val="1"/>
      <w:numFmt w:val="decimal"/>
      <w:lvlText w:val="%3)"/>
      <w:lvlJc w:val="left"/>
      <w:pPr>
        <w:ind w:left="1020" w:hanging="360"/>
      </w:pPr>
    </w:lvl>
    <w:lvl w:ilvl="3" w:tplc="4E1602AE">
      <w:start w:val="1"/>
      <w:numFmt w:val="decimal"/>
      <w:lvlText w:val="%4)"/>
      <w:lvlJc w:val="left"/>
      <w:pPr>
        <w:ind w:left="1020" w:hanging="360"/>
      </w:pPr>
    </w:lvl>
    <w:lvl w:ilvl="4" w:tplc="24760998">
      <w:start w:val="1"/>
      <w:numFmt w:val="decimal"/>
      <w:lvlText w:val="%5)"/>
      <w:lvlJc w:val="left"/>
      <w:pPr>
        <w:ind w:left="1020" w:hanging="360"/>
      </w:pPr>
    </w:lvl>
    <w:lvl w:ilvl="5" w:tplc="52DE874C">
      <w:start w:val="1"/>
      <w:numFmt w:val="decimal"/>
      <w:lvlText w:val="%6)"/>
      <w:lvlJc w:val="left"/>
      <w:pPr>
        <w:ind w:left="1020" w:hanging="360"/>
      </w:pPr>
    </w:lvl>
    <w:lvl w:ilvl="6" w:tplc="E962F272">
      <w:start w:val="1"/>
      <w:numFmt w:val="decimal"/>
      <w:lvlText w:val="%7)"/>
      <w:lvlJc w:val="left"/>
      <w:pPr>
        <w:ind w:left="1020" w:hanging="360"/>
      </w:pPr>
    </w:lvl>
    <w:lvl w:ilvl="7" w:tplc="A61AA050">
      <w:start w:val="1"/>
      <w:numFmt w:val="decimal"/>
      <w:lvlText w:val="%8)"/>
      <w:lvlJc w:val="left"/>
      <w:pPr>
        <w:ind w:left="1020" w:hanging="360"/>
      </w:pPr>
    </w:lvl>
    <w:lvl w:ilvl="8" w:tplc="A4AE2E02">
      <w:start w:val="1"/>
      <w:numFmt w:val="decimal"/>
      <w:lvlText w:val="%9)"/>
      <w:lvlJc w:val="left"/>
      <w:pPr>
        <w:ind w:left="1020" w:hanging="360"/>
      </w:pPr>
    </w:lvl>
  </w:abstractNum>
  <w:abstractNum w:abstractNumId="9" w15:restartNumberingAfterBreak="0">
    <w:nsid w:val="170E1DA8"/>
    <w:multiLevelType w:val="hybridMultilevel"/>
    <w:tmpl w:val="0326061A"/>
    <w:lvl w:ilvl="0" w:tplc="5B6E1CA6">
      <w:start w:val="1"/>
      <w:numFmt w:val="upperRoman"/>
      <w:lvlText w:val="%1."/>
      <w:lvlJc w:val="right"/>
      <w:pPr>
        <w:ind w:left="812" w:hanging="360"/>
      </w:pPr>
      <w:rPr>
        <w:rFonts w:hint="default"/>
        <w:i w:val="0"/>
        <w:iCs w:val="0"/>
      </w:rPr>
    </w:lvl>
    <w:lvl w:ilvl="1" w:tplc="FFFFFFFF" w:tentative="1">
      <w:start w:val="1"/>
      <w:numFmt w:val="lowerLetter"/>
      <w:lvlText w:val="%2."/>
      <w:lvlJc w:val="left"/>
      <w:pPr>
        <w:ind w:left="1532" w:hanging="360"/>
      </w:pPr>
    </w:lvl>
    <w:lvl w:ilvl="2" w:tplc="FFFFFFFF" w:tentative="1">
      <w:start w:val="1"/>
      <w:numFmt w:val="lowerRoman"/>
      <w:lvlText w:val="%3."/>
      <w:lvlJc w:val="right"/>
      <w:pPr>
        <w:ind w:left="2252" w:hanging="180"/>
      </w:pPr>
    </w:lvl>
    <w:lvl w:ilvl="3" w:tplc="FFFFFFFF" w:tentative="1">
      <w:start w:val="1"/>
      <w:numFmt w:val="decimal"/>
      <w:lvlText w:val="%4."/>
      <w:lvlJc w:val="left"/>
      <w:pPr>
        <w:ind w:left="2972" w:hanging="360"/>
      </w:pPr>
    </w:lvl>
    <w:lvl w:ilvl="4" w:tplc="FFFFFFFF" w:tentative="1">
      <w:start w:val="1"/>
      <w:numFmt w:val="lowerLetter"/>
      <w:lvlText w:val="%5."/>
      <w:lvlJc w:val="left"/>
      <w:pPr>
        <w:ind w:left="3692" w:hanging="360"/>
      </w:pPr>
    </w:lvl>
    <w:lvl w:ilvl="5" w:tplc="FFFFFFFF" w:tentative="1">
      <w:start w:val="1"/>
      <w:numFmt w:val="lowerRoman"/>
      <w:lvlText w:val="%6."/>
      <w:lvlJc w:val="right"/>
      <w:pPr>
        <w:ind w:left="4412" w:hanging="180"/>
      </w:pPr>
    </w:lvl>
    <w:lvl w:ilvl="6" w:tplc="FFFFFFFF" w:tentative="1">
      <w:start w:val="1"/>
      <w:numFmt w:val="decimal"/>
      <w:lvlText w:val="%7."/>
      <w:lvlJc w:val="left"/>
      <w:pPr>
        <w:ind w:left="5132" w:hanging="360"/>
      </w:pPr>
    </w:lvl>
    <w:lvl w:ilvl="7" w:tplc="FFFFFFFF" w:tentative="1">
      <w:start w:val="1"/>
      <w:numFmt w:val="lowerLetter"/>
      <w:lvlText w:val="%8."/>
      <w:lvlJc w:val="left"/>
      <w:pPr>
        <w:ind w:left="5852" w:hanging="360"/>
      </w:pPr>
    </w:lvl>
    <w:lvl w:ilvl="8" w:tplc="FFFFFFFF" w:tentative="1">
      <w:start w:val="1"/>
      <w:numFmt w:val="lowerRoman"/>
      <w:lvlText w:val="%9."/>
      <w:lvlJc w:val="right"/>
      <w:pPr>
        <w:ind w:left="6572" w:hanging="180"/>
      </w:pPr>
    </w:lvl>
  </w:abstractNum>
  <w:abstractNum w:abstractNumId="10" w15:restartNumberingAfterBreak="0">
    <w:nsid w:val="202B3A1A"/>
    <w:multiLevelType w:val="hybridMultilevel"/>
    <w:tmpl w:val="C6F63FE0"/>
    <w:lvl w:ilvl="0" w:tplc="6F463EB2">
      <w:numFmt w:val="bullet"/>
      <w:lvlText w:val="-"/>
      <w:lvlJc w:val="left"/>
      <w:pPr>
        <w:ind w:left="720" w:hanging="360"/>
      </w:pPr>
      <w:rPr>
        <w:rFonts w:ascii="Times New Roman" w:eastAsiaTheme="minorHAnsi" w:hAnsi="Times New Roman" w:cs="Times New Roman"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6B642A6"/>
    <w:multiLevelType w:val="hybridMultilevel"/>
    <w:tmpl w:val="23967E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89E7AEB"/>
    <w:multiLevelType w:val="hybridMultilevel"/>
    <w:tmpl w:val="47F4AE04"/>
    <w:lvl w:ilvl="0" w:tplc="0407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2124B7"/>
    <w:multiLevelType w:val="hybridMultilevel"/>
    <w:tmpl w:val="155CB1FC"/>
    <w:lvl w:ilvl="0" w:tplc="9592AA48">
      <w:start w:val="1"/>
      <w:numFmt w:val="bullet"/>
      <w:lvlText w:val="o"/>
      <w:lvlJc w:val="left"/>
      <w:pPr>
        <w:ind w:left="720" w:hanging="360"/>
      </w:pPr>
      <w:rPr>
        <w:rFonts w:ascii="Courier New" w:hAnsi="Courier New" w:cs="Courier New" w:hint="default"/>
        <w:color w:val="181C62" w:themeColor="text1"/>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1B3000"/>
    <w:multiLevelType w:val="hybridMultilevel"/>
    <w:tmpl w:val="57BC51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EBF0687"/>
    <w:multiLevelType w:val="hybridMultilevel"/>
    <w:tmpl w:val="2CAA05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F300BFA"/>
    <w:multiLevelType w:val="hybridMultilevel"/>
    <w:tmpl w:val="9EDAB336"/>
    <w:lvl w:ilvl="0" w:tplc="F970D310">
      <w:start w:val="13"/>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FC72543"/>
    <w:multiLevelType w:val="hybridMultilevel"/>
    <w:tmpl w:val="EDE27806"/>
    <w:lvl w:ilvl="0" w:tplc="B58C2B42">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1816C7C"/>
    <w:multiLevelType w:val="hybridMultilevel"/>
    <w:tmpl w:val="3B76A71C"/>
    <w:lvl w:ilvl="0" w:tplc="0407001B">
      <w:start w:val="1"/>
      <w:numFmt w:val="low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28E1C35"/>
    <w:multiLevelType w:val="hybridMultilevel"/>
    <w:tmpl w:val="A98A86E0"/>
    <w:lvl w:ilvl="0" w:tplc="A9AEF7FC">
      <w:start w:val="1"/>
      <w:numFmt w:val="bullet"/>
      <w:lvlText w:val=""/>
      <w:lvlJc w:val="left"/>
      <w:pPr>
        <w:ind w:left="720" w:hanging="360"/>
      </w:pPr>
      <w:rPr>
        <w:rFonts w:ascii="Symbol" w:hAnsi="Symbol" w:hint="default"/>
        <w:color w:val="151E1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2EA0413"/>
    <w:multiLevelType w:val="hybridMultilevel"/>
    <w:tmpl w:val="DEE6B2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59145B5"/>
    <w:multiLevelType w:val="hybridMultilevel"/>
    <w:tmpl w:val="F1304126"/>
    <w:lvl w:ilvl="0" w:tplc="0407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65A5E56"/>
    <w:multiLevelType w:val="hybridMultilevel"/>
    <w:tmpl w:val="940AB682"/>
    <w:lvl w:ilvl="0" w:tplc="1A6E698C">
      <w:start w:val="1"/>
      <w:numFmt w:val="lowerRoman"/>
      <w:lvlText w:val="iii.%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7172CAB"/>
    <w:multiLevelType w:val="hybridMultilevel"/>
    <w:tmpl w:val="46A0FED0"/>
    <w:lvl w:ilvl="0" w:tplc="942491B4">
      <w:start w:val="1"/>
      <w:numFmt w:val="bullet"/>
      <w:lvlText w:val="o"/>
      <w:lvlJc w:val="left"/>
      <w:pPr>
        <w:ind w:left="720" w:hanging="360"/>
      </w:pPr>
      <w:rPr>
        <w:rFonts w:ascii="Courier New" w:hAnsi="Courier New" w:cs="Courier New" w:hint="default"/>
        <w:color w:val="181C62" w:themeColor="text1"/>
      </w:rPr>
    </w:lvl>
    <w:lvl w:ilvl="1" w:tplc="034CDC8A">
      <w:start w:val="1"/>
      <w:numFmt w:val="bullet"/>
      <w:lvlText w:val="o"/>
      <w:lvlJc w:val="left"/>
      <w:pPr>
        <w:ind w:left="1440" w:hanging="360"/>
      </w:pPr>
      <w:rPr>
        <w:rFonts w:ascii="Courier New" w:hAnsi="Courier New" w:cs="Courier New" w:hint="default"/>
        <w:color w:val="181C62" w:themeColor="text1"/>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79936FF"/>
    <w:multiLevelType w:val="hybridMultilevel"/>
    <w:tmpl w:val="0326061A"/>
    <w:lvl w:ilvl="0" w:tplc="FFFFFFFF">
      <w:start w:val="1"/>
      <w:numFmt w:val="upperRoman"/>
      <w:lvlText w:val="%1."/>
      <w:lvlJc w:val="right"/>
      <w:pPr>
        <w:ind w:left="812" w:hanging="360"/>
      </w:pPr>
      <w:rPr>
        <w:rFonts w:hint="default"/>
        <w:i w:val="0"/>
        <w:iCs w:val="0"/>
      </w:rPr>
    </w:lvl>
    <w:lvl w:ilvl="1" w:tplc="FFFFFFFF" w:tentative="1">
      <w:start w:val="1"/>
      <w:numFmt w:val="lowerLetter"/>
      <w:lvlText w:val="%2."/>
      <w:lvlJc w:val="left"/>
      <w:pPr>
        <w:ind w:left="1532" w:hanging="360"/>
      </w:pPr>
    </w:lvl>
    <w:lvl w:ilvl="2" w:tplc="FFFFFFFF" w:tentative="1">
      <w:start w:val="1"/>
      <w:numFmt w:val="lowerRoman"/>
      <w:lvlText w:val="%3."/>
      <w:lvlJc w:val="right"/>
      <w:pPr>
        <w:ind w:left="2252" w:hanging="180"/>
      </w:pPr>
    </w:lvl>
    <w:lvl w:ilvl="3" w:tplc="FFFFFFFF" w:tentative="1">
      <w:start w:val="1"/>
      <w:numFmt w:val="decimal"/>
      <w:lvlText w:val="%4."/>
      <w:lvlJc w:val="left"/>
      <w:pPr>
        <w:ind w:left="2972" w:hanging="360"/>
      </w:pPr>
    </w:lvl>
    <w:lvl w:ilvl="4" w:tplc="FFFFFFFF" w:tentative="1">
      <w:start w:val="1"/>
      <w:numFmt w:val="lowerLetter"/>
      <w:lvlText w:val="%5."/>
      <w:lvlJc w:val="left"/>
      <w:pPr>
        <w:ind w:left="3692" w:hanging="360"/>
      </w:pPr>
    </w:lvl>
    <w:lvl w:ilvl="5" w:tplc="FFFFFFFF" w:tentative="1">
      <w:start w:val="1"/>
      <w:numFmt w:val="lowerRoman"/>
      <w:lvlText w:val="%6."/>
      <w:lvlJc w:val="right"/>
      <w:pPr>
        <w:ind w:left="4412" w:hanging="180"/>
      </w:pPr>
    </w:lvl>
    <w:lvl w:ilvl="6" w:tplc="FFFFFFFF" w:tentative="1">
      <w:start w:val="1"/>
      <w:numFmt w:val="decimal"/>
      <w:lvlText w:val="%7."/>
      <w:lvlJc w:val="left"/>
      <w:pPr>
        <w:ind w:left="5132" w:hanging="360"/>
      </w:pPr>
    </w:lvl>
    <w:lvl w:ilvl="7" w:tplc="FFFFFFFF" w:tentative="1">
      <w:start w:val="1"/>
      <w:numFmt w:val="lowerLetter"/>
      <w:lvlText w:val="%8."/>
      <w:lvlJc w:val="left"/>
      <w:pPr>
        <w:ind w:left="5852" w:hanging="360"/>
      </w:pPr>
    </w:lvl>
    <w:lvl w:ilvl="8" w:tplc="FFFFFFFF" w:tentative="1">
      <w:start w:val="1"/>
      <w:numFmt w:val="lowerRoman"/>
      <w:lvlText w:val="%9."/>
      <w:lvlJc w:val="right"/>
      <w:pPr>
        <w:ind w:left="6572" w:hanging="180"/>
      </w:pPr>
    </w:lvl>
  </w:abstractNum>
  <w:abstractNum w:abstractNumId="25" w15:restartNumberingAfterBreak="0">
    <w:nsid w:val="3B520A95"/>
    <w:multiLevelType w:val="hybridMultilevel"/>
    <w:tmpl w:val="325A18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C967DF6"/>
    <w:multiLevelType w:val="hybridMultilevel"/>
    <w:tmpl w:val="560A28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E4523C0"/>
    <w:multiLevelType w:val="hybridMultilevel"/>
    <w:tmpl w:val="D7CC68DA"/>
    <w:lvl w:ilvl="0" w:tplc="C8D2AEDE">
      <w:start w:val="1"/>
      <w:numFmt w:val="decimal"/>
      <w:pStyle w:val="Listennummer"/>
      <w:lvlText w:val="(%1)"/>
      <w:lvlJc w:val="left"/>
      <w:pPr>
        <w:ind w:left="360" w:hanging="360"/>
      </w:pPr>
      <w:rPr>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FA1561F"/>
    <w:multiLevelType w:val="hybridMultilevel"/>
    <w:tmpl w:val="42F071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3FF900F6"/>
    <w:multiLevelType w:val="hybridMultilevel"/>
    <w:tmpl w:val="32F44A7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173099A"/>
    <w:multiLevelType w:val="hybridMultilevel"/>
    <w:tmpl w:val="07FA46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27A1179"/>
    <w:multiLevelType w:val="hybridMultilevel"/>
    <w:tmpl w:val="55201E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4287099"/>
    <w:multiLevelType w:val="hybridMultilevel"/>
    <w:tmpl w:val="0986B0F8"/>
    <w:lvl w:ilvl="0" w:tplc="BF164BE8">
      <w:start w:val="1"/>
      <w:numFmt w:val="decimal"/>
      <w:pStyle w:val="berschrift1"/>
      <w:lvlText w:val="%1."/>
      <w:lvlJc w:val="left"/>
      <w:pPr>
        <w:ind w:left="2988"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48F82676"/>
    <w:multiLevelType w:val="hybridMultilevel"/>
    <w:tmpl w:val="819A8730"/>
    <w:lvl w:ilvl="0" w:tplc="04070003">
      <w:start w:val="1"/>
      <w:numFmt w:val="bullet"/>
      <w:lvlText w:val="o"/>
      <w:lvlJc w:val="left"/>
      <w:pPr>
        <w:ind w:left="720" w:hanging="360"/>
      </w:pPr>
      <w:rPr>
        <w:rFonts w:ascii="Courier New" w:hAnsi="Courier New" w:cs="Courier New" w:hint="default"/>
        <w:color w:val="181C62"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9CE1522"/>
    <w:multiLevelType w:val="hybridMultilevel"/>
    <w:tmpl w:val="04B03BC6"/>
    <w:lvl w:ilvl="0" w:tplc="79C85E0E">
      <w:start w:val="1"/>
      <w:numFmt w:val="bullet"/>
      <w:lvlText w:val="o"/>
      <w:lvlJc w:val="left"/>
      <w:pPr>
        <w:ind w:left="720" w:hanging="360"/>
      </w:pPr>
      <w:rPr>
        <w:rFonts w:ascii="Courier New" w:hAnsi="Courier New" w:cs="Courier New" w:hint="default"/>
        <w:color w:val="181C62" w:themeColor="text1"/>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49D0629D"/>
    <w:multiLevelType w:val="hybridMultilevel"/>
    <w:tmpl w:val="D772A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4DDB208E"/>
    <w:multiLevelType w:val="hybridMultilevel"/>
    <w:tmpl w:val="A0764558"/>
    <w:lvl w:ilvl="0" w:tplc="D2D0263A">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4EF83CD2"/>
    <w:multiLevelType w:val="hybridMultilevel"/>
    <w:tmpl w:val="BC4653BC"/>
    <w:lvl w:ilvl="0" w:tplc="E1C6E834">
      <w:numFmt w:val="bullet"/>
      <w:lvlText w:val="-"/>
      <w:lvlJc w:val="left"/>
      <w:pPr>
        <w:ind w:left="720" w:hanging="360"/>
      </w:pPr>
      <w:rPr>
        <w:rFonts w:ascii="Times New Roman" w:eastAsiaTheme="minorHAnsi"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4F970F1C"/>
    <w:multiLevelType w:val="hybridMultilevel"/>
    <w:tmpl w:val="BDDE7428"/>
    <w:lvl w:ilvl="0" w:tplc="04070003">
      <w:start w:val="1"/>
      <w:numFmt w:val="bullet"/>
      <w:lvlText w:val="o"/>
      <w:lvlJc w:val="left"/>
      <w:pPr>
        <w:ind w:left="720" w:hanging="360"/>
      </w:pPr>
      <w:rPr>
        <w:rFonts w:ascii="Courier New" w:hAnsi="Courier New" w:cs="Courier New" w:hint="default"/>
        <w:color w:val="181C62"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0FC1A25"/>
    <w:multiLevelType w:val="hybridMultilevel"/>
    <w:tmpl w:val="497476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52AB2C4D"/>
    <w:multiLevelType w:val="hybridMultilevel"/>
    <w:tmpl w:val="EA567788"/>
    <w:lvl w:ilvl="0" w:tplc="96C20E0A">
      <w:start w:val="1"/>
      <w:numFmt w:val="lowerRoman"/>
      <w:pStyle w:val="berschrift2"/>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53413394"/>
    <w:multiLevelType w:val="hybridMultilevel"/>
    <w:tmpl w:val="C868DD04"/>
    <w:lvl w:ilvl="0" w:tplc="4D24AB6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34E2F3E"/>
    <w:multiLevelType w:val="hybridMultilevel"/>
    <w:tmpl w:val="B66CF8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542D1A9C"/>
    <w:multiLevelType w:val="hybridMultilevel"/>
    <w:tmpl w:val="F9FAB7D8"/>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55E57419"/>
    <w:multiLevelType w:val="hybridMultilevel"/>
    <w:tmpl w:val="4EB29B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58C42F38"/>
    <w:multiLevelType w:val="hybridMultilevel"/>
    <w:tmpl w:val="8C7608DA"/>
    <w:lvl w:ilvl="0" w:tplc="EC7E5EF8">
      <w:start w:val="1"/>
      <w:numFmt w:val="upperRoman"/>
      <w:lvlText w:val="%1."/>
      <w:lvlJc w:val="right"/>
      <w:pPr>
        <w:ind w:left="720" w:hanging="360"/>
      </w:pPr>
      <w:rPr>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9512FD7"/>
    <w:multiLevelType w:val="hybridMultilevel"/>
    <w:tmpl w:val="F53CAD0E"/>
    <w:lvl w:ilvl="0" w:tplc="04070015">
      <w:start w:val="1"/>
      <w:numFmt w:val="decimal"/>
      <w:lvlText w:val="(%1)"/>
      <w:lvlJc w:val="left"/>
      <w:pPr>
        <w:ind w:left="360" w:hanging="360"/>
      </w:pPr>
    </w:lvl>
    <w:lvl w:ilvl="1" w:tplc="1C321CD4">
      <w:start w:val="1"/>
      <w:numFmt w:val="bullet"/>
      <w:lvlText w:val="o"/>
      <w:lvlJc w:val="left"/>
      <w:pPr>
        <w:ind w:left="720" w:hanging="360"/>
      </w:pPr>
      <w:rPr>
        <w:rFonts w:ascii="Courier New" w:hAnsi="Courier New" w:cs="Courier New" w:hint="default"/>
        <w:color w:val="181C62" w:themeColor="text1"/>
      </w:rPr>
    </w:lvl>
    <w:lvl w:ilvl="2" w:tplc="784A4520">
      <w:start w:val="1"/>
      <w:numFmt w:val="bullet"/>
      <w:lvlText w:val="o"/>
      <w:lvlJc w:val="left"/>
      <w:pPr>
        <w:ind w:left="1440" w:hanging="360"/>
      </w:pPr>
      <w:rPr>
        <w:rFonts w:ascii="Courier New" w:hAnsi="Courier New" w:cs="Courier New" w:hint="default"/>
        <w:color w:val="181C62" w:themeColor="text1"/>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5A813E2D"/>
    <w:multiLevelType w:val="hybridMultilevel"/>
    <w:tmpl w:val="FC084D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5AAD62A2"/>
    <w:multiLevelType w:val="hybridMultilevel"/>
    <w:tmpl w:val="0F5A753A"/>
    <w:lvl w:ilvl="0" w:tplc="AC4686B6">
      <w:start w:val="1"/>
      <w:numFmt w:val="upperRoman"/>
      <w:lvlText w:val="%1."/>
      <w:lvlJc w:val="right"/>
      <w:pPr>
        <w:ind w:left="812" w:hanging="360"/>
      </w:pPr>
      <w:rPr>
        <w:rFonts w:hint="default"/>
        <w:i w:val="0"/>
        <w:iCs w:val="0"/>
        <w:color w:val="151E1F"/>
      </w:rPr>
    </w:lvl>
    <w:lvl w:ilvl="1" w:tplc="FFFFFFFF" w:tentative="1">
      <w:start w:val="1"/>
      <w:numFmt w:val="lowerLetter"/>
      <w:lvlText w:val="%2."/>
      <w:lvlJc w:val="left"/>
      <w:pPr>
        <w:ind w:left="1532" w:hanging="360"/>
      </w:pPr>
    </w:lvl>
    <w:lvl w:ilvl="2" w:tplc="FFFFFFFF" w:tentative="1">
      <w:start w:val="1"/>
      <w:numFmt w:val="lowerRoman"/>
      <w:lvlText w:val="%3."/>
      <w:lvlJc w:val="right"/>
      <w:pPr>
        <w:ind w:left="2252" w:hanging="180"/>
      </w:pPr>
    </w:lvl>
    <w:lvl w:ilvl="3" w:tplc="FFFFFFFF" w:tentative="1">
      <w:start w:val="1"/>
      <w:numFmt w:val="decimal"/>
      <w:lvlText w:val="%4."/>
      <w:lvlJc w:val="left"/>
      <w:pPr>
        <w:ind w:left="2972" w:hanging="360"/>
      </w:pPr>
    </w:lvl>
    <w:lvl w:ilvl="4" w:tplc="FFFFFFFF" w:tentative="1">
      <w:start w:val="1"/>
      <w:numFmt w:val="lowerLetter"/>
      <w:lvlText w:val="%5."/>
      <w:lvlJc w:val="left"/>
      <w:pPr>
        <w:ind w:left="3692" w:hanging="360"/>
      </w:pPr>
    </w:lvl>
    <w:lvl w:ilvl="5" w:tplc="FFFFFFFF" w:tentative="1">
      <w:start w:val="1"/>
      <w:numFmt w:val="lowerRoman"/>
      <w:lvlText w:val="%6."/>
      <w:lvlJc w:val="right"/>
      <w:pPr>
        <w:ind w:left="4412" w:hanging="180"/>
      </w:pPr>
    </w:lvl>
    <w:lvl w:ilvl="6" w:tplc="FFFFFFFF" w:tentative="1">
      <w:start w:val="1"/>
      <w:numFmt w:val="decimal"/>
      <w:lvlText w:val="%7."/>
      <w:lvlJc w:val="left"/>
      <w:pPr>
        <w:ind w:left="5132" w:hanging="360"/>
      </w:pPr>
    </w:lvl>
    <w:lvl w:ilvl="7" w:tplc="FFFFFFFF" w:tentative="1">
      <w:start w:val="1"/>
      <w:numFmt w:val="lowerLetter"/>
      <w:lvlText w:val="%8."/>
      <w:lvlJc w:val="left"/>
      <w:pPr>
        <w:ind w:left="5852" w:hanging="360"/>
      </w:pPr>
    </w:lvl>
    <w:lvl w:ilvl="8" w:tplc="FFFFFFFF" w:tentative="1">
      <w:start w:val="1"/>
      <w:numFmt w:val="lowerRoman"/>
      <w:lvlText w:val="%9."/>
      <w:lvlJc w:val="right"/>
      <w:pPr>
        <w:ind w:left="6572" w:hanging="180"/>
      </w:pPr>
    </w:lvl>
  </w:abstractNum>
  <w:abstractNum w:abstractNumId="49" w15:restartNumberingAfterBreak="0">
    <w:nsid w:val="5E733C04"/>
    <w:multiLevelType w:val="hybridMultilevel"/>
    <w:tmpl w:val="388CCF04"/>
    <w:lvl w:ilvl="0" w:tplc="04070001">
      <w:start w:val="1"/>
      <w:numFmt w:val="bullet"/>
      <w:lvlText w:val=""/>
      <w:lvlJc w:val="left"/>
      <w:pPr>
        <w:ind w:left="863" w:hanging="360"/>
      </w:pPr>
      <w:rPr>
        <w:rFonts w:ascii="Symbol" w:hAnsi="Symbol" w:hint="default"/>
      </w:rPr>
    </w:lvl>
    <w:lvl w:ilvl="1" w:tplc="04070003" w:tentative="1">
      <w:start w:val="1"/>
      <w:numFmt w:val="bullet"/>
      <w:lvlText w:val="o"/>
      <w:lvlJc w:val="left"/>
      <w:pPr>
        <w:ind w:left="1583" w:hanging="360"/>
      </w:pPr>
      <w:rPr>
        <w:rFonts w:ascii="Courier New" w:hAnsi="Courier New" w:cs="Courier New" w:hint="default"/>
      </w:rPr>
    </w:lvl>
    <w:lvl w:ilvl="2" w:tplc="04070005" w:tentative="1">
      <w:start w:val="1"/>
      <w:numFmt w:val="bullet"/>
      <w:lvlText w:val=""/>
      <w:lvlJc w:val="left"/>
      <w:pPr>
        <w:ind w:left="2303" w:hanging="360"/>
      </w:pPr>
      <w:rPr>
        <w:rFonts w:ascii="Wingdings" w:hAnsi="Wingdings" w:hint="default"/>
      </w:rPr>
    </w:lvl>
    <w:lvl w:ilvl="3" w:tplc="04070001" w:tentative="1">
      <w:start w:val="1"/>
      <w:numFmt w:val="bullet"/>
      <w:lvlText w:val=""/>
      <w:lvlJc w:val="left"/>
      <w:pPr>
        <w:ind w:left="3023" w:hanging="360"/>
      </w:pPr>
      <w:rPr>
        <w:rFonts w:ascii="Symbol" w:hAnsi="Symbol" w:hint="default"/>
      </w:rPr>
    </w:lvl>
    <w:lvl w:ilvl="4" w:tplc="04070003" w:tentative="1">
      <w:start w:val="1"/>
      <w:numFmt w:val="bullet"/>
      <w:lvlText w:val="o"/>
      <w:lvlJc w:val="left"/>
      <w:pPr>
        <w:ind w:left="3743" w:hanging="360"/>
      </w:pPr>
      <w:rPr>
        <w:rFonts w:ascii="Courier New" w:hAnsi="Courier New" w:cs="Courier New" w:hint="default"/>
      </w:rPr>
    </w:lvl>
    <w:lvl w:ilvl="5" w:tplc="04070005" w:tentative="1">
      <w:start w:val="1"/>
      <w:numFmt w:val="bullet"/>
      <w:lvlText w:val=""/>
      <w:lvlJc w:val="left"/>
      <w:pPr>
        <w:ind w:left="4463" w:hanging="360"/>
      </w:pPr>
      <w:rPr>
        <w:rFonts w:ascii="Wingdings" w:hAnsi="Wingdings" w:hint="default"/>
      </w:rPr>
    </w:lvl>
    <w:lvl w:ilvl="6" w:tplc="04070001" w:tentative="1">
      <w:start w:val="1"/>
      <w:numFmt w:val="bullet"/>
      <w:lvlText w:val=""/>
      <w:lvlJc w:val="left"/>
      <w:pPr>
        <w:ind w:left="5183" w:hanging="360"/>
      </w:pPr>
      <w:rPr>
        <w:rFonts w:ascii="Symbol" w:hAnsi="Symbol" w:hint="default"/>
      </w:rPr>
    </w:lvl>
    <w:lvl w:ilvl="7" w:tplc="04070003" w:tentative="1">
      <w:start w:val="1"/>
      <w:numFmt w:val="bullet"/>
      <w:lvlText w:val="o"/>
      <w:lvlJc w:val="left"/>
      <w:pPr>
        <w:ind w:left="5903" w:hanging="360"/>
      </w:pPr>
      <w:rPr>
        <w:rFonts w:ascii="Courier New" w:hAnsi="Courier New" w:cs="Courier New" w:hint="default"/>
      </w:rPr>
    </w:lvl>
    <w:lvl w:ilvl="8" w:tplc="04070005" w:tentative="1">
      <w:start w:val="1"/>
      <w:numFmt w:val="bullet"/>
      <w:lvlText w:val=""/>
      <w:lvlJc w:val="left"/>
      <w:pPr>
        <w:ind w:left="6623" w:hanging="360"/>
      </w:pPr>
      <w:rPr>
        <w:rFonts w:ascii="Wingdings" w:hAnsi="Wingdings" w:hint="default"/>
      </w:rPr>
    </w:lvl>
  </w:abstractNum>
  <w:abstractNum w:abstractNumId="50" w15:restartNumberingAfterBreak="0">
    <w:nsid w:val="5FCE1CEB"/>
    <w:multiLevelType w:val="hybridMultilevel"/>
    <w:tmpl w:val="3D2407CA"/>
    <w:lvl w:ilvl="0" w:tplc="FFFFFFFF">
      <w:start w:val="1"/>
      <w:numFmt w:val="upperRoman"/>
      <w:lvlText w:val="%1."/>
      <w:lvlJc w:val="right"/>
      <w:pPr>
        <w:ind w:left="812" w:hanging="360"/>
      </w:pPr>
      <w:rPr>
        <w:rFonts w:hint="default"/>
        <w:i w:val="0"/>
        <w:iCs w:val="0"/>
      </w:rPr>
    </w:lvl>
    <w:lvl w:ilvl="1" w:tplc="FFFFFFFF" w:tentative="1">
      <w:start w:val="1"/>
      <w:numFmt w:val="lowerLetter"/>
      <w:lvlText w:val="%2."/>
      <w:lvlJc w:val="left"/>
      <w:pPr>
        <w:ind w:left="1532" w:hanging="360"/>
      </w:pPr>
    </w:lvl>
    <w:lvl w:ilvl="2" w:tplc="FFFFFFFF" w:tentative="1">
      <w:start w:val="1"/>
      <w:numFmt w:val="lowerRoman"/>
      <w:lvlText w:val="%3."/>
      <w:lvlJc w:val="right"/>
      <w:pPr>
        <w:ind w:left="2252" w:hanging="180"/>
      </w:pPr>
    </w:lvl>
    <w:lvl w:ilvl="3" w:tplc="FFFFFFFF" w:tentative="1">
      <w:start w:val="1"/>
      <w:numFmt w:val="decimal"/>
      <w:lvlText w:val="%4."/>
      <w:lvlJc w:val="left"/>
      <w:pPr>
        <w:ind w:left="2972" w:hanging="360"/>
      </w:pPr>
    </w:lvl>
    <w:lvl w:ilvl="4" w:tplc="FFFFFFFF" w:tentative="1">
      <w:start w:val="1"/>
      <w:numFmt w:val="lowerLetter"/>
      <w:lvlText w:val="%5."/>
      <w:lvlJc w:val="left"/>
      <w:pPr>
        <w:ind w:left="3692" w:hanging="360"/>
      </w:pPr>
    </w:lvl>
    <w:lvl w:ilvl="5" w:tplc="FFFFFFFF" w:tentative="1">
      <w:start w:val="1"/>
      <w:numFmt w:val="lowerRoman"/>
      <w:lvlText w:val="%6."/>
      <w:lvlJc w:val="right"/>
      <w:pPr>
        <w:ind w:left="4412" w:hanging="180"/>
      </w:pPr>
    </w:lvl>
    <w:lvl w:ilvl="6" w:tplc="FFFFFFFF" w:tentative="1">
      <w:start w:val="1"/>
      <w:numFmt w:val="decimal"/>
      <w:lvlText w:val="%7."/>
      <w:lvlJc w:val="left"/>
      <w:pPr>
        <w:ind w:left="5132" w:hanging="360"/>
      </w:pPr>
    </w:lvl>
    <w:lvl w:ilvl="7" w:tplc="FFFFFFFF" w:tentative="1">
      <w:start w:val="1"/>
      <w:numFmt w:val="lowerLetter"/>
      <w:lvlText w:val="%8."/>
      <w:lvlJc w:val="left"/>
      <w:pPr>
        <w:ind w:left="5852" w:hanging="360"/>
      </w:pPr>
    </w:lvl>
    <w:lvl w:ilvl="8" w:tplc="FFFFFFFF" w:tentative="1">
      <w:start w:val="1"/>
      <w:numFmt w:val="lowerRoman"/>
      <w:lvlText w:val="%9."/>
      <w:lvlJc w:val="right"/>
      <w:pPr>
        <w:ind w:left="6572" w:hanging="180"/>
      </w:pPr>
    </w:lvl>
  </w:abstractNum>
  <w:abstractNum w:abstractNumId="51" w15:restartNumberingAfterBreak="0">
    <w:nsid w:val="655371A2"/>
    <w:multiLevelType w:val="hybridMultilevel"/>
    <w:tmpl w:val="49584D3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2" w15:restartNumberingAfterBreak="0">
    <w:nsid w:val="668D785E"/>
    <w:multiLevelType w:val="hybridMultilevel"/>
    <w:tmpl w:val="97F61FF0"/>
    <w:lvl w:ilvl="0" w:tplc="C89C98E8">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15:restartNumberingAfterBreak="0">
    <w:nsid w:val="66A6401D"/>
    <w:multiLevelType w:val="hybridMultilevel"/>
    <w:tmpl w:val="C14E60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69FC31C9"/>
    <w:multiLevelType w:val="hybridMultilevel"/>
    <w:tmpl w:val="9460C06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15:restartNumberingAfterBreak="0">
    <w:nsid w:val="6B933710"/>
    <w:multiLevelType w:val="hybridMultilevel"/>
    <w:tmpl w:val="042EB4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6CCC2C9C"/>
    <w:multiLevelType w:val="hybridMultilevel"/>
    <w:tmpl w:val="EF761920"/>
    <w:lvl w:ilvl="0" w:tplc="0407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D634072"/>
    <w:multiLevelType w:val="hybridMultilevel"/>
    <w:tmpl w:val="3BC67B48"/>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712C0623"/>
    <w:multiLevelType w:val="hybridMultilevel"/>
    <w:tmpl w:val="323EE35E"/>
    <w:lvl w:ilvl="0" w:tplc="0407001B">
      <w:start w:val="1"/>
      <w:numFmt w:val="low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9" w15:restartNumberingAfterBreak="0">
    <w:nsid w:val="7188328B"/>
    <w:multiLevelType w:val="hybridMultilevel"/>
    <w:tmpl w:val="89923DE6"/>
    <w:lvl w:ilvl="0" w:tplc="2DE0795E">
      <w:start w:val="1"/>
      <w:numFmt w:val="lowerRoman"/>
      <w:lvlText w:val="iii.%1."/>
      <w:lvlJc w:val="left"/>
      <w:pPr>
        <w:ind w:left="812" w:hanging="360"/>
      </w:pPr>
      <w:rPr>
        <w:rFonts w:hint="default"/>
      </w:rPr>
    </w:lvl>
    <w:lvl w:ilvl="1" w:tplc="04070019" w:tentative="1">
      <w:start w:val="1"/>
      <w:numFmt w:val="lowerLetter"/>
      <w:lvlText w:val="%2."/>
      <w:lvlJc w:val="left"/>
      <w:pPr>
        <w:ind w:left="1532" w:hanging="360"/>
      </w:pPr>
    </w:lvl>
    <w:lvl w:ilvl="2" w:tplc="0407001B" w:tentative="1">
      <w:start w:val="1"/>
      <w:numFmt w:val="lowerRoman"/>
      <w:lvlText w:val="%3."/>
      <w:lvlJc w:val="right"/>
      <w:pPr>
        <w:ind w:left="2252" w:hanging="180"/>
      </w:pPr>
    </w:lvl>
    <w:lvl w:ilvl="3" w:tplc="0407000F" w:tentative="1">
      <w:start w:val="1"/>
      <w:numFmt w:val="decimal"/>
      <w:lvlText w:val="%4."/>
      <w:lvlJc w:val="left"/>
      <w:pPr>
        <w:ind w:left="2972" w:hanging="360"/>
      </w:pPr>
    </w:lvl>
    <w:lvl w:ilvl="4" w:tplc="04070019" w:tentative="1">
      <w:start w:val="1"/>
      <w:numFmt w:val="lowerLetter"/>
      <w:lvlText w:val="%5."/>
      <w:lvlJc w:val="left"/>
      <w:pPr>
        <w:ind w:left="3692" w:hanging="360"/>
      </w:pPr>
    </w:lvl>
    <w:lvl w:ilvl="5" w:tplc="0407001B" w:tentative="1">
      <w:start w:val="1"/>
      <w:numFmt w:val="lowerRoman"/>
      <w:lvlText w:val="%6."/>
      <w:lvlJc w:val="right"/>
      <w:pPr>
        <w:ind w:left="4412" w:hanging="180"/>
      </w:pPr>
    </w:lvl>
    <w:lvl w:ilvl="6" w:tplc="0407000F" w:tentative="1">
      <w:start w:val="1"/>
      <w:numFmt w:val="decimal"/>
      <w:lvlText w:val="%7."/>
      <w:lvlJc w:val="left"/>
      <w:pPr>
        <w:ind w:left="5132" w:hanging="360"/>
      </w:pPr>
    </w:lvl>
    <w:lvl w:ilvl="7" w:tplc="04070019" w:tentative="1">
      <w:start w:val="1"/>
      <w:numFmt w:val="lowerLetter"/>
      <w:lvlText w:val="%8."/>
      <w:lvlJc w:val="left"/>
      <w:pPr>
        <w:ind w:left="5852" w:hanging="360"/>
      </w:pPr>
    </w:lvl>
    <w:lvl w:ilvl="8" w:tplc="0407001B" w:tentative="1">
      <w:start w:val="1"/>
      <w:numFmt w:val="lowerRoman"/>
      <w:lvlText w:val="%9."/>
      <w:lvlJc w:val="right"/>
      <w:pPr>
        <w:ind w:left="6572" w:hanging="180"/>
      </w:pPr>
    </w:lvl>
  </w:abstractNum>
  <w:num w:numId="1" w16cid:durableId="1182351836">
    <w:abstractNumId w:val="17"/>
  </w:num>
  <w:num w:numId="2" w16cid:durableId="842015924">
    <w:abstractNumId w:val="36"/>
  </w:num>
  <w:num w:numId="3" w16cid:durableId="1270044065">
    <w:abstractNumId w:val="22"/>
  </w:num>
  <w:num w:numId="4" w16cid:durableId="2072846733">
    <w:abstractNumId w:val="42"/>
  </w:num>
  <w:num w:numId="5" w16cid:durableId="484126024">
    <w:abstractNumId w:val="20"/>
  </w:num>
  <w:num w:numId="6" w16cid:durableId="1883587833">
    <w:abstractNumId w:val="31"/>
  </w:num>
  <w:num w:numId="7" w16cid:durableId="1796438972">
    <w:abstractNumId w:val="36"/>
    <w:lvlOverride w:ilvl="0">
      <w:startOverride w:val="1"/>
    </w:lvlOverride>
  </w:num>
  <w:num w:numId="8" w16cid:durableId="603152022">
    <w:abstractNumId w:val="52"/>
  </w:num>
  <w:num w:numId="9" w16cid:durableId="2102677831">
    <w:abstractNumId w:val="35"/>
  </w:num>
  <w:num w:numId="10" w16cid:durableId="2107386172">
    <w:abstractNumId w:val="14"/>
  </w:num>
  <w:num w:numId="11" w16cid:durableId="322051480">
    <w:abstractNumId w:val="16"/>
  </w:num>
  <w:num w:numId="12" w16cid:durableId="287974344">
    <w:abstractNumId w:val="51"/>
  </w:num>
  <w:num w:numId="13" w16cid:durableId="722102367">
    <w:abstractNumId w:val="28"/>
  </w:num>
  <w:num w:numId="14" w16cid:durableId="1093817994">
    <w:abstractNumId w:val="36"/>
    <w:lvlOverride w:ilvl="0">
      <w:startOverride w:val="1"/>
    </w:lvlOverride>
  </w:num>
  <w:num w:numId="15" w16cid:durableId="1106998361">
    <w:abstractNumId w:val="36"/>
  </w:num>
  <w:num w:numId="16" w16cid:durableId="1142429127">
    <w:abstractNumId w:val="10"/>
  </w:num>
  <w:num w:numId="17" w16cid:durableId="772433095">
    <w:abstractNumId w:val="37"/>
  </w:num>
  <w:num w:numId="18" w16cid:durableId="194467088">
    <w:abstractNumId w:val="36"/>
  </w:num>
  <w:num w:numId="19" w16cid:durableId="604770739">
    <w:abstractNumId w:val="36"/>
  </w:num>
  <w:num w:numId="20" w16cid:durableId="336930467">
    <w:abstractNumId w:val="36"/>
  </w:num>
  <w:num w:numId="21" w16cid:durableId="1047795548">
    <w:abstractNumId w:val="8"/>
  </w:num>
  <w:num w:numId="22" w16cid:durableId="1256212544">
    <w:abstractNumId w:val="36"/>
  </w:num>
  <w:num w:numId="23" w16cid:durableId="1617255624">
    <w:abstractNumId w:val="12"/>
  </w:num>
  <w:num w:numId="24" w16cid:durableId="1870801638">
    <w:abstractNumId w:val="21"/>
  </w:num>
  <w:num w:numId="25" w16cid:durableId="53893787">
    <w:abstractNumId w:val="32"/>
  </w:num>
  <w:num w:numId="26" w16cid:durableId="1288008033">
    <w:abstractNumId w:val="32"/>
    <w:lvlOverride w:ilvl="0">
      <w:startOverride w:val="1"/>
    </w:lvlOverride>
  </w:num>
  <w:num w:numId="27" w16cid:durableId="573587586">
    <w:abstractNumId w:val="0"/>
  </w:num>
  <w:num w:numId="28" w16cid:durableId="993802968">
    <w:abstractNumId w:val="30"/>
  </w:num>
  <w:num w:numId="29" w16cid:durableId="1731077337">
    <w:abstractNumId w:val="49"/>
  </w:num>
  <w:num w:numId="30" w16cid:durableId="1882093420">
    <w:abstractNumId w:val="26"/>
  </w:num>
  <w:num w:numId="31" w16cid:durableId="585110184">
    <w:abstractNumId w:val="45"/>
  </w:num>
  <w:num w:numId="32" w16cid:durableId="1931430511">
    <w:abstractNumId w:val="7"/>
  </w:num>
  <w:num w:numId="33" w16cid:durableId="789082418">
    <w:abstractNumId w:val="46"/>
  </w:num>
  <w:num w:numId="34" w16cid:durableId="1034624155">
    <w:abstractNumId w:val="38"/>
  </w:num>
  <w:num w:numId="35" w16cid:durableId="1211769772">
    <w:abstractNumId w:val="33"/>
  </w:num>
  <w:num w:numId="36" w16cid:durableId="1183780315">
    <w:abstractNumId w:val="13"/>
  </w:num>
  <w:num w:numId="37" w16cid:durableId="1378622352">
    <w:abstractNumId w:val="54"/>
  </w:num>
  <w:num w:numId="38" w16cid:durableId="1025788896">
    <w:abstractNumId w:val="1"/>
  </w:num>
  <w:num w:numId="39" w16cid:durableId="379288852">
    <w:abstractNumId w:val="23"/>
  </w:num>
  <w:num w:numId="40" w16cid:durableId="1412505108">
    <w:abstractNumId w:val="34"/>
  </w:num>
  <w:num w:numId="41" w16cid:durableId="656156041">
    <w:abstractNumId w:val="27"/>
  </w:num>
  <w:num w:numId="42" w16cid:durableId="1391150947">
    <w:abstractNumId w:val="57"/>
  </w:num>
  <w:num w:numId="43" w16cid:durableId="406849208">
    <w:abstractNumId w:val="2"/>
  </w:num>
  <w:num w:numId="44" w16cid:durableId="1480146613">
    <w:abstractNumId w:val="43"/>
  </w:num>
  <w:num w:numId="45" w16cid:durableId="1036468275">
    <w:abstractNumId w:val="15"/>
  </w:num>
  <w:num w:numId="46" w16cid:durableId="667900698">
    <w:abstractNumId w:val="25"/>
  </w:num>
  <w:num w:numId="47" w16cid:durableId="2036348203">
    <w:abstractNumId w:val="59"/>
  </w:num>
  <w:num w:numId="48" w16cid:durableId="1629891340">
    <w:abstractNumId w:val="9"/>
  </w:num>
  <w:num w:numId="49" w16cid:durableId="244458835">
    <w:abstractNumId w:val="24"/>
  </w:num>
  <w:num w:numId="50" w16cid:durableId="645817207">
    <w:abstractNumId w:val="48"/>
  </w:num>
  <w:num w:numId="51" w16cid:durableId="778260376">
    <w:abstractNumId w:val="19"/>
  </w:num>
  <w:num w:numId="52" w16cid:durableId="1630698600">
    <w:abstractNumId w:val="3"/>
  </w:num>
  <w:num w:numId="53" w16cid:durableId="608515840">
    <w:abstractNumId w:val="11"/>
  </w:num>
  <w:num w:numId="54" w16cid:durableId="1986934119">
    <w:abstractNumId w:val="32"/>
  </w:num>
  <w:num w:numId="55" w16cid:durableId="1079061680">
    <w:abstractNumId w:val="32"/>
  </w:num>
  <w:num w:numId="56" w16cid:durableId="1050497025">
    <w:abstractNumId w:val="32"/>
  </w:num>
  <w:num w:numId="57" w16cid:durableId="679164584">
    <w:abstractNumId w:val="32"/>
    <w:lvlOverride w:ilvl="0">
      <w:startOverride w:val="1"/>
    </w:lvlOverride>
  </w:num>
  <w:num w:numId="58" w16cid:durableId="803356014">
    <w:abstractNumId w:val="32"/>
    <w:lvlOverride w:ilvl="0">
      <w:startOverride w:val="1"/>
    </w:lvlOverride>
  </w:num>
  <w:num w:numId="59" w16cid:durableId="55781720">
    <w:abstractNumId w:val="39"/>
  </w:num>
  <w:num w:numId="60" w16cid:durableId="1772703314">
    <w:abstractNumId w:val="47"/>
  </w:num>
  <w:num w:numId="61" w16cid:durableId="429205490">
    <w:abstractNumId w:val="50"/>
  </w:num>
  <w:num w:numId="62" w16cid:durableId="1685470702">
    <w:abstractNumId w:val="4"/>
  </w:num>
  <w:num w:numId="63" w16cid:durableId="388264594">
    <w:abstractNumId w:val="5"/>
  </w:num>
  <w:num w:numId="64" w16cid:durableId="663242274">
    <w:abstractNumId w:val="32"/>
  </w:num>
  <w:num w:numId="65" w16cid:durableId="1983077539">
    <w:abstractNumId w:val="18"/>
  </w:num>
  <w:num w:numId="66" w16cid:durableId="856164354">
    <w:abstractNumId w:val="58"/>
  </w:num>
  <w:num w:numId="67" w16cid:durableId="234248332">
    <w:abstractNumId w:val="29"/>
  </w:num>
  <w:num w:numId="68" w16cid:durableId="720402335">
    <w:abstractNumId w:val="56"/>
  </w:num>
  <w:num w:numId="69" w16cid:durableId="1346327876">
    <w:abstractNumId w:val="5"/>
    <w:lvlOverride w:ilvl="0">
      <w:startOverride w:val="1"/>
    </w:lvlOverride>
  </w:num>
  <w:num w:numId="70" w16cid:durableId="642152687">
    <w:abstractNumId w:val="5"/>
    <w:lvlOverride w:ilvl="0">
      <w:startOverride w:val="1"/>
    </w:lvlOverride>
  </w:num>
  <w:num w:numId="71" w16cid:durableId="1341471935">
    <w:abstractNumId w:val="5"/>
    <w:lvlOverride w:ilvl="0">
      <w:startOverride w:val="1"/>
    </w:lvlOverride>
  </w:num>
  <w:num w:numId="72" w16cid:durableId="1446192520">
    <w:abstractNumId w:val="5"/>
    <w:lvlOverride w:ilvl="0">
      <w:startOverride w:val="1"/>
    </w:lvlOverride>
  </w:num>
  <w:num w:numId="73" w16cid:durableId="1526627189">
    <w:abstractNumId w:val="5"/>
    <w:lvlOverride w:ilvl="0">
      <w:startOverride w:val="1"/>
    </w:lvlOverride>
  </w:num>
  <w:num w:numId="74" w16cid:durableId="640770438">
    <w:abstractNumId w:val="5"/>
    <w:lvlOverride w:ilvl="0">
      <w:startOverride w:val="1"/>
    </w:lvlOverride>
  </w:num>
  <w:num w:numId="75" w16cid:durableId="1510214770">
    <w:abstractNumId w:val="5"/>
    <w:lvlOverride w:ilvl="0">
      <w:startOverride w:val="1"/>
    </w:lvlOverride>
  </w:num>
  <w:num w:numId="76" w16cid:durableId="1153720687">
    <w:abstractNumId w:val="5"/>
    <w:lvlOverride w:ilvl="0">
      <w:startOverride w:val="1"/>
    </w:lvlOverride>
  </w:num>
  <w:num w:numId="77" w16cid:durableId="63379132">
    <w:abstractNumId w:val="5"/>
  </w:num>
  <w:num w:numId="78" w16cid:durableId="169875243">
    <w:abstractNumId w:val="5"/>
  </w:num>
  <w:num w:numId="79" w16cid:durableId="1885478613">
    <w:abstractNumId w:val="5"/>
  </w:num>
  <w:num w:numId="80" w16cid:durableId="1767918913">
    <w:abstractNumId w:val="32"/>
  </w:num>
  <w:num w:numId="81" w16cid:durableId="929266965">
    <w:abstractNumId w:val="40"/>
  </w:num>
  <w:num w:numId="82" w16cid:durableId="1008873079">
    <w:abstractNumId w:val="40"/>
  </w:num>
  <w:num w:numId="83" w16cid:durableId="348261170">
    <w:abstractNumId w:val="32"/>
    <w:lvlOverride w:ilvl="0">
      <w:startOverride w:val="1"/>
    </w:lvlOverride>
  </w:num>
  <w:num w:numId="84" w16cid:durableId="1196192453">
    <w:abstractNumId w:val="32"/>
  </w:num>
  <w:num w:numId="85" w16cid:durableId="2118089561">
    <w:abstractNumId w:val="40"/>
    <w:lvlOverride w:ilvl="0">
      <w:startOverride w:val="1"/>
    </w:lvlOverride>
  </w:num>
  <w:num w:numId="86" w16cid:durableId="1908998168">
    <w:abstractNumId w:val="40"/>
    <w:lvlOverride w:ilvl="0">
      <w:startOverride w:val="1"/>
    </w:lvlOverride>
  </w:num>
  <w:num w:numId="87" w16cid:durableId="609900691">
    <w:abstractNumId w:val="40"/>
    <w:lvlOverride w:ilvl="0">
      <w:startOverride w:val="1"/>
    </w:lvlOverride>
  </w:num>
  <w:num w:numId="88" w16cid:durableId="1977447152">
    <w:abstractNumId w:val="40"/>
    <w:lvlOverride w:ilvl="0">
      <w:startOverride w:val="1"/>
    </w:lvlOverride>
  </w:num>
  <w:num w:numId="89" w16cid:durableId="456266536">
    <w:abstractNumId w:val="6"/>
  </w:num>
  <w:num w:numId="90" w16cid:durableId="419105384">
    <w:abstractNumId w:val="53"/>
  </w:num>
  <w:num w:numId="91" w16cid:durableId="1953242726">
    <w:abstractNumId w:val="55"/>
  </w:num>
  <w:num w:numId="92" w16cid:durableId="630550510">
    <w:abstractNumId w:val="44"/>
  </w:num>
  <w:num w:numId="93" w16cid:durableId="1762605367">
    <w:abstractNumId w:val="4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hyphenationZone w:val="425"/>
  <w:defaultTableStyle w:val="TabellemithellemGitternetz"/>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921"/>
    <w:rsid w:val="00000CF0"/>
    <w:rsid w:val="00002DCA"/>
    <w:rsid w:val="00003151"/>
    <w:rsid w:val="000041A1"/>
    <w:rsid w:val="0000460B"/>
    <w:rsid w:val="0001225E"/>
    <w:rsid w:val="00017B12"/>
    <w:rsid w:val="0002077B"/>
    <w:rsid w:val="00021893"/>
    <w:rsid w:val="00025D28"/>
    <w:rsid w:val="00032E7A"/>
    <w:rsid w:val="00032F2E"/>
    <w:rsid w:val="000334EE"/>
    <w:rsid w:val="000358FC"/>
    <w:rsid w:val="000436EE"/>
    <w:rsid w:val="000437FD"/>
    <w:rsid w:val="00044ACD"/>
    <w:rsid w:val="0004522F"/>
    <w:rsid w:val="00051E0A"/>
    <w:rsid w:val="00053175"/>
    <w:rsid w:val="00056302"/>
    <w:rsid w:val="00061DEB"/>
    <w:rsid w:val="00061FBD"/>
    <w:rsid w:val="00066859"/>
    <w:rsid w:val="00067442"/>
    <w:rsid w:val="0006796E"/>
    <w:rsid w:val="00067BDC"/>
    <w:rsid w:val="000718C2"/>
    <w:rsid w:val="0007432F"/>
    <w:rsid w:val="000838E5"/>
    <w:rsid w:val="0008592B"/>
    <w:rsid w:val="00090A7D"/>
    <w:rsid w:val="00090F3D"/>
    <w:rsid w:val="000A5879"/>
    <w:rsid w:val="000A5F67"/>
    <w:rsid w:val="000B167A"/>
    <w:rsid w:val="000B61F3"/>
    <w:rsid w:val="000B71AB"/>
    <w:rsid w:val="000B78C8"/>
    <w:rsid w:val="000C55D1"/>
    <w:rsid w:val="000D185A"/>
    <w:rsid w:val="000D2BF3"/>
    <w:rsid w:val="000D3AAC"/>
    <w:rsid w:val="000E0564"/>
    <w:rsid w:val="000E5538"/>
    <w:rsid w:val="000F1183"/>
    <w:rsid w:val="00103E6F"/>
    <w:rsid w:val="00104952"/>
    <w:rsid w:val="00107B54"/>
    <w:rsid w:val="0011093C"/>
    <w:rsid w:val="0011122B"/>
    <w:rsid w:val="00111835"/>
    <w:rsid w:val="00111CC9"/>
    <w:rsid w:val="0011381A"/>
    <w:rsid w:val="001153F4"/>
    <w:rsid w:val="00121785"/>
    <w:rsid w:val="0012378A"/>
    <w:rsid w:val="00123FCB"/>
    <w:rsid w:val="00127454"/>
    <w:rsid w:val="001361C9"/>
    <w:rsid w:val="001364CA"/>
    <w:rsid w:val="00136CB8"/>
    <w:rsid w:val="00140259"/>
    <w:rsid w:val="0014171C"/>
    <w:rsid w:val="001475CD"/>
    <w:rsid w:val="001501A4"/>
    <w:rsid w:val="00152E04"/>
    <w:rsid w:val="00153DD9"/>
    <w:rsid w:val="00154FEB"/>
    <w:rsid w:val="00154FF1"/>
    <w:rsid w:val="00162627"/>
    <w:rsid w:val="001639B3"/>
    <w:rsid w:val="00173F54"/>
    <w:rsid w:val="00175D46"/>
    <w:rsid w:val="00175EF9"/>
    <w:rsid w:val="00182E52"/>
    <w:rsid w:val="0018388F"/>
    <w:rsid w:val="001846F0"/>
    <w:rsid w:val="00184C99"/>
    <w:rsid w:val="00186FCB"/>
    <w:rsid w:val="00191558"/>
    <w:rsid w:val="00191F9E"/>
    <w:rsid w:val="0019356D"/>
    <w:rsid w:val="0019373E"/>
    <w:rsid w:val="00193A00"/>
    <w:rsid w:val="00197520"/>
    <w:rsid w:val="00197709"/>
    <w:rsid w:val="001A026C"/>
    <w:rsid w:val="001A0A13"/>
    <w:rsid w:val="001A15E5"/>
    <w:rsid w:val="001A1BFC"/>
    <w:rsid w:val="001A1CCC"/>
    <w:rsid w:val="001A2CA6"/>
    <w:rsid w:val="001A2EB7"/>
    <w:rsid w:val="001B16BA"/>
    <w:rsid w:val="001B2A74"/>
    <w:rsid w:val="001B48C9"/>
    <w:rsid w:val="001B521B"/>
    <w:rsid w:val="001C361D"/>
    <w:rsid w:val="001C53D9"/>
    <w:rsid w:val="001C6342"/>
    <w:rsid w:val="001D2721"/>
    <w:rsid w:val="001D55E3"/>
    <w:rsid w:val="001D56FF"/>
    <w:rsid w:val="001E1C5A"/>
    <w:rsid w:val="001E258E"/>
    <w:rsid w:val="001E40B4"/>
    <w:rsid w:val="001E5B43"/>
    <w:rsid w:val="001F08AD"/>
    <w:rsid w:val="001F6077"/>
    <w:rsid w:val="001F7CED"/>
    <w:rsid w:val="00201011"/>
    <w:rsid w:val="00203980"/>
    <w:rsid w:val="00204257"/>
    <w:rsid w:val="00206987"/>
    <w:rsid w:val="00210771"/>
    <w:rsid w:val="002122E3"/>
    <w:rsid w:val="00216423"/>
    <w:rsid w:val="002173BF"/>
    <w:rsid w:val="0022418F"/>
    <w:rsid w:val="002248C7"/>
    <w:rsid w:val="002248DE"/>
    <w:rsid w:val="00225C91"/>
    <w:rsid w:val="002315DD"/>
    <w:rsid w:val="00231C86"/>
    <w:rsid w:val="00231F2C"/>
    <w:rsid w:val="00233698"/>
    <w:rsid w:val="00233EA4"/>
    <w:rsid w:val="00233EC8"/>
    <w:rsid w:val="002347AE"/>
    <w:rsid w:val="00234B4E"/>
    <w:rsid w:val="00235F39"/>
    <w:rsid w:val="00235FDC"/>
    <w:rsid w:val="0023751D"/>
    <w:rsid w:val="00237951"/>
    <w:rsid w:val="00240895"/>
    <w:rsid w:val="00242AE1"/>
    <w:rsid w:val="002449E0"/>
    <w:rsid w:val="00245649"/>
    <w:rsid w:val="00250CE7"/>
    <w:rsid w:val="00252B4A"/>
    <w:rsid w:val="002553C0"/>
    <w:rsid w:val="002562FE"/>
    <w:rsid w:val="00260F0E"/>
    <w:rsid w:val="002616E5"/>
    <w:rsid w:val="00264EBC"/>
    <w:rsid w:val="00265F7C"/>
    <w:rsid w:val="002716DE"/>
    <w:rsid w:val="00271A55"/>
    <w:rsid w:val="00271D41"/>
    <w:rsid w:val="00275E1E"/>
    <w:rsid w:val="002764B4"/>
    <w:rsid w:val="002807C4"/>
    <w:rsid w:val="00281884"/>
    <w:rsid w:val="002834CB"/>
    <w:rsid w:val="00283C3F"/>
    <w:rsid w:val="00286FBB"/>
    <w:rsid w:val="00290600"/>
    <w:rsid w:val="00291371"/>
    <w:rsid w:val="00293683"/>
    <w:rsid w:val="0029384F"/>
    <w:rsid w:val="00294E79"/>
    <w:rsid w:val="002954BC"/>
    <w:rsid w:val="002968BE"/>
    <w:rsid w:val="002A11F5"/>
    <w:rsid w:val="002A21F0"/>
    <w:rsid w:val="002A2A33"/>
    <w:rsid w:val="002A2D52"/>
    <w:rsid w:val="002A3168"/>
    <w:rsid w:val="002A3173"/>
    <w:rsid w:val="002A6FDB"/>
    <w:rsid w:val="002B2A52"/>
    <w:rsid w:val="002B5166"/>
    <w:rsid w:val="002B5E17"/>
    <w:rsid w:val="002B5F52"/>
    <w:rsid w:val="002C44F6"/>
    <w:rsid w:val="002C559B"/>
    <w:rsid w:val="002C6D3A"/>
    <w:rsid w:val="002D639C"/>
    <w:rsid w:val="002E00A1"/>
    <w:rsid w:val="002E0435"/>
    <w:rsid w:val="002E2376"/>
    <w:rsid w:val="002E38E7"/>
    <w:rsid w:val="002E3DB6"/>
    <w:rsid w:val="002E56F7"/>
    <w:rsid w:val="002E5846"/>
    <w:rsid w:val="002E5A9A"/>
    <w:rsid w:val="002E6243"/>
    <w:rsid w:val="002E67C7"/>
    <w:rsid w:val="002F142D"/>
    <w:rsid w:val="002F346E"/>
    <w:rsid w:val="002F6507"/>
    <w:rsid w:val="003001D4"/>
    <w:rsid w:val="00303DBF"/>
    <w:rsid w:val="003061BB"/>
    <w:rsid w:val="00306630"/>
    <w:rsid w:val="003116BC"/>
    <w:rsid w:val="003119D8"/>
    <w:rsid w:val="00316D5E"/>
    <w:rsid w:val="00323CDB"/>
    <w:rsid w:val="00324B2F"/>
    <w:rsid w:val="00324D69"/>
    <w:rsid w:val="00327CA9"/>
    <w:rsid w:val="00330847"/>
    <w:rsid w:val="00330B94"/>
    <w:rsid w:val="00330FF8"/>
    <w:rsid w:val="00333071"/>
    <w:rsid w:val="003370DA"/>
    <w:rsid w:val="0034114B"/>
    <w:rsid w:val="003441E2"/>
    <w:rsid w:val="003464A5"/>
    <w:rsid w:val="0034782C"/>
    <w:rsid w:val="00351B33"/>
    <w:rsid w:val="0035352B"/>
    <w:rsid w:val="0035360D"/>
    <w:rsid w:val="003556E3"/>
    <w:rsid w:val="003571DC"/>
    <w:rsid w:val="00357453"/>
    <w:rsid w:val="0037310B"/>
    <w:rsid w:val="00373779"/>
    <w:rsid w:val="0037405A"/>
    <w:rsid w:val="00376082"/>
    <w:rsid w:val="00377285"/>
    <w:rsid w:val="003801E3"/>
    <w:rsid w:val="003838DD"/>
    <w:rsid w:val="00383F76"/>
    <w:rsid w:val="003846A8"/>
    <w:rsid w:val="0038577D"/>
    <w:rsid w:val="00391C70"/>
    <w:rsid w:val="00392752"/>
    <w:rsid w:val="00393A74"/>
    <w:rsid w:val="00395A16"/>
    <w:rsid w:val="00396DB5"/>
    <w:rsid w:val="003A0DF4"/>
    <w:rsid w:val="003A17E8"/>
    <w:rsid w:val="003A1814"/>
    <w:rsid w:val="003A2D03"/>
    <w:rsid w:val="003A3D9C"/>
    <w:rsid w:val="003B38D8"/>
    <w:rsid w:val="003B4950"/>
    <w:rsid w:val="003C05ED"/>
    <w:rsid w:val="003D1F70"/>
    <w:rsid w:val="003D233F"/>
    <w:rsid w:val="003D2CD7"/>
    <w:rsid w:val="003D2E6B"/>
    <w:rsid w:val="003D3D78"/>
    <w:rsid w:val="003D4358"/>
    <w:rsid w:val="003D61B0"/>
    <w:rsid w:val="003E5679"/>
    <w:rsid w:val="003F0449"/>
    <w:rsid w:val="003F0B6A"/>
    <w:rsid w:val="003F1282"/>
    <w:rsid w:val="003F21C1"/>
    <w:rsid w:val="003F24A2"/>
    <w:rsid w:val="003F6AA9"/>
    <w:rsid w:val="0040018F"/>
    <w:rsid w:val="0040052B"/>
    <w:rsid w:val="004012C9"/>
    <w:rsid w:val="00402B30"/>
    <w:rsid w:val="004032D9"/>
    <w:rsid w:val="00403BBE"/>
    <w:rsid w:val="00404FA4"/>
    <w:rsid w:val="00411572"/>
    <w:rsid w:val="0041158A"/>
    <w:rsid w:val="00413FD1"/>
    <w:rsid w:val="00414B49"/>
    <w:rsid w:val="0042076C"/>
    <w:rsid w:val="00421FDF"/>
    <w:rsid w:val="0042414B"/>
    <w:rsid w:val="00424A9F"/>
    <w:rsid w:val="00435688"/>
    <w:rsid w:val="0043585B"/>
    <w:rsid w:val="00441296"/>
    <w:rsid w:val="00442DAD"/>
    <w:rsid w:val="00442E67"/>
    <w:rsid w:val="00447BF9"/>
    <w:rsid w:val="00447DBF"/>
    <w:rsid w:val="00452086"/>
    <w:rsid w:val="00453F20"/>
    <w:rsid w:val="00455189"/>
    <w:rsid w:val="00455658"/>
    <w:rsid w:val="00460996"/>
    <w:rsid w:val="00462DFA"/>
    <w:rsid w:val="00464E6E"/>
    <w:rsid w:val="004706B8"/>
    <w:rsid w:val="00471268"/>
    <w:rsid w:val="004820DA"/>
    <w:rsid w:val="00483FC1"/>
    <w:rsid w:val="0048409F"/>
    <w:rsid w:val="00485B54"/>
    <w:rsid w:val="004902B2"/>
    <w:rsid w:val="00491BA1"/>
    <w:rsid w:val="00496BB5"/>
    <w:rsid w:val="004A3230"/>
    <w:rsid w:val="004A3528"/>
    <w:rsid w:val="004A7C85"/>
    <w:rsid w:val="004B1825"/>
    <w:rsid w:val="004B3AF0"/>
    <w:rsid w:val="004B4622"/>
    <w:rsid w:val="004B4DF2"/>
    <w:rsid w:val="004C2A95"/>
    <w:rsid w:val="004D1106"/>
    <w:rsid w:val="004D447E"/>
    <w:rsid w:val="004D63D8"/>
    <w:rsid w:val="004D7771"/>
    <w:rsid w:val="004D78E0"/>
    <w:rsid w:val="004E0EBA"/>
    <w:rsid w:val="004F658F"/>
    <w:rsid w:val="004F6B49"/>
    <w:rsid w:val="004F7FAD"/>
    <w:rsid w:val="0050020E"/>
    <w:rsid w:val="00500B36"/>
    <w:rsid w:val="00502C7F"/>
    <w:rsid w:val="00504E91"/>
    <w:rsid w:val="00511C1D"/>
    <w:rsid w:val="00513F25"/>
    <w:rsid w:val="00514A82"/>
    <w:rsid w:val="00515700"/>
    <w:rsid w:val="00516816"/>
    <w:rsid w:val="00520083"/>
    <w:rsid w:val="005200B5"/>
    <w:rsid w:val="00520136"/>
    <w:rsid w:val="00520373"/>
    <w:rsid w:val="00521FDF"/>
    <w:rsid w:val="005224A7"/>
    <w:rsid w:val="005231A0"/>
    <w:rsid w:val="00526840"/>
    <w:rsid w:val="00527A73"/>
    <w:rsid w:val="005317AC"/>
    <w:rsid w:val="00531BD0"/>
    <w:rsid w:val="005325D3"/>
    <w:rsid w:val="0053313D"/>
    <w:rsid w:val="00535EA3"/>
    <w:rsid w:val="00542D46"/>
    <w:rsid w:val="00542E13"/>
    <w:rsid w:val="005469B7"/>
    <w:rsid w:val="00552878"/>
    <w:rsid w:val="00552CC8"/>
    <w:rsid w:val="0055546C"/>
    <w:rsid w:val="005576CC"/>
    <w:rsid w:val="005634F1"/>
    <w:rsid w:val="005665C6"/>
    <w:rsid w:val="00567313"/>
    <w:rsid w:val="00567674"/>
    <w:rsid w:val="00571052"/>
    <w:rsid w:val="00574C31"/>
    <w:rsid w:val="00576A7A"/>
    <w:rsid w:val="00580676"/>
    <w:rsid w:val="00582EBF"/>
    <w:rsid w:val="00583202"/>
    <w:rsid w:val="0058427A"/>
    <w:rsid w:val="00586B17"/>
    <w:rsid w:val="00595650"/>
    <w:rsid w:val="00595F7E"/>
    <w:rsid w:val="005A2011"/>
    <w:rsid w:val="005A29A9"/>
    <w:rsid w:val="005A4456"/>
    <w:rsid w:val="005A5E81"/>
    <w:rsid w:val="005B00F9"/>
    <w:rsid w:val="005B014A"/>
    <w:rsid w:val="005B4191"/>
    <w:rsid w:val="005B4500"/>
    <w:rsid w:val="005B67D6"/>
    <w:rsid w:val="005B68BE"/>
    <w:rsid w:val="005B790C"/>
    <w:rsid w:val="005C3655"/>
    <w:rsid w:val="005C672E"/>
    <w:rsid w:val="005C6C50"/>
    <w:rsid w:val="005D0818"/>
    <w:rsid w:val="005D0C1A"/>
    <w:rsid w:val="005D2ED3"/>
    <w:rsid w:val="005D4C4D"/>
    <w:rsid w:val="005D5800"/>
    <w:rsid w:val="005D6132"/>
    <w:rsid w:val="005E014A"/>
    <w:rsid w:val="005E07EA"/>
    <w:rsid w:val="005E0C49"/>
    <w:rsid w:val="005E6A23"/>
    <w:rsid w:val="005F23E9"/>
    <w:rsid w:val="005F5A28"/>
    <w:rsid w:val="00600F25"/>
    <w:rsid w:val="00602DD3"/>
    <w:rsid w:val="00603BE0"/>
    <w:rsid w:val="00607664"/>
    <w:rsid w:val="006132BA"/>
    <w:rsid w:val="006157AD"/>
    <w:rsid w:val="0062074D"/>
    <w:rsid w:val="0062493B"/>
    <w:rsid w:val="00633013"/>
    <w:rsid w:val="00635C4C"/>
    <w:rsid w:val="00635D17"/>
    <w:rsid w:val="006360D9"/>
    <w:rsid w:val="00636595"/>
    <w:rsid w:val="006369C2"/>
    <w:rsid w:val="0064020E"/>
    <w:rsid w:val="006411E8"/>
    <w:rsid w:val="00642AC4"/>
    <w:rsid w:val="006549A0"/>
    <w:rsid w:val="00661621"/>
    <w:rsid w:val="00663B96"/>
    <w:rsid w:val="0066754D"/>
    <w:rsid w:val="0067021E"/>
    <w:rsid w:val="006714F5"/>
    <w:rsid w:val="00672F33"/>
    <w:rsid w:val="00675353"/>
    <w:rsid w:val="006763F5"/>
    <w:rsid w:val="00677AFC"/>
    <w:rsid w:val="00677F35"/>
    <w:rsid w:val="006800DB"/>
    <w:rsid w:val="00680C56"/>
    <w:rsid w:val="00681D86"/>
    <w:rsid w:val="006822D1"/>
    <w:rsid w:val="00682785"/>
    <w:rsid w:val="00682A9C"/>
    <w:rsid w:val="00682E47"/>
    <w:rsid w:val="006860C3"/>
    <w:rsid w:val="0068651B"/>
    <w:rsid w:val="006877B3"/>
    <w:rsid w:val="0069000F"/>
    <w:rsid w:val="00690FA4"/>
    <w:rsid w:val="006916D5"/>
    <w:rsid w:val="00693044"/>
    <w:rsid w:val="00694D6E"/>
    <w:rsid w:val="006953E3"/>
    <w:rsid w:val="00697D84"/>
    <w:rsid w:val="006A12BE"/>
    <w:rsid w:val="006A1703"/>
    <w:rsid w:val="006A178E"/>
    <w:rsid w:val="006B05D5"/>
    <w:rsid w:val="006B2DB2"/>
    <w:rsid w:val="006B50F5"/>
    <w:rsid w:val="006C35C4"/>
    <w:rsid w:val="006D05B0"/>
    <w:rsid w:val="006D2D3D"/>
    <w:rsid w:val="006D4A62"/>
    <w:rsid w:val="006D7411"/>
    <w:rsid w:val="006E0BCB"/>
    <w:rsid w:val="006E0C2B"/>
    <w:rsid w:val="006E1F2F"/>
    <w:rsid w:val="006E5E26"/>
    <w:rsid w:val="006F09FA"/>
    <w:rsid w:val="006F3EE5"/>
    <w:rsid w:val="006F464F"/>
    <w:rsid w:val="006F4BA1"/>
    <w:rsid w:val="006F6528"/>
    <w:rsid w:val="006F7685"/>
    <w:rsid w:val="00700AA9"/>
    <w:rsid w:val="00701F4C"/>
    <w:rsid w:val="00702033"/>
    <w:rsid w:val="00702D2F"/>
    <w:rsid w:val="0070740C"/>
    <w:rsid w:val="007162A0"/>
    <w:rsid w:val="00717060"/>
    <w:rsid w:val="00721144"/>
    <w:rsid w:val="00721E1B"/>
    <w:rsid w:val="00725AC3"/>
    <w:rsid w:val="00730EEE"/>
    <w:rsid w:val="00731AB3"/>
    <w:rsid w:val="00732FE7"/>
    <w:rsid w:val="00734104"/>
    <w:rsid w:val="00736B04"/>
    <w:rsid w:val="007443B8"/>
    <w:rsid w:val="007458D9"/>
    <w:rsid w:val="00754C7B"/>
    <w:rsid w:val="00760CF7"/>
    <w:rsid w:val="00763471"/>
    <w:rsid w:val="0076363B"/>
    <w:rsid w:val="00763B34"/>
    <w:rsid w:val="00764B3F"/>
    <w:rsid w:val="00770F4D"/>
    <w:rsid w:val="00772313"/>
    <w:rsid w:val="00780915"/>
    <w:rsid w:val="007810AF"/>
    <w:rsid w:val="007819B6"/>
    <w:rsid w:val="007827B2"/>
    <w:rsid w:val="0078304F"/>
    <w:rsid w:val="00785EF3"/>
    <w:rsid w:val="00785F39"/>
    <w:rsid w:val="007877E9"/>
    <w:rsid w:val="0079684F"/>
    <w:rsid w:val="007A04D8"/>
    <w:rsid w:val="007B114E"/>
    <w:rsid w:val="007B3D90"/>
    <w:rsid w:val="007B5A5F"/>
    <w:rsid w:val="007C3406"/>
    <w:rsid w:val="007C6FB7"/>
    <w:rsid w:val="007C70A7"/>
    <w:rsid w:val="007D07FE"/>
    <w:rsid w:val="007D0C2D"/>
    <w:rsid w:val="007D1D0F"/>
    <w:rsid w:val="007D41B5"/>
    <w:rsid w:val="007D4B0D"/>
    <w:rsid w:val="007E2AD9"/>
    <w:rsid w:val="007E62F7"/>
    <w:rsid w:val="007F11C8"/>
    <w:rsid w:val="007F14CD"/>
    <w:rsid w:val="007F38A8"/>
    <w:rsid w:val="007F56CC"/>
    <w:rsid w:val="007F5F5B"/>
    <w:rsid w:val="007F696A"/>
    <w:rsid w:val="0080035F"/>
    <w:rsid w:val="00806492"/>
    <w:rsid w:val="008102F8"/>
    <w:rsid w:val="00813084"/>
    <w:rsid w:val="0081683B"/>
    <w:rsid w:val="008168BA"/>
    <w:rsid w:val="00816937"/>
    <w:rsid w:val="00820465"/>
    <w:rsid w:val="00823AB3"/>
    <w:rsid w:val="0082554F"/>
    <w:rsid w:val="008261F8"/>
    <w:rsid w:val="00833AFE"/>
    <w:rsid w:val="008342CF"/>
    <w:rsid w:val="008354F5"/>
    <w:rsid w:val="008364BB"/>
    <w:rsid w:val="008377BB"/>
    <w:rsid w:val="00841DE1"/>
    <w:rsid w:val="00843BEC"/>
    <w:rsid w:val="0084591E"/>
    <w:rsid w:val="00851D7C"/>
    <w:rsid w:val="00852A45"/>
    <w:rsid w:val="00853AC9"/>
    <w:rsid w:val="0085425B"/>
    <w:rsid w:val="008547F3"/>
    <w:rsid w:val="00855BCC"/>
    <w:rsid w:val="00861B29"/>
    <w:rsid w:val="00862A6B"/>
    <w:rsid w:val="00870AE9"/>
    <w:rsid w:val="00875B42"/>
    <w:rsid w:val="00876AAF"/>
    <w:rsid w:val="008802E8"/>
    <w:rsid w:val="00883787"/>
    <w:rsid w:val="0088482E"/>
    <w:rsid w:val="00884D08"/>
    <w:rsid w:val="0088788C"/>
    <w:rsid w:val="00890D6B"/>
    <w:rsid w:val="00891CFA"/>
    <w:rsid w:val="00891D74"/>
    <w:rsid w:val="00893B58"/>
    <w:rsid w:val="008945DD"/>
    <w:rsid w:val="008A0C6D"/>
    <w:rsid w:val="008A2BE8"/>
    <w:rsid w:val="008A3C50"/>
    <w:rsid w:val="008A51A7"/>
    <w:rsid w:val="008A589D"/>
    <w:rsid w:val="008A6BF5"/>
    <w:rsid w:val="008B14A3"/>
    <w:rsid w:val="008B1A70"/>
    <w:rsid w:val="008B1FCC"/>
    <w:rsid w:val="008B5B6D"/>
    <w:rsid w:val="008B6F9D"/>
    <w:rsid w:val="008C0AE4"/>
    <w:rsid w:val="008C17BF"/>
    <w:rsid w:val="008C2857"/>
    <w:rsid w:val="008C3284"/>
    <w:rsid w:val="008C439F"/>
    <w:rsid w:val="008C71AF"/>
    <w:rsid w:val="008D5D86"/>
    <w:rsid w:val="008E3822"/>
    <w:rsid w:val="00900A50"/>
    <w:rsid w:val="00901762"/>
    <w:rsid w:val="009019E7"/>
    <w:rsid w:val="0090436B"/>
    <w:rsid w:val="00904525"/>
    <w:rsid w:val="0090741D"/>
    <w:rsid w:val="00910AAE"/>
    <w:rsid w:val="009120A7"/>
    <w:rsid w:val="0091279B"/>
    <w:rsid w:val="00912E1A"/>
    <w:rsid w:val="00914E8A"/>
    <w:rsid w:val="00922CC2"/>
    <w:rsid w:val="00923BF1"/>
    <w:rsid w:val="0092495F"/>
    <w:rsid w:val="00924C0E"/>
    <w:rsid w:val="00926AB6"/>
    <w:rsid w:val="00927443"/>
    <w:rsid w:val="009347F3"/>
    <w:rsid w:val="00936AC8"/>
    <w:rsid w:val="00941F20"/>
    <w:rsid w:val="00942563"/>
    <w:rsid w:val="00942C24"/>
    <w:rsid w:val="009519AC"/>
    <w:rsid w:val="00955729"/>
    <w:rsid w:val="00957A11"/>
    <w:rsid w:val="00961BE5"/>
    <w:rsid w:val="00963482"/>
    <w:rsid w:val="009663ED"/>
    <w:rsid w:val="00967AF8"/>
    <w:rsid w:val="00980267"/>
    <w:rsid w:val="00980B80"/>
    <w:rsid w:val="00983F33"/>
    <w:rsid w:val="009863C0"/>
    <w:rsid w:val="009869E3"/>
    <w:rsid w:val="009903F4"/>
    <w:rsid w:val="00992966"/>
    <w:rsid w:val="00995BC1"/>
    <w:rsid w:val="009A05F3"/>
    <w:rsid w:val="009A6139"/>
    <w:rsid w:val="009A642E"/>
    <w:rsid w:val="009A6996"/>
    <w:rsid w:val="009B2FA0"/>
    <w:rsid w:val="009B3843"/>
    <w:rsid w:val="009B402D"/>
    <w:rsid w:val="009B78AF"/>
    <w:rsid w:val="009B7EE0"/>
    <w:rsid w:val="009C2159"/>
    <w:rsid w:val="009C586E"/>
    <w:rsid w:val="009C6407"/>
    <w:rsid w:val="009C798F"/>
    <w:rsid w:val="009D0D2A"/>
    <w:rsid w:val="009D26AA"/>
    <w:rsid w:val="009D2850"/>
    <w:rsid w:val="009D5E61"/>
    <w:rsid w:val="009D7934"/>
    <w:rsid w:val="009E0CF4"/>
    <w:rsid w:val="009E1975"/>
    <w:rsid w:val="009E42BB"/>
    <w:rsid w:val="009E509B"/>
    <w:rsid w:val="009E7C48"/>
    <w:rsid w:val="009E7DC3"/>
    <w:rsid w:val="009E7FA9"/>
    <w:rsid w:val="009F081E"/>
    <w:rsid w:val="009F14BA"/>
    <w:rsid w:val="009F1985"/>
    <w:rsid w:val="009F2AF7"/>
    <w:rsid w:val="009F57B4"/>
    <w:rsid w:val="009F5C35"/>
    <w:rsid w:val="009F7C09"/>
    <w:rsid w:val="00A01F75"/>
    <w:rsid w:val="00A020D9"/>
    <w:rsid w:val="00A02EEE"/>
    <w:rsid w:val="00A03447"/>
    <w:rsid w:val="00A03F77"/>
    <w:rsid w:val="00A05C11"/>
    <w:rsid w:val="00A116EA"/>
    <w:rsid w:val="00A20B30"/>
    <w:rsid w:val="00A220FE"/>
    <w:rsid w:val="00A2342B"/>
    <w:rsid w:val="00A234D0"/>
    <w:rsid w:val="00A265AF"/>
    <w:rsid w:val="00A2707A"/>
    <w:rsid w:val="00A3171F"/>
    <w:rsid w:val="00A31E22"/>
    <w:rsid w:val="00A36E26"/>
    <w:rsid w:val="00A372B1"/>
    <w:rsid w:val="00A43328"/>
    <w:rsid w:val="00A4401B"/>
    <w:rsid w:val="00A458F3"/>
    <w:rsid w:val="00A464C3"/>
    <w:rsid w:val="00A478EF"/>
    <w:rsid w:val="00A50440"/>
    <w:rsid w:val="00A50856"/>
    <w:rsid w:val="00A50B75"/>
    <w:rsid w:val="00A61F15"/>
    <w:rsid w:val="00A64C48"/>
    <w:rsid w:val="00A64E48"/>
    <w:rsid w:val="00A65108"/>
    <w:rsid w:val="00A70038"/>
    <w:rsid w:val="00A72172"/>
    <w:rsid w:val="00A74428"/>
    <w:rsid w:val="00A754AF"/>
    <w:rsid w:val="00A75B23"/>
    <w:rsid w:val="00A764A5"/>
    <w:rsid w:val="00A76D5A"/>
    <w:rsid w:val="00A77592"/>
    <w:rsid w:val="00A77665"/>
    <w:rsid w:val="00A84EBE"/>
    <w:rsid w:val="00A85B42"/>
    <w:rsid w:val="00A85F5E"/>
    <w:rsid w:val="00A86F7A"/>
    <w:rsid w:val="00A8753D"/>
    <w:rsid w:val="00A90734"/>
    <w:rsid w:val="00A930D3"/>
    <w:rsid w:val="00A93A97"/>
    <w:rsid w:val="00A95EC7"/>
    <w:rsid w:val="00A97358"/>
    <w:rsid w:val="00AA094A"/>
    <w:rsid w:val="00AA0AB1"/>
    <w:rsid w:val="00AA4246"/>
    <w:rsid w:val="00AA5921"/>
    <w:rsid w:val="00AA5F38"/>
    <w:rsid w:val="00AA6DF8"/>
    <w:rsid w:val="00AB0C07"/>
    <w:rsid w:val="00AB405E"/>
    <w:rsid w:val="00AB61BA"/>
    <w:rsid w:val="00AC19C6"/>
    <w:rsid w:val="00AC2F2D"/>
    <w:rsid w:val="00AC33B3"/>
    <w:rsid w:val="00AC46C5"/>
    <w:rsid w:val="00AD5358"/>
    <w:rsid w:val="00AE1549"/>
    <w:rsid w:val="00AF0288"/>
    <w:rsid w:val="00AF136F"/>
    <w:rsid w:val="00AF1495"/>
    <w:rsid w:val="00AF6376"/>
    <w:rsid w:val="00AF644D"/>
    <w:rsid w:val="00AF7642"/>
    <w:rsid w:val="00B005F3"/>
    <w:rsid w:val="00B00B0B"/>
    <w:rsid w:val="00B0241F"/>
    <w:rsid w:val="00B076A1"/>
    <w:rsid w:val="00B11346"/>
    <w:rsid w:val="00B11A2B"/>
    <w:rsid w:val="00B15DF8"/>
    <w:rsid w:val="00B17281"/>
    <w:rsid w:val="00B172F3"/>
    <w:rsid w:val="00B17960"/>
    <w:rsid w:val="00B2235A"/>
    <w:rsid w:val="00B22524"/>
    <w:rsid w:val="00B30C78"/>
    <w:rsid w:val="00B3425A"/>
    <w:rsid w:val="00B35C83"/>
    <w:rsid w:val="00B4150F"/>
    <w:rsid w:val="00B41D38"/>
    <w:rsid w:val="00B421BC"/>
    <w:rsid w:val="00B4368D"/>
    <w:rsid w:val="00B44BA8"/>
    <w:rsid w:val="00B469FD"/>
    <w:rsid w:val="00B50872"/>
    <w:rsid w:val="00B55F44"/>
    <w:rsid w:val="00B56772"/>
    <w:rsid w:val="00B57315"/>
    <w:rsid w:val="00B62205"/>
    <w:rsid w:val="00B633DE"/>
    <w:rsid w:val="00B63B14"/>
    <w:rsid w:val="00B661E9"/>
    <w:rsid w:val="00B66A00"/>
    <w:rsid w:val="00B718DD"/>
    <w:rsid w:val="00B737A9"/>
    <w:rsid w:val="00B77CB1"/>
    <w:rsid w:val="00B809F5"/>
    <w:rsid w:val="00B80FA8"/>
    <w:rsid w:val="00B838FC"/>
    <w:rsid w:val="00B83BEC"/>
    <w:rsid w:val="00B867AF"/>
    <w:rsid w:val="00B91C96"/>
    <w:rsid w:val="00B925FD"/>
    <w:rsid w:val="00B97D3A"/>
    <w:rsid w:val="00BA11AA"/>
    <w:rsid w:val="00BA1420"/>
    <w:rsid w:val="00BA1BFA"/>
    <w:rsid w:val="00BA429D"/>
    <w:rsid w:val="00BA605E"/>
    <w:rsid w:val="00BB0DE1"/>
    <w:rsid w:val="00BB3E0A"/>
    <w:rsid w:val="00BB5286"/>
    <w:rsid w:val="00BB7103"/>
    <w:rsid w:val="00BC14FB"/>
    <w:rsid w:val="00BC3433"/>
    <w:rsid w:val="00BC4110"/>
    <w:rsid w:val="00BC51BE"/>
    <w:rsid w:val="00BD2537"/>
    <w:rsid w:val="00BE02F4"/>
    <w:rsid w:val="00BE206D"/>
    <w:rsid w:val="00BE2EED"/>
    <w:rsid w:val="00BE3E47"/>
    <w:rsid w:val="00BF007D"/>
    <w:rsid w:val="00BF1FE5"/>
    <w:rsid w:val="00BF253D"/>
    <w:rsid w:val="00BF3E52"/>
    <w:rsid w:val="00BF727D"/>
    <w:rsid w:val="00C017C4"/>
    <w:rsid w:val="00C03120"/>
    <w:rsid w:val="00C049ED"/>
    <w:rsid w:val="00C1271D"/>
    <w:rsid w:val="00C15983"/>
    <w:rsid w:val="00C15FEC"/>
    <w:rsid w:val="00C161CF"/>
    <w:rsid w:val="00C16F5B"/>
    <w:rsid w:val="00C20BE1"/>
    <w:rsid w:val="00C21120"/>
    <w:rsid w:val="00C23B4F"/>
    <w:rsid w:val="00C2529E"/>
    <w:rsid w:val="00C330CA"/>
    <w:rsid w:val="00C33BD3"/>
    <w:rsid w:val="00C34AED"/>
    <w:rsid w:val="00C374B1"/>
    <w:rsid w:val="00C42045"/>
    <w:rsid w:val="00C4390B"/>
    <w:rsid w:val="00C44F2D"/>
    <w:rsid w:val="00C47BE8"/>
    <w:rsid w:val="00C50B31"/>
    <w:rsid w:val="00C50C5F"/>
    <w:rsid w:val="00C52A47"/>
    <w:rsid w:val="00C559A0"/>
    <w:rsid w:val="00C56401"/>
    <w:rsid w:val="00C61369"/>
    <w:rsid w:val="00C624C7"/>
    <w:rsid w:val="00C629C1"/>
    <w:rsid w:val="00C63402"/>
    <w:rsid w:val="00C63B51"/>
    <w:rsid w:val="00C65CF6"/>
    <w:rsid w:val="00C67280"/>
    <w:rsid w:val="00C73139"/>
    <w:rsid w:val="00C733F7"/>
    <w:rsid w:val="00C8194E"/>
    <w:rsid w:val="00C81959"/>
    <w:rsid w:val="00C82498"/>
    <w:rsid w:val="00C82F1A"/>
    <w:rsid w:val="00C87480"/>
    <w:rsid w:val="00C90565"/>
    <w:rsid w:val="00C91BFB"/>
    <w:rsid w:val="00C91CA7"/>
    <w:rsid w:val="00C926E5"/>
    <w:rsid w:val="00C956C7"/>
    <w:rsid w:val="00C9598B"/>
    <w:rsid w:val="00C9598C"/>
    <w:rsid w:val="00C97E1C"/>
    <w:rsid w:val="00CA2A3A"/>
    <w:rsid w:val="00CB1D60"/>
    <w:rsid w:val="00CB2FB4"/>
    <w:rsid w:val="00CB550A"/>
    <w:rsid w:val="00CB75E1"/>
    <w:rsid w:val="00CC3439"/>
    <w:rsid w:val="00CC3BC9"/>
    <w:rsid w:val="00CC4255"/>
    <w:rsid w:val="00CD0BF2"/>
    <w:rsid w:val="00CD1F02"/>
    <w:rsid w:val="00CD203D"/>
    <w:rsid w:val="00CD20F4"/>
    <w:rsid w:val="00CD64DC"/>
    <w:rsid w:val="00CE0350"/>
    <w:rsid w:val="00CE0372"/>
    <w:rsid w:val="00CE4E94"/>
    <w:rsid w:val="00CE528F"/>
    <w:rsid w:val="00CE5768"/>
    <w:rsid w:val="00CF6320"/>
    <w:rsid w:val="00D0396D"/>
    <w:rsid w:val="00D04C6E"/>
    <w:rsid w:val="00D052ED"/>
    <w:rsid w:val="00D128A7"/>
    <w:rsid w:val="00D2466F"/>
    <w:rsid w:val="00D307E3"/>
    <w:rsid w:val="00D34EA5"/>
    <w:rsid w:val="00D34EB2"/>
    <w:rsid w:val="00D36387"/>
    <w:rsid w:val="00D427D3"/>
    <w:rsid w:val="00D429C9"/>
    <w:rsid w:val="00D43601"/>
    <w:rsid w:val="00D43696"/>
    <w:rsid w:val="00D4499D"/>
    <w:rsid w:val="00D46EF9"/>
    <w:rsid w:val="00D50DB7"/>
    <w:rsid w:val="00D52FB6"/>
    <w:rsid w:val="00D53E40"/>
    <w:rsid w:val="00D55773"/>
    <w:rsid w:val="00D55BA6"/>
    <w:rsid w:val="00D5621C"/>
    <w:rsid w:val="00D61E3F"/>
    <w:rsid w:val="00D62D3E"/>
    <w:rsid w:val="00D66267"/>
    <w:rsid w:val="00D66B4A"/>
    <w:rsid w:val="00D708DF"/>
    <w:rsid w:val="00D70C85"/>
    <w:rsid w:val="00D71393"/>
    <w:rsid w:val="00D7491F"/>
    <w:rsid w:val="00D8087C"/>
    <w:rsid w:val="00D82850"/>
    <w:rsid w:val="00D82EF5"/>
    <w:rsid w:val="00D840B6"/>
    <w:rsid w:val="00D901F6"/>
    <w:rsid w:val="00D9022D"/>
    <w:rsid w:val="00D93078"/>
    <w:rsid w:val="00DA14DF"/>
    <w:rsid w:val="00DA1506"/>
    <w:rsid w:val="00DA4A59"/>
    <w:rsid w:val="00DB291C"/>
    <w:rsid w:val="00DB5A1D"/>
    <w:rsid w:val="00DB5BB5"/>
    <w:rsid w:val="00DB72FA"/>
    <w:rsid w:val="00DC3F7F"/>
    <w:rsid w:val="00DC75FA"/>
    <w:rsid w:val="00DD42C3"/>
    <w:rsid w:val="00DD5730"/>
    <w:rsid w:val="00DE170D"/>
    <w:rsid w:val="00DE2267"/>
    <w:rsid w:val="00DE4189"/>
    <w:rsid w:val="00DE42A7"/>
    <w:rsid w:val="00DE6B8C"/>
    <w:rsid w:val="00DE77A8"/>
    <w:rsid w:val="00DE7EFC"/>
    <w:rsid w:val="00DF3EEC"/>
    <w:rsid w:val="00DF49CE"/>
    <w:rsid w:val="00DF6F98"/>
    <w:rsid w:val="00E02A7B"/>
    <w:rsid w:val="00E0373F"/>
    <w:rsid w:val="00E04CAE"/>
    <w:rsid w:val="00E0658E"/>
    <w:rsid w:val="00E17D18"/>
    <w:rsid w:val="00E20098"/>
    <w:rsid w:val="00E2076E"/>
    <w:rsid w:val="00E20981"/>
    <w:rsid w:val="00E211A0"/>
    <w:rsid w:val="00E2234E"/>
    <w:rsid w:val="00E22EDC"/>
    <w:rsid w:val="00E23650"/>
    <w:rsid w:val="00E239AE"/>
    <w:rsid w:val="00E257C0"/>
    <w:rsid w:val="00E30A0D"/>
    <w:rsid w:val="00E34085"/>
    <w:rsid w:val="00E3479D"/>
    <w:rsid w:val="00E34956"/>
    <w:rsid w:val="00E35C30"/>
    <w:rsid w:val="00E41909"/>
    <w:rsid w:val="00E43052"/>
    <w:rsid w:val="00E437F0"/>
    <w:rsid w:val="00E44FB5"/>
    <w:rsid w:val="00E46DA3"/>
    <w:rsid w:val="00E473D5"/>
    <w:rsid w:val="00E50B46"/>
    <w:rsid w:val="00E51765"/>
    <w:rsid w:val="00E52A34"/>
    <w:rsid w:val="00E53AAC"/>
    <w:rsid w:val="00E53EDC"/>
    <w:rsid w:val="00E56114"/>
    <w:rsid w:val="00E60415"/>
    <w:rsid w:val="00E670A9"/>
    <w:rsid w:val="00E6756A"/>
    <w:rsid w:val="00E67C31"/>
    <w:rsid w:val="00E75743"/>
    <w:rsid w:val="00E75E4B"/>
    <w:rsid w:val="00E77056"/>
    <w:rsid w:val="00E801C6"/>
    <w:rsid w:val="00E81605"/>
    <w:rsid w:val="00E86823"/>
    <w:rsid w:val="00E91E5C"/>
    <w:rsid w:val="00E9552F"/>
    <w:rsid w:val="00E964A1"/>
    <w:rsid w:val="00EA2E68"/>
    <w:rsid w:val="00EA408D"/>
    <w:rsid w:val="00EA4B6E"/>
    <w:rsid w:val="00EA4D30"/>
    <w:rsid w:val="00EB0E63"/>
    <w:rsid w:val="00EB0EAB"/>
    <w:rsid w:val="00EB5323"/>
    <w:rsid w:val="00EB79D4"/>
    <w:rsid w:val="00EC1178"/>
    <w:rsid w:val="00EC4851"/>
    <w:rsid w:val="00EC5F1A"/>
    <w:rsid w:val="00ED3A41"/>
    <w:rsid w:val="00ED3E00"/>
    <w:rsid w:val="00ED3FFA"/>
    <w:rsid w:val="00ED45A5"/>
    <w:rsid w:val="00ED7AEA"/>
    <w:rsid w:val="00EE08E7"/>
    <w:rsid w:val="00EE0BD2"/>
    <w:rsid w:val="00EE3AF5"/>
    <w:rsid w:val="00EE5128"/>
    <w:rsid w:val="00EE5401"/>
    <w:rsid w:val="00EE61A7"/>
    <w:rsid w:val="00EE6DE0"/>
    <w:rsid w:val="00EE700C"/>
    <w:rsid w:val="00EF17F6"/>
    <w:rsid w:val="00EF19E4"/>
    <w:rsid w:val="00EF3ABD"/>
    <w:rsid w:val="00EF3ED6"/>
    <w:rsid w:val="00EF4F4A"/>
    <w:rsid w:val="00EF6162"/>
    <w:rsid w:val="00F0705F"/>
    <w:rsid w:val="00F10258"/>
    <w:rsid w:val="00F10564"/>
    <w:rsid w:val="00F141BB"/>
    <w:rsid w:val="00F1735A"/>
    <w:rsid w:val="00F20D4E"/>
    <w:rsid w:val="00F21C69"/>
    <w:rsid w:val="00F26A56"/>
    <w:rsid w:val="00F32A73"/>
    <w:rsid w:val="00F32B0A"/>
    <w:rsid w:val="00F34436"/>
    <w:rsid w:val="00F34696"/>
    <w:rsid w:val="00F36497"/>
    <w:rsid w:val="00F42B13"/>
    <w:rsid w:val="00F43EAE"/>
    <w:rsid w:val="00F46970"/>
    <w:rsid w:val="00F477DC"/>
    <w:rsid w:val="00F47996"/>
    <w:rsid w:val="00F5069F"/>
    <w:rsid w:val="00F51882"/>
    <w:rsid w:val="00F51DAE"/>
    <w:rsid w:val="00F53928"/>
    <w:rsid w:val="00F5593C"/>
    <w:rsid w:val="00F575A2"/>
    <w:rsid w:val="00F577DD"/>
    <w:rsid w:val="00F57C60"/>
    <w:rsid w:val="00F60358"/>
    <w:rsid w:val="00F621EE"/>
    <w:rsid w:val="00F633E5"/>
    <w:rsid w:val="00F63D5B"/>
    <w:rsid w:val="00F70DBF"/>
    <w:rsid w:val="00F73BA3"/>
    <w:rsid w:val="00F75BB6"/>
    <w:rsid w:val="00F76390"/>
    <w:rsid w:val="00F771FB"/>
    <w:rsid w:val="00F7756D"/>
    <w:rsid w:val="00F833B1"/>
    <w:rsid w:val="00F92026"/>
    <w:rsid w:val="00F921D8"/>
    <w:rsid w:val="00F923A4"/>
    <w:rsid w:val="00F92A99"/>
    <w:rsid w:val="00F942F3"/>
    <w:rsid w:val="00F96CAB"/>
    <w:rsid w:val="00FA0762"/>
    <w:rsid w:val="00FA1CDE"/>
    <w:rsid w:val="00FA1D8A"/>
    <w:rsid w:val="00FA40E0"/>
    <w:rsid w:val="00FA4538"/>
    <w:rsid w:val="00FB00C2"/>
    <w:rsid w:val="00FB0AD3"/>
    <w:rsid w:val="00FB0ED3"/>
    <w:rsid w:val="00FB0F5A"/>
    <w:rsid w:val="00FB3731"/>
    <w:rsid w:val="00FB4865"/>
    <w:rsid w:val="00FB605A"/>
    <w:rsid w:val="00FB7015"/>
    <w:rsid w:val="00FC2735"/>
    <w:rsid w:val="00FD06D2"/>
    <w:rsid w:val="00FD64D3"/>
    <w:rsid w:val="00FE115F"/>
    <w:rsid w:val="00FE2155"/>
    <w:rsid w:val="00FE2B2A"/>
    <w:rsid w:val="00FF1E9E"/>
    <w:rsid w:val="00FF216F"/>
    <w:rsid w:val="00FF6CE9"/>
    <w:rsid w:val="00FF7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4FBAB"/>
  <w15:chartTrackingRefBased/>
  <w15:docId w15:val="{B02FD96F-11EB-F043-83A9-B311B75A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40B4"/>
    <w:pPr>
      <w:spacing w:after="0" w:line="360" w:lineRule="auto"/>
    </w:pPr>
    <w:rPr>
      <w:rFonts w:ascii="Arial" w:eastAsia="Times New Roman" w:hAnsi="Arial" w:cs="Arial"/>
      <w:color w:val="000000"/>
      <w:sz w:val="24"/>
      <w:szCs w:val="24"/>
      <w:lang w:val="en-GB" w:eastAsia="de-DE"/>
    </w:rPr>
  </w:style>
  <w:style w:type="paragraph" w:styleId="berschrift1">
    <w:name w:val="heading 1"/>
    <w:basedOn w:val="Standard"/>
    <w:next w:val="Standard"/>
    <w:link w:val="berschrift1Zchn"/>
    <w:uiPriority w:val="9"/>
    <w:qFormat/>
    <w:rsid w:val="001E40B4"/>
    <w:pPr>
      <w:keepNext/>
      <w:keepLines/>
      <w:numPr>
        <w:numId w:val="25"/>
      </w:numPr>
      <w:spacing w:before="360" w:after="120"/>
      <w:outlineLvl w:val="0"/>
    </w:pPr>
    <w:rPr>
      <w:rFonts w:eastAsiaTheme="majorEastAsia"/>
      <w:color w:val="151E1F"/>
      <w:sz w:val="28"/>
      <w:szCs w:val="28"/>
      <w:lang w:eastAsia="en-US"/>
    </w:rPr>
  </w:style>
  <w:style w:type="paragraph" w:styleId="berschrift2">
    <w:name w:val="heading 2"/>
    <w:basedOn w:val="berschrift1"/>
    <w:next w:val="Standard"/>
    <w:link w:val="berschrift2Zchn"/>
    <w:uiPriority w:val="9"/>
    <w:unhideWhenUsed/>
    <w:qFormat/>
    <w:rsid w:val="00E75743"/>
    <w:pPr>
      <w:numPr>
        <w:numId w:val="82"/>
      </w:numPr>
      <w:adjustRightInd w:val="0"/>
      <w:spacing w:before="240"/>
      <w:outlineLvl w:val="1"/>
    </w:pPr>
    <w:rPr>
      <w:b/>
      <w:bCs/>
      <w:sz w:val="24"/>
      <w:szCs w:val="24"/>
      <w:shd w:val="clear" w:color="auto" w:fill="FFFFFF"/>
    </w:rPr>
  </w:style>
  <w:style w:type="paragraph" w:styleId="berschrift3">
    <w:name w:val="heading 3"/>
    <w:basedOn w:val="berschrift2"/>
    <w:next w:val="Standard"/>
    <w:link w:val="berschrift3Zchn"/>
    <w:uiPriority w:val="9"/>
    <w:unhideWhenUsed/>
    <w:qFormat/>
    <w:rsid w:val="00330FF8"/>
    <w:pPr>
      <w:numPr>
        <w:numId w:val="0"/>
      </w:numPr>
      <w:spacing w:before="120"/>
      <w:outlineLvl w:val="2"/>
    </w:pPr>
    <w:rPr>
      <w:i/>
      <w:iCs/>
    </w:rPr>
  </w:style>
  <w:style w:type="paragraph" w:styleId="berschrift4">
    <w:name w:val="heading 4"/>
    <w:basedOn w:val="Standard"/>
    <w:next w:val="Standard"/>
    <w:link w:val="berschrift4Zchn"/>
    <w:uiPriority w:val="9"/>
    <w:semiHidden/>
    <w:unhideWhenUsed/>
    <w:rsid w:val="00090A7D"/>
    <w:pPr>
      <w:keepNext/>
      <w:keepLines/>
      <w:spacing w:before="40"/>
      <w:outlineLvl w:val="3"/>
    </w:pPr>
    <w:rPr>
      <w:rFonts w:asciiTheme="majorHAnsi" w:eastAsiaTheme="majorEastAsia" w:hAnsiTheme="majorHAnsi" w:cstheme="majorBidi"/>
      <w:i/>
      <w:iCs/>
      <w:color w:val="5E2F7D" w:themeColor="accent1" w:themeShade="BF"/>
    </w:rPr>
  </w:style>
  <w:style w:type="paragraph" w:styleId="berschrift6">
    <w:name w:val="heading 6"/>
    <w:basedOn w:val="Standard"/>
    <w:link w:val="berschrift6Zchn"/>
    <w:uiPriority w:val="9"/>
    <w:rsid w:val="00AA5921"/>
    <w:pPr>
      <w:spacing w:before="100" w:beforeAutospacing="1" w:after="100" w:afterAutospacing="1"/>
      <w:outlineLvl w:val="5"/>
    </w:pPr>
    <w:rPr>
      <w:b/>
      <w:bCs/>
      <w:sz w:val="15"/>
      <w:szCs w:val="15"/>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6Zchn">
    <w:name w:val="Überschrift 6 Zchn"/>
    <w:basedOn w:val="Absatz-Standardschriftart"/>
    <w:link w:val="berschrift6"/>
    <w:uiPriority w:val="9"/>
    <w:rsid w:val="00AA5921"/>
    <w:rPr>
      <w:rFonts w:ascii="Times New Roman" w:eastAsia="Times New Roman" w:hAnsi="Times New Roman" w:cs="Times New Roman"/>
      <w:b/>
      <w:bCs/>
      <w:sz w:val="15"/>
      <w:szCs w:val="15"/>
    </w:rPr>
  </w:style>
  <w:style w:type="character" w:styleId="Hyperlink">
    <w:name w:val="Hyperlink"/>
    <w:basedOn w:val="Absatz-Standardschriftart"/>
    <w:uiPriority w:val="99"/>
    <w:unhideWhenUsed/>
    <w:rsid w:val="00AA5921"/>
    <w:rPr>
      <w:color w:val="0A75C4" w:themeColor="hyperlink"/>
      <w:u w:val="single"/>
    </w:rPr>
  </w:style>
  <w:style w:type="paragraph" w:styleId="NurText">
    <w:name w:val="Plain Text"/>
    <w:basedOn w:val="Standard"/>
    <w:link w:val="NurTextZchn"/>
    <w:uiPriority w:val="99"/>
    <w:unhideWhenUsed/>
    <w:rsid w:val="00AA5921"/>
    <w:rPr>
      <w:rFonts w:ascii="Calibri" w:hAnsi="Calibri"/>
      <w:szCs w:val="21"/>
    </w:rPr>
  </w:style>
  <w:style w:type="character" w:customStyle="1" w:styleId="NurTextZchn">
    <w:name w:val="Nur Text Zchn"/>
    <w:basedOn w:val="Absatz-Standardschriftart"/>
    <w:link w:val="NurText"/>
    <w:uiPriority w:val="99"/>
    <w:rsid w:val="00AA5921"/>
    <w:rPr>
      <w:rFonts w:ascii="Calibri" w:hAnsi="Calibri"/>
      <w:szCs w:val="21"/>
    </w:rPr>
  </w:style>
  <w:style w:type="character" w:styleId="Fett">
    <w:name w:val="Strong"/>
    <w:basedOn w:val="Absatz-Standardschriftart"/>
    <w:uiPriority w:val="22"/>
    <w:qFormat/>
    <w:rsid w:val="00AA5921"/>
    <w:rPr>
      <w:b/>
      <w:bCs/>
    </w:rPr>
  </w:style>
  <w:style w:type="paragraph" w:styleId="Kopfzeile">
    <w:name w:val="header"/>
    <w:basedOn w:val="Standard"/>
    <w:link w:val="KopfzeileZchn"/>
    <w:uiPriority w:val="99"/>
    <w:unhideWhenUsed/>
    <w:rsid w:val="00731AB3"/>
    <w:pPr>
      <w:tabs>
        <w:tab w:val="center" w:pos="4513"/>
        <w:tab w:val="right" w:pos="9026"/>
      </w:tabs>
    </w:pPr>
  </w:style>
  <w:style w:type="character" w:customStyle="1" w:styleId="KopfzeileZchn">
    <w:name w:val="Kopfzeile Zchn"/>
    <w:basedOn w:val="Absatz-Standardschriftart"/>
    <w:link w:val="Kopfzeile"/>
    <w:uiPriority w:val="99"/>
    <w:rsid w:val="00731AB3"/>
  </w:style>
  <w:style w:type="paragraph" w:styleId="Fuzeile">
    <w:name w:val="footer"/>
    <w:basedOn w:val="Standard"/>
    <w:link w:val="FuzeileZchn"/>
    <w:uiPriority w:val="99"/>
    <w:unhideWhenUsed/>
    <w:rsid w:val="00731AB3"/>
    <w:pPr>
      <w:tabs>
        <w:tab w:val="center" w:pos="4513"/>
        <w:tab w:val="right" w:pos="9026"/>
      </w:tabs>
    </w:pPr>
  </w:style>
  <w:style w:type="character" w:customStyle="1" w:styleId="FuzeileZchn">
    <w:name w:val="Fußzeile Zchn"/>
    <w:basedOn w:val="Absatz-Standardschriftart"/>
    <w:link w:val="Fuzeile"/>
    <w:uiPriority w:val="99"/>
    <w:rsid w:val="00731AB3"/>
  </w:style>
  <w:style w:type="character" w:customStyle="1" w:styleId="NichtaufgelsteErwhnung1">
    <w:name w:val="Nicht aufgelöste Erwähnung1"/>
    <w:basedOn w:val="Absatz-Standardschriftart"/>
    <w:uiPriority w:val="99"/>
    <w:semiHidden/>
    <w:unhideWhenUsed/>
    <w:rsid w:val="002E67C7"/>
    <w:rPr>
      <w:color w:val="605E5C"/>
      <w:shd w:val="clear" w:color="auto" w:fill="E1DFDD"/>
    </w:rPr>
  </w:style>
  <w:style w:type="paragraph" w:styleId="Titel">
    <w:name w:val="Title"/>
    <w:basedOn w:val="Standard"/>
    <w:next w:val="Standard"/>
    <w:link w:val="TitelZchn"/>
    <w:uiPriority w:val="10"/>
    <w:qFormat/>
    <w:rsid w:val="00862A6B"/>
    <w:pPr>
      <w:spacing w:before="60" w:after="60"/>
    </w:pPr>
    <w:rPr>
      <w:rFonts w:eastAsiaTheme="minorHAnsi"/>
      <w:sz w:val="72"/>
      <w:szCs w:val="72"/>
      <w:lang w:eastAsia="en-US"/>
    </w:rPr>
  </w:style>
  <w:style w:type="character" w:customStyle="1" w:styleId="TitelZchn">
    <w:name w:val="Titel Zchn"/>
    <w:basedOn w:val="Absatz-Standardschriftart"/>
    <w:link w:val="Titel"/>
    <w:uiPriority w:val="10"/>
    <w:rsid w:val="00862A6B"/>
    <w:rPr>
      <w:rFonts w:ascii="Times New Roman" w:hAnsi="Times New Roman" w:cs="Times New Roman"/>
      <w:color w:val="000000"/>
      <w:sz w:val="72"/>
      <w:szCs w:val="72"/>
      <w:lang w:val="en-GB"/>
    </w:rPr>
  </w:style>
  <w:style w:type="paragraph" w:styleId="Listenabsatz">
    <w:name w:val="List Paragraph"/>
    <w:basedOn w:val="Standard"/>
    <w:uiPriority w:val="34"/>
    <w:qFormat/>
    <w:rsid w:val="00182E52"/>
    <w:pPr>
      <w:ind w:left="720"/>
      <w:contextualSpacing/>
    </w:pPr>
  </w:style>
  <w:style w:type="character" w:customStyle="1" w:styleId="berschrift1Zchn">
    <w:name w:val="Überschrift 1 Zchn"/>
    <w:basedOn w:val="Absatz-Standardschriftart"/>
    <w:link w:val="berschrift1"/>
    <w:uiPriority w:val="9"/>
    <w:rsid w:val="001E40B4"/>
    <w:rPr>
      <w:rFonts w:ascii="Arial" w:eastAsiaTheme="majorEastAsia" w:hAnsi="Arial" w:cs="Arial"/>
      <w:color w:val="151E1F"/>
      <w:sz w:val="28"/>
      <w:szCs w:val="28"/>
      <w:lang w:val="en-GB"/>
    </w:rPr>
  </w:style>
  <w:style w:type="paragraph" w:styleId="KeinLeerraum">
    <w:name w:val="No Spacing"/>
    <w:aliases w:val="Standard Blau"/>
    <w:basedOn w:val="Standard"/>
    <w:link w:val="KeinLeerraumZchn"/>
    <w:uiPriority w:val="1"/>
    <w:qFormat/>
    <w:rsid w:val="00FF1E9E"/>
    <w:pPr>
      <w:spacing w:before="120" w:after="120"/>
    </w:pPr>
    <w:rPr>
      <w:rFonts w:eastAsia="Arial"/>
      <w:color w:val="7E3FA8" w:themeColor="accent1"/>
      <w:sz w:val="21"/>
      <w:szCs w:val="21"/>
      <w:lang w:val="de-DE"/>
    </w:rPr>
  </w:style>
  <w:style w:type="character" w:customStyle="1" w:styleId="berschrift3Zchn">
    <w:name w:val="Überschrift 3 Zchn"/>
    <w:basedOn w:val="Absatz-Standardschriftart"/>
    <w:link w:val="berschrift3"/>
    <w:uiPriority w:val="9"/>
    <w:rsid w:val="00330FF8"/>
    <w:rPr>
      <w:rFonts w:ascii="Arial" w:eastAsiaTheme="majorEastAsia" w:hAnsi="Arial" w:cs="Arial"/>
      <w:b/>
      <w:bCs/>
      <w:i/>
      <w:iCs/>
      <w:color w:val="151E1F"/>
      <w:sz w:val="24"/>
      <w:szCs w:val="24"/>
      <w:lang w:val="en-GB"/>
    </w:rPr>
  </w:style>
  <w:style w:type="character" w:customStyle="1" w:styleId="berschrift2Zchn">
    <w:name w:val="Überschrift 2 Zchn"/>
    <w:basedOn w:val="Absatz-Standardschriftart"/>
    <w:link w:val="berschrift2"/>
    <w:uiPriority w:val="9"/>
    <w:rsid w:val="00E75743"/>
    <w:rPr>
      <w:rFonts w:ascii="Arial" w:eastAsiaTheme="majorEastAsia" w:hAnsi="Arial" w:cs="Arial"/>
      <w:b/>
      <w:bCs/>
      <w:color w:val="151E1F"/>
      <w:sz w:val="24"/>
      <w:szCs w:val="24"/>
      <w:lang w:val="en-GB"/>
    </w:rPr>
  </w:style>
  <w:style w:type="character" w:styleId="Kommentarzeichen">
    <w:name w:val="annotation reference"/>
    <w:basedOn w:val="Absatz-Standardschriftart"/>
    <w:uiPriority w:val="99"/>
    <w:semiHidden/>
    <w:unhideWhenUsed/>
    <w:rsid w:val="001A0A13"/>
    <w:rPr>
      <w:sz w:val="16"/>
      <w:szCs w:val="16"/>
    </w:rPr>
  </w:style>
  <w:style w:type="paragraph" w:styleId="Kommentartext">
    <w:name w:val="annotation text"/>
    <w:basedOn w:val="Standard"/>
    <w:link w:val="KommentartextZchn"/>
    <w:uiPriority w:val="99"/>
    <w:unhideWhenUsed/>
    <w:rsid w:val="007C3406"/>
    <w:rPr>
      <w:sz w:val="20"/>
      <w:szCs w:val="20"/>
    </w:rPr>
  </w:style>
  <w:style w:type="character" w:customStyle="1" w:styleId="KommentartextZchn">
    <w:name w:val="Kommentartext Zchn"/>
    <w:basedOn w:val="Absatz-Standardschriftart"/>
    <w:link w:val="Kommentartext"/>
    <w:uiPriority w:val="99"/>
    <w:rsid w:val="007C3406"/>
    <w:rPr>
      <w:rFonts w:ascii="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7C3406"/>
    <w:rPr>
      <w:b/>
      <w:bCs/>
    </w:rPr>
  </w:style>
  <w:style w:type="character" w:customStyle="1" w:styleId="KommentarthemaZchn">
    <w:name w:val="Kommentarthema Zchn"/>
    <w:basedOn w:val="KommentartextZchn"/>
    <w:link w:val="Kommentarthema"/>
    <w:uiPriority w:val="99"/>
    <w:semiHidden/>
    <w:rsid w:val="007C3406"/>
    <w:rPr>
      <w:rFonts w:ascii="Times New Roman" w:hAnsi="Times New Roman" w:cs="Times New Roman"/>
      <w:b/>
      <w:bCs/>
      <w:sz w:val="20"/>
      <w:szCs w:val="20"/>
    </w:rPr>
  </w:style>
  <w:style w:type="table" w:styleId="Tabellenraster">
    <w:name w:val="Table Grid"/>
    <w:basedOn w:val="NormaleTabelle"/>
    <w:uiPriority w:val="39"/>
    <w:rsid w:val="008354F5"/>
    <w:pPr>
      <w:spacing w:after="0" w:line="240" w:lineRule="auto"/>
    </w:pPr>
    <w:rPr>
      <w:rFonts w:cs="Times New Roman (Textkörper CS)"/>
      <w:sz w:val="18"/>
    </w:rPr>
    <w:tblPr>
      <w:tblBorders>
        <w:insideH w:val="single" w:sz="6" w:space="0" w:color="0C0E30" w:themeColor="text1" w:themeShade="80"/>
        <w:insideV w:val="single" w:sz="6" w:space="0" w:color="0C0E30" w:themeColor="text1" w:themeShade="80"/>
      </w:tblBorders>
      <w:tblCellMar>
        <w:left w:w="57" w:type="dxa"/>
        <w:right w:w="57" w:type="dxa"/>
      </w:tblCellMar>
    </w:tblPr>
    <w:tblStylePr w:type="firstRow">
      <w:rPr>
        <w:rFonts w:asciiTheme="minorHAnsi" w:hAnsiTheme="minorHAnsi"/>
        <w:b/>
      </w:rPr>
      <w:tblPr/>
      <w:tcPr>
        <w:tcBorders>
          <w:top w:val="nil"/>
          <w:left w:val="nil"/>
          <w:bottom w:val="nil"/>
          <w:right w:val="nil"/>
        </w:tcBorders>
        <w:shd w:val="clear" w:color="auto" w:fill="D9D9D9" w:themeFill="background1" w:themeFillShade="D9"/>
      </w:tcPr>
    </w:tblStylePr>
  </w:style>
  <w:style w:type="paragraph" w:styleId="Beschriftung">
    <w:name w:val="caption"/>
    <w:basedOn w:val="Standard"/>
    <w:next w:val="Standard"/>
    <w:uiPriority w:val="35"/>
    <w:unhideWhenUsed/>
    <w:qFormat/>
    <w:rsid w:val="00225C91"/>
    <w:pPr>
      <w:keepNext/>
      <w:spacing w:before="240" w:after="200"/>
    </w:pPr>
    <w:rPr>
      <w:i/>
      <w:iCs/>
      <w:color w:val="151E1F"/>
    </w:rPr>
  </w:style>
  <w:style w:type="paragraph" w:styleId="Sprechblasentext">
    <w:name w:val="Balloon Text"/>
    <w:basedOn w:val="Standard"/>
    <w:link w:val="SprechblasentextZchn"/>
    <w:uiPriority w:val="99"/>
    <w:semiHidden/>
    <w:unhideWhenUsed/>
    <w:rsid w:val="009E197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E1975"/>
    <w:rPr>
      <w:rFonts w:ascii="Segoe UI" w:hAnsi="Segoe UI" w:cs="Segoe UI"/>
      <w:sz w:val="18"/>
      <w:szCs w:val="18"/>
    </w:rPr>
  </w:style>
  <w:style w:type="character" w:customStyle="1" w:styleId="anchor-text">
    <w:name w:val="anchor-text"/>
    <w:basedOn w:val="Absatz-Standardschriftart"/>
    <w:rsid w:val="00E2076E"/>
  </w:style>
  <w:style w:type="paragraph" w:styleId="berarbeitung">
    <w:name w:val="Revision"/>
    <w:hidden/>
    <w:uiPriority w:val="99"/>
    <w:semiHidden/>
    <w:rsid w:val="00E0658E"/>
    <w:pPr>
      <w:spacing w:after="0" w:line="240" w:lineRule="auto"/>
    </w:pPr>
    <w:rPr>
      <w:rFonts w:ascii="Times New Roman" w:hAnsi="Times New Roman" w:cs="Times New Roman"/>
      <w:sz w:val="24"/>
      <w:szCs w:val="24"/>
    </w:rPr>
  </w:style>
  <w:style w:type="paragraph" w:customStyle="1" w:styleId="Tabelle-Text">
    <w:name w:val="Tabelle - Text"/>
    <w:basedOn w:val="Standard"/>
    <w:qFormat/>
    <w:rsid w:val="00ED3E00"/>
    <w:pPr>
      <w:spacing w:before="40" w:after="40" w:line="276" w:lineRule="auto"/>
    </w:pPr>
    <w:rPr>
      <w:bCs/>
      <w:sz w:val="20"/>
      <w:szCs w:val="20"/>
    </w:rPr>
  </w:style>
  <w:style w:type="paragraph" w:customStyle="1" w:styleId="Tabelle-berschrift">
    <w:name w:val="Tabelle - Überschrift"/>
    <w:basedOn w:val="Tabelle-Text"/>
    <w:qFormat/>
    <w:rsid w:val="005B67D6"/>
    <w:rPr>
      <w:b/>
      <w:bCs w:val="0"/>
    </w:rPr>
  </w:style>
  <w:style w:type="character" w:styleId="NichtaufgelsteErwhnung">
    <w:name w:val="Unresolved Mention"/>
    <w:basedOn w:val="Absatz-Standardschriftart"/>
    <w:uiPriority w:val="99"/>
    <w:semiHidden/>
    <w:unhideWhenUsed/>
    <w:rsid w:val="00357453"/>
    <w:rPr>
      <w:color w:val="605E5C"/>
      <w:shd w:val="clear" w:color="auto" w:fill="E1DFDD"/>
    </w:rPr>
  </w:style>
  <w:style w:type="paragraph" w:customStyle="1" w:styleId="Literaturverzeichnis1">
    <w:name w:val="Literaturverzeichnis1"/>
    <w:basedOn w:val="Standard"/>
    <w:link w:val="BibliographyZchn"/>
    <w:rsid w:val="00162627"/>
    <w:pPr>
      <w:tabs>
        <w:tab w:val="left" w:pos="380"/>
      </w:tabs>
      <w:spacing w:after="240"/>
      <w:ind w:left="384" w:hanging="384"/>
    </w:pPr>
  </w:style>
  <w:style w:type="character" w:customStyle="1" w:styleId="BibliographyZchn">
    <w:name w:val="Bibliography Zchn"/>
    <w:basedOn w:val="Absatz-Standardschriftart"/>
    <w:link w:val="Literaturverzeichnis1"/>
    <w:rsid w:val="00162627"/>
    <w:rPr>
      <w:rFonts w:ascii="Times New Roman" w:hAnsi="Times New Roman" w:cs="Times New Roman"/>
      <w:sz w:val="24"/>
      <w:szCs w:val="24"/>
      <w:lang w:val="en-GB"/>
    </w:rPr>
  </w:style>
  <w:style w:type="paragraph" w:customStyle="1" w:styleId="Sources">
    <w:name w:val="Sources"/>
    <w:basedOn w:val="Standard"/>
    <w:link w:val="SourcesZchn"/>
    <w:qFormat/>
    <w:rsid w:val="00531BD0"/>
    <w:pPr>
      <w:spacing w:before="60" w:after="60" w:line="276" w:lineRule="auto"/>
      <w:ind w:left="227" w:right="57" w:hanging="227"/>
    </w:pPr>
    <w:rPr>
      <w:sz w:val="20"/>
      <w:szCs w:val="20"/>
      <w:lang w:val="de-DE"/>
    </w:rPr>
  </w:style>
  <w:style w:type="character" w:customStyle="1" w:styleId="berschrift4Zchn">
    <w:name w:val="Überschrift 4 Zchn"/>
    <w:basedOn w:val="Absatz-Standardschriftart"/>
    <w:link w:val="berschrift4"/>
    <w:uiPriority w:val="9"/>
    <w:semiHidden/>
    <w:rsid w:val="00090A7D"/>
    <w:rPr>
      <w:rFonts w:asciiTheme="majorHAnsi" w:eastAsiaTheme="majorEastAsia" w:hAnsiTheme="majorHAnsi" w:cstheme="majorBidi"/>
      <w:i/>
      <w:iCs/>
      <w:color w:val="5E2F7D" w:themeColor="accent1" w:themeShade="BF"/>
      <w:sz w:val="24"/>
      <w:szCs w:val="24"/>
    </w:rPr>
  </w:style>
  <w:style w:type="paragraph" w:styleId="StandardWeb">
    <w:name w:val="Normal (Web)"/>
    <w:basedOn w:val="Standard"/>
    <w:uiPriority w:val="99"/>
    <w:semiHidden/>
    <w:unhideWhenUsed/>
    <w:rsid w:val="003A3D9C"/>
    <w:pPr>
      <w:spacing w:before="100" w:beforeAutospacing="1" w:after="100" w:afterAutospacing="1"/>
    </w:pPr>
    <w:rPr>
      <w:lang w:val="de-DE"/>
    </w:rPr>
  </w:style>
  <w:style w:type="paragraph" w:styleId="Funotentext">
    <w:name w:val="footnote text"/>
    <w:basedOn w:val="Standard"/>
    <w:link w:val="FunotentextZchn"/>
    <w:uiPriority w:val="99"/>
    <w:unhideWhenUsed/>
    <w:rsid w:val="00DE7EFC"/>
    <w:rPr>
      <w:sz w:val="20"/>
      <w:szCs w:val="20"/>
    </w:rPr>
  </w:style>
  <w:style w:type="character" w:customStyle="1" w:styleId="FunotentextZchn">
    <w:name w:val="Fußnotentext Zchn"/>
    <w:basedOn w:val="Absatz-Standardschriftart"/>
    <w:link w:val="Funotentext"/>
    <w:uiPriority w:val="99"/>
    <w:rsid w:val="00DE7EFC"/>
    <w:rPr>
      <w:rFonts w:cstheme="minorHAnsi"/>
      <w:sz w:val="20"/>
      <w:szCs w:val="20"/>
      <w:lang w:val="en-GB"/>
    </w:rPr>
  </w:style>
  <w:style w:type="character" w:styleId="Funotenzeichen">
    <w:name w:val="footnote reference"/>
    <w:basedOn w:val="Absatz-Standardschriftart"/>
    <w:uiPriority w:val="99"/>
    <w:semiHidden/>
    <w:unhideWhenUsed/>
    <w:rsid w:val="00DE7EFC"/>
    <w:rPr>
      <w:vertAlign w:val="superscript"/>
    </w:rPr>
  </w:style>
  <w:style w:type="character" w:styleId="Endnotenzeichen">
    <w:name w:val="endnote reference"/>
    <w:basedOn w:val="Absatz-Standardschriftart"/>
    <w:uiPriority w:val="99"/>
    <w:semiHidden/>
    <w:unhideWhenUsed/>
    <w:rsid w:val="00D53E40"/>
    <w:rPr>
      <w:vertAlign w:val="superscript"/>
    </w:rPr>
  </w:style>
  <w:style w:type="character" w:styleId="BesuchterLink">
    <w:name w:val="FollowedHyperlink"/>
    <w:basedOn w:val="Absatz-Standardschriftart"/>
    <w:uiPriority w:val="99"/>
    <w:semiHidden/>
    <w:unhideWhenUsed/>
    <w:rsid w:val="0050020E"/>
    <w:rPr>
      <w:color w:val="ACEA3D" w:themeColor="followedHyperlink"/>
      <w:u w:val="single"/>
    </w:rPr>
  </w:style>
  <w:style w:type="paragraph" w:styleId="Inhaltsverzeichnisberschrift">
    <w:name w:val="TOC Heading"/>
    <w:basedOn w:val="berschrift1"/>
    <w:next w:val="Standard"/>
    <w:uiPriority w:val="39"/>
    <w:unhideWhenUsed/>
    <w:qFormat/>
    <w:rsid w:val="009C586E"/>
    <w:pPr>
      <w:numPr>
        <w:numId w:val="0"/>
      </w:numPr>
      <w:spacing w:before="480" w:after="0"/>
      <w:outlineLvl w:val="9"/>
    </w:pPr>
    <w:rPr>
      <w:rFonts w:asciiTheme="majorHAnsi" w:hAnsiTheme="majorHAnsi" w:cstheme="majorBidi"/>
      <w:color w:val="5E2F7D" w:themeColor="accent1" w:themeShade="BF"/>
      <w:lang w:val="de-DE" w:eastAsia="de-DE"/>
    </w:rPr>
  </w:style>
  <w:style w:type="paragraph" w:styleId="Verzeichnis1">
    <w:name w:val="toc 1"/>
    <w:basedOn w:val="Standard"/>
    <w:next w:val="Standard"/>
    <w:autoRedefine/>
    <w:uiPriority w:val="39"/>
    <w:unhideWhenUsed/>
    <w:rsid w:val="00A372B1"/>
    <w:pPr>
      <w:tabs>
        <w:tab w:val="left" w:pos="851"/>
        <w:tab w:val="right" w:leader="underscore" w:pos="9350"/>
      </w:tabs>
      <w:spacing w:before="240" w:after="120"/>
      <w:ind w:right="724"/>
    </w:pPr>
    <w:rPr>
      <w:rFonts w:cs="Calibri (Textkörper)"/>
      <w:szCs w:val="26"/>
    </w:rPr>
  </w:style>
  <w:style w:type="paragraph" w:styleId="Verzeichnis2">
    <w:name w:val="toc 2"/>
    <w:basedOn w:val="Standard"/>
    <w:next w:val="Standard"/>
    <w:autoRedefine/>
    <w:uiPriority w:val="39"/>
    <w:unhideWhenUsed/>
    <w:rsid w:val="00B00B0B"/>
    <w:pPr>
      <w:tabs>
        <w:tab w:val="left" w:pos="1440"/>
        <w:tab w:val="right" w:leader="underscore" w:pos="10070"/>
      </w:tabs>
      <w:ind w:left="851"/>
    </w:pPr>
    <w:rPr>
      <w:szCs w:val="20"/>
    </w:rPr>
  </w:style>
  <w:style w:type="paragraph" w:styleId="Verzeichnis3">
    <w:name w:val="toc 3"/>
    <w:basedOn w:val="Standard"/>
    <w:next w:val="Standard"/>
    <w:autoRedefine/>
    <w:uiPriority w:val="39"/>
    <w:unhideWhenUsed/>
    <w:rsid w:val="009C586E"/>
    <w:pPr>
      <w:ind w:left="480"/>
    </w:pPr>
    <w:rPr>
      <w:i/>
      <w:iCs/>
      <w:sz w:val="20"/>
      <w:szCs w:val="20"/>
    </w:rPr>
  </w:style>
  <w:style w:type="paragraph" w:styleId="Verzeichnis4">
    <w:name w:val="toc 4"/>
    <w:basedOn w:val="Standard"/>
    <w:next w:val="Standard"/>
    <w:autoRedefine/>
    <w:uiPriority w:val="39"/>
    <w:unhideWhenUsed/>
    <w:rsid w:val="009C586E"/>
    <w:pPr>
      <w:ind w:left="720"/>
    </w:pPr>
    <w:rPr>
      <w:sz w:val="18"/>
      <w:szCs w:val="18"/>
    </w:rPr>
  </w:style>
  <w:style w:type="paragraph" w:styleId="Verzeichnis5">
    <w:name w:val="toc 5"/>
    <w:basedOn w:val="Standard"/>
    <w:next w:val="Standard"/>
    <w:autoRedefine/>
    <w:uiPriority w:val="39"/>
    <w:unhideWhenUsed/>
    <w:rsid w:val="009C586E"/>
    <w:pPr>
      <w:ind w:left="960"/>
    </w:pPr>
    <w:rPr>
      <w:sz w:val="18"/>
      <w:szCs w:val="18"/>
    </w:rPr>
  </w:style>
  <w:style w:type="paragraph" w:styleId="Verzeichnis6">
    <w:name w:val="toc 6"/>
    <w:basedOn w:val="Standard"/>
    <w:next w:val="Standard"/>
    <w:autoRedefine/>
    <w:uiPriority w:val="39"/>
    <w:unhideWhenUsed/>
    <w:rsid w:val="009C586E"/>
    <w:pPr>
      <w:ind w:left="1200"/>
    </w:pPr>
    <w:rPr>
      <w:sz w:val="18"/>
      <w:szCs w:val="18"/>
    </w:rPr>
  </w:style>
  <w:style w:type="paragraph" w:styleId="Verzeichnis7">
    <w:name w:val="toc 7"/>
    <w:basedOn w:val="Standard"/>
    <w:next w:val="Standard"/>
    <w:autoRedefine/>
    <w:uiPriority w:val="39"/>
    <w:unhideWhenUsed/>
    <w:rsid w:val="009C586E"/>
    <w:pPr>
      <w:ind w:left="1440"/>
    </w:pPr>
    <w:rPr>
      <w:sz w:val="18"/>
      <w:szCs w:val="18"/>
    </w:rPr>
  </w:style>
  <w:style w:type="paragraph" w:styleId="Verzeichnis8">
    <w:name w:val="toc 8"/>
    <w:basedOn w:val="Standard"/>
    <w:next w:val="Standard"/>
    <w:autoRedefine/>
    <w:uiPriority w:val="39"/>
    <w:unhideWhenUsed/>
    <w:rsid w:val="009C586E"/>
    <w:pPr>
      <w:ind w:left="1680"/>
    </w:pPr>
    <w:rPr>
      <w:sz w:val="18"/>
      <w:szCs w:val="18"/>
    </w:rPr>
  </w:style>
  <w:style w:type="paragraph" w:styleId="Verzeichnis9">
    <w:name w:val="toc 9"/>
    <w:basedOn w:val="Standard"/>
    <w:next w:val="Standard"/>
    <w:autoRedefine/>
    <w:uiPriority w:val="39"/>
    <w:unhideWhenUsed/>
    <w:rsid w:val="009C586E"/>
    <w:pPr>
      <w:ind w:left="1920"/>
    </w:pPr>
    <w:rPr>
      <w:sz w:val="18"/>
      <w:szCs w:val="18"/>
    </w:rPr>
  </w:style>
  <w:style w:type="table" w:styleId="TabellemithellemGitternetz">
    <w:name w:val="Grid Table Light"/>
    <w:basedOn w:val="NormaleTabelle"/>
    <w:uiPriority w:val="40"/>
    <w:rsid w:val="008354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nnummer">
    <w:name w:val="List Number"/>
    <w:basedOn w:val="Standard"/>
    <w:uiPriority w:val="13"/>
    <w:qFormat/>
    <w:rsid w:val="00373779"/>
    <w:pPr>
      <w:numPr>
        <w:numId w:val="41"/>
      </w:numPr>
      <w:spacing w:before="240" w:line="312" w:lineRule="auto"/>
    </w:pPr>
    <w:rPr>
      <w:rFonts w:cstheme="minorBidi"/>
      <w:color w:val="181C62" w:themeColor="text1"/>
      <w:lang w:val="de-DE" w:eastAsia="ja-JP"/>
    </w:rPr>
  </w:style>
  <w:style w:type="table" w:customStyle="1" w:styleId="Tabellenraster1">
    <w:name w:val="Tabellenraster1"/>
    <w:basedOn w:val="NormaleTabelle"/>
    <w:next w:val="Tabellenraster"/>
    <w:uiPriority w:val="39"/>
    <w:rsid w:val="00455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old">
    <w:name w:val="title-bold"/>
    <w:basedOn w:val="Standard"/>
    <w:rsid w:val="00414B49"/>
    <w:pPr>
      <w:spacing w:before="100" w:beforeAutospacing="1" w:after="100" w:afterAutospacing="1"/>
    </w:pPr>
    <w:rPr>
      <w:lang w:val="de-DE"/>
    </w:rPr>
  </w:style>
  <w:style w:type="character" w:styleId="Hervorhebung">
    <w:name w:val="Emphasis"/>
    <w:basedOn w:val="Absatz-Standardschriftart"/>
    <w:uiPriority w:val="20"/>
    <w:qFormat/>
    <w:rsid w:val="00414B49"/>
    <w:rPr>
      <w:i/>
      <w:iCs/>
    </w:rPr>
  </w:style>
  <w:style w:type="paragraph" w:styleId="Index1">
    <w:name w:val="index 1"/>
    <w:aliases w:val="Abkürzung"/>
    <w:basedOn w:val="Standard"/>
    <w:next w:val="Standard"/>
    <w:autoRedefine/>
    <w:uiPriority w:val="99"/>
    <w:unhideWhenUsed/>
    <w:rsid w:val="00AB61BA"/>
    <w:pPr>
      <w:tabs>
        <w:tab w:val="right" w:leader="dot" w:pos="9016"/>
      </w:tabs>
      <w:spacing w:before="240" w:after="240"/>
      <w:ind w:left="220" w:hanging="220"/>
    </w:pPr>
    <w:rPr>
      <w:rFonts w:cstheme="minorBidi"/>
      <w:color w:val="181C62" w:themeColor="text1"/>
      <w:lang w:val="de-DE" w:eastAsia="ja-JP"/>
    </w:rPr>
  </w:style>
  <w:style w:type="paragraph" w:customStyle="1" w:styleId="References">
    <w:name w:val="References"/>
    <w:basedOn w:val="Standard"/>
    <w:qFormat/>
    <w:rsid w:val="00B44BA8"/>
    <w:pPr>
      <w:ind w:left="425" w:hanging="425"/>
    </w:pPr>
  </w:style>
  <w:style w:type="paragraph" w:customStyle="1" w:styleId="Treaties">
    <w:name w:val="Treaties"/>
    <w:aliases w:val="laws,regulations"/>
    <w:basedOn w:val="Sources"/>
    <w:rsid w:val="00B44BA8"/>
  </w:style>
  <w:style w:type="paragraph" w:customStyle="1" w:styleId="Literaturverzeichnis2">
    <w:name w:val="Literaturverzeichnis2"/>
    <w:basedOn w:val="Standard"/>
    <w:link w:val="BibliographyZchn1"/>
    <w:rsid w:val="00186FCB"/>
    <w:pPr>
      <w:spacing w:after="240" w:line="240" w:lineRule="auto"/>
    </w:pPr>
  </w:style>
  <w:style w:type="character" w:customStyle="1" w:styleId="SourcesZchn">
    <w:name w:val="Sources Zchn"/>
    <w:basedOn w:val="Absatz-Standardschriftart"/>
    <w:link w:val="Sources"/>
    <w:rsid w:val="00531BD0"/>
    <w:rPr>
      <w:rFonts w:ascii="Arial" w:eastAsia="Times New Roman" w:hAnsi="Arial" w:cs="Arial"/>
      <w:color w:val="000000"/>
      <w:sz w:val="20"/>
      <w:szCs w:val="20"/>
      <w:lang w:val="de-DE" w:eastAsia="de-DE"/>
    </w:rPr>
  </w:style>
  <w:style w:type="character" w:customStyle="1" w:styleId="BibliographyZchn1">
    <w:name w:val="Bibliography Zchn1"/>
    <w:basedOn w:val="SourcesZchn"/>
    <w:link w:val="Literaturverzeichnis2"/>
    <w:rsid w:val="00186FCB"/>
    <w:rPr>
      <w:rFonts w:ascii="Arial" w:eastAsia="Times New Roman" w:hAnsi="Arial" w:cs="Times New Roman"/>
      <w:color w:val="000000"/>
      <w:sz w:val="24"/>
      <w:szCs w:val="24"/>
      <w:lang w:val="en-GB" w:eastAsia="de-DE"/>
    </w:rPr>
  </w:style>
  <w:style w:type="paragraph" w:styleId="Abbildungsverzeichnis">
    <w:name w:val="table of figures"/>
    <w:basedOn w:val="Standard"/>
    <w:next w:val="Standard"/>
    <w:uiPriority w:val="99"/>
    <w:unhideWhenUsed/>
    <w:rsid w:val="00290600"/>
  </w:style>
  <w:style w:type="paragraph" w:styleId="Literaturverzeichnis">
    <w:name w:val="Bibliography"/>
    <w:basedOn w:val="Standard"/>
    <w:next w:val="Standard"/>
    <w:uiPriority w:val="37"/>
    <w:unhideWhenUsed/>
    <w:rsid w:val="00531BD0"/>
    <w:pPr>
      <w:spacing w:after="240" w:line="240" w:lineRule="auto"/>
    </w:pPr>
  </w:style>
  <w:style w:type="table" w:styleId="Gitternetztabelle1hell">
    <w:name w:val="Grid Table 1 Light"/>
    <w:basedOn w:val="NormaleTabelle"/>
    <w:uiPriority w:val="46"/>
    <w:rsid w:val="001D56FF"/>
    <w:pPr>
      <w:spacing w:after="0" w:line="240" w:lineRule="auto"/>
    </w:pPr>
    <w:tblPr>
      <w:tblStyleRowBandSize w:val="1"/>
      <w:tblStyleColBandSize w:val="1"/>
      <w:tblBorders>
        <w:top w:val="single" w:sz="4" w:space="0" w:color="8286E0" w:themeColor="text1" w:themeTint="66"/>
        <w:left w:val="single" w:sz="4" w:space="0" w:color="8286E0" w:themeColor="text1" w:themeTint="66"/>
        <w:bottom w:val="single" w:sz="4" w:space="0" w:color="8286E0" w:themeColor="text1" w:themeTint="66"/>
        <w:right w:val="single" w:sz="4" w:space="0" w:color="8286E0" w:themeColor="text1" w:themeTint="66"/>
        <w:insideH w:val="single" w:sz="4" w:space="0" w:color="8286E0" w:themeColor="text1" w:themeTint="66"/>
        <w:insideV w:val="single" w:sz="4" w:space="0" w:color="8286E0" w:themeColor="text1" w:themeTint="66"/>
      </w:tblBorders>
    </w:tblPr>
    <w:tblStylePr w:type="firstRow">
      <w:rPr>
        <w:b/>
        <w:bCs/>
      </w:rPr>
      <w:tblPr/>
      <w:tcPr>
        <w:tcBorders>
          <w:bottom w:val="single" w:sz="12" w:space="0" w:color="434BD1" w:themeColor="text1" w:themeTint="99"/>
        </w:tcBorders>
      </w:tcPr>
    </w:tblStylePr>
    <w:tblStylePr w:type="lastRow">
      <w:rPr>
        <w:b/>
        <w:bCs/>
      </w:rPr>
      <w:tblPr/>
      <w:tcPr>
        <w:tcBorders>
          <w:top w:val="double" w:sz="2" w:space="0" w:color="434BD1"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1D56FF"/>
    <w:pPr>
      <w:spacing w:after="0" w:line="240" w:lineRule="auto"/>
    </w:pPr>
    <w:tblPr>
      <w:tblStyleRowBandSize w:val="1"/>
      <w:tblStyleColBandSize w:val="1"/>
      <w:tblBorders>
        <w:top w:val="single" w:sz="4" w:space="0" w:color="CCADE0" w:themeColor="accent1" w:themeTint="66"/>
        <w:left w:val="single" w:sz="4" w:space="0" w:color="CCADE0" w:themeColor="accent1" w:themeTint="66"/>
        <w:bottom w:val="single" w:sz="4" w:space="0" w:color="CCADE0" w:themeColor="accent1" w:themeTint="66"/>
        <w:right w:val="single" w:sz="4" w:space="0" w:color="CCADE0" w:themeColor="accent1" w:themeTint="66"/>
        <w:insideH w:val="single" w:sz="4" w:space="0" w:color="CCADE0" w:themeColor="accent1" w:themeTint="66"/>
        <w:insideV w:val="single" w:sz="4" w:space="0" w:color="CCADE0" w:themeColor="accent1" w:themeTint="66"/>
      </w:tblBorders>
    </w:tblPr>
    <w:tblStylePr w:type="firstRow">
      <w:rPr>
        <w:b/>
        <w:bCs/>
      </w:rPr>
      <w:tblPr/>
      <w:tcPr>
        <w:tcBorders>
          <w:bottom w:val="single" w:sz="12" w:space="0" w:color="B285D1" w:themeColor="accent1" w:themeTint="99"/>
        </w:tcBorders>
      </w:tcPr>
    </w:tblStylePr>
    <w:tblStylePr w:type="lastRow">
      <w:rPr>
        <w:b/>
        <w:bCs/>
      </w:rPr>
      <w:tblPr/>
      <w:tcPr>
        <w:tcBorders>
          <w:top w:val="double" w:sz="2" w:space="0" w:color="B285D1" w:themeColor="accent1" w:themeTint="99"/>
        </w:tcBorders>
      </w:tcPr>
    </w:tblStylePr>
    <w:tblStylePr w:type="firstCol">
      <w:rPr>
        <w:b/>
        <w:bCs/>
      </w:rPr>
    </w:tblStylePr>
    <w:tblStylePr w:type="lastCol">
      <w:rPr>
        <w:b/>
        <w:bCs/>
      </w:rPr>
    </w:tblStylePr>
  </w:style>
  <w:style w:type="character" w:customStyle="1" w:styleId="KeinLeerraumZchn">
    <w:name w:val="Kein Leerraum Zchn"/>
    <w:aliases w:val="Standard Blau Zchn"/>
    <w:basedOn w:val="Absatz-Standardschriftart"/>
    <w:link w:val="KeinLeerraum"/>
    <w:uiPriority w:val="1"/>
    <w:rsid w:val="00FB3731"/>
    <w:rPr>
      <w:rFonts w:ascii="Arial" w:eastAsia="Arial" w:hAnsi="Arial" w:cs="Arial"/>
      <w:color w:val="7E3FA8" w:themeColor="accent1"/>
      <w:sz w:val="21"/>
      <w:szCs w:val="21"/>
      <w:lang w:val="de-DE" w:eastAsia="de-DE"/>
    </w:rPr>
  </w:style>
  <w:style w:type="paragraph" w:styleId="Untertitel">
    <w:name w:val="Subtitle"/>
    <w:basedOn w:val="Standard"/>
    <w:next w:val="Standard"/>
    <w:link w:val="UntertitelZchn"/>
    <w:uiPriority w:val="11"/>
    <w:qFormat/>
    <w:rsid w:val="00FB3731"/>
    <w:pPr>
      <w:numPr>
        <w:ilvl w:val="1"/>
      </w:numPr>
      <w:spacing w:after="160"/>
    </w:pPr>
    <w:rPr>
      <w:rFonts w:eastAsiaTheme="minorEastAsia"/>
      <w:b/>
      <w:bCs/>
      <w:spacing w:val="15"/>
      <w:sz w:val="40"/>
      <w:szCs w:val="40"/>
    </w:rPr>
  </w:style>
  <w:style w:type="character" w:customStyle="1" w:styleId="UntertitelZchn">
    <w:name w:val="Untertitel Zchn"/>
    <w:basedOn w:val="Absatz-Standardschriftart"/>
    <w:link w:val="Untertitel"/>
    <w:uiPriority w:val="11"/>
    <w:rsid w:val="00FB3731"/>
    <w:rPr>
      <w:rFonts w:ascii="Arial" w:eastAsiaTheme="minorEastAsia" w:hAnsi="Arial" w:cs="Arial"/>
      <w:b/>
      <w:bCs/>
      <w:color w:val="000000"/>
      <w:spacing w:val="15"/>
      <w:sz w:val="40"/>
      <w:szCs w:val="40"/>
      <w:lang w:val="en-GB" w:eastAsia="de-DE"/>
    </w:rPr>
  </w:style>
  <w:style w:type="table" w:styleId="EinfacheTabelle4">
    <w:name w:val="Plain Table 4"/>
    <w:basedOn w:val="NormaleTabelle"/>
    <w:uiPriority w:val="44"/>
    <w:rsid w:val="005B67D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Absatz-Standardschriftart"/>
    <w:rsid w:val="00901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4378">
      <w:bodyDiv w:val="1"/>
      <w:marLeft w:val="0"/>
      <w:marRight w:val="0"/>
      <w:marTop w:val="0"/>
      <w:marBottom w:val="0"/>
      <w:divBdr>
        <w:top w:val="none" w:sz="0" w:space="0" w:color="auto"/>
        <w:left w:val="none" w:sz="0" w:space="0" w:color="auto"/>
        <w:bottom w:val="none" w:sz="0" w:space="0" w:color="auto"/>
        <w:right w:val="none" w:sz="0" w:space="0" w:color="auto"/>
      </w:divBdr>
      <w:divsChild>
        <w:div w:id="2046059997">
          <w:marLeft w:val="0"/>
          <w:marRight w:val="0"/>
          <w:marTop w:val="0"/>
          <w:marBottom w:val="0"/>
          <w:divBdr>
            <w:top w:val="none" w:sz="0" w:space="0" w:color="auto"/>
            <w:left w:val="none" w:sz="0" w:space="0" w:color="auto"/>
            <w:bottom w:val="none" w:sz="0" w:space="0" w:color="auto"/>
            <w:right w:val="none" w:sz="0" w:space="0" w:color="auto"/>
          </w:divBdr>
          <w:divsChild>
            <w:div w:id="2126802891">
              <w:marLeft w:val="0"/>
              <w:marRight w:val="0"/>
              <w:marTop w:val="0"/>
              <w:marBottom w:val="0"/>
              <w:divBdr>
                <w:top w:val="none" w:sz="0" w:space="0" w:color="auto"/>
                <w:left w:val="none" w:sz="0" w:space="0" w:color="auto"/>
                <w:bottom w:val="none" w:sz="0" w:space="0" w:color="auto"/>
                <w:right w:val="none" w:sz="0" w:space="0" w:color="auto"/>
              </w:divBdr>
              <w:divsChild>
                <w:div w:id="77102285">
                  <w:marLeft w:val="0"/>
                  <w:marRight w:val="0"/>
                  <w:marTop w:val="0"/>
                  <w:marBottom w:val="0"/>
                  <w:divBdr>
                    <w:top w:val="none" w:sz="0" w:space="0" w:color="auto"/>
                    <w:left w:val="none" w:sz="0" w:space="0" w:color="auto"/>
                    <w:bottom w:val="none" w:sz="0" w:space="0" w:color="auto"/>
                    <w:right w:val="none" w:sz="0" w:space="0" w:color="auto"/>
                  </w:divBdr>
                  <w:divsChild>
                    <w:div w:id="104229018">
                      <w:marLeft w:val="0"/>
                      <w:marRight w:val="0"/>
                      <w:marTop w:val="0"/>
                      <w:marBottom w:val="0"/>
                      <w:divBdr>
                        <w:top w:val="none" w:sz="0" w:space="0" w:color="auto"/>
                        <w:left w:val="none" w:sz="0" w:space="0" w:color="auto"/>
                        <w:bottom w:val="none" w:sz="0" w:space="0" w:color="auto"/>
                        <w:right w:val="none" w:sz="0" w:space="0" w:color="auto"/>
                      </w:divBdr>
                      <w:divsChild>
                        <w:div w:id="1731149171">
                          <w:marLeft w:val="0"/>
                          <w:marRight w:val="0"/>
                          <w:marTop w:val="0"/>
                          <w:marBottom w:val="0"/>
                          <w:divBdr>
                            <w:top w:val="none" w:sz="0" w:space="0" w:color="auto"/>
                            <w:left w:val="none" w:sz="0" w:space="0" w:color="auto"/>
                            <w:bottom w:val="none" w:sz="0" w:space="0" w:color="auto"/>
                            <w:right w:val="none" w:sz="0" w:space="0" w:color="auto"/>
                          </w:divBdr>
                          <w:divsChild>
                            <w:div w:id="149383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07872">
      <w:bodyDiv w:val="1"/>
      <w:marLeft w:val="0"/>
      <w:marRight w:val="0"/>
      <w:marTop w:val="0"/>
      <w:marBottom w:val="0"/>
      <w:divBdr>
        <w:top w:val="none" w:sz="0" w:space="0" w:color="auto"/>
        <w:left w:val="none" w:sz="0" w:space="0" w:color="auto"/>
        <w:bottom w:val="none" w:sz="0" w:space="0" w:color="auto"/>
        <w:right w:val="none" w:sz="0" w:space="0" w:color="auto"/>
      </w:divBdr>
      <w:divsChild>
        <w:div w:id="821198110">
          <w:marLeft w:val="0"/>
          <w:marRight w:val="0"/>
          <w:marTop w:val="0"/>
          <w:marBottom w:val="0"/>
          <w:divBdr>
            <w:top w:val="none" w:sz="0" w:space="0" w:color="auto"/>
            <w:left w:val="none" w:sz="0" w:space="0" w:color="auto"/>
            <w:bottom w:val="none" w:sz="0" w:space="0" w:color="auto"/>
            <w:right w:val="none" w:sz="0" w:space="0" w:color="auto"/>
          </w:divBdr>
          <w:divsChild>
            <w:div w:id="8915083">
              <w:marLeft w:val="0"/>
              <w:marRight w:val="0"/>
              <w:marTop w:val="0"/>
              <w:marBottom w:val="240"/>
              <w:divBdr>
                <w:top w:val="none" w:sz="0" w:space="0" w:color="auto"/>
                <w:left w:val="none" w:sz="0" w:space="0" w:color="auto"/>
                <w:bottom w:val="none" w:sz="0" w:space="0" w:color="auto"/>
                <w:right w:val="none" w:sz="0" w:space="0" w:color="auto"/>
              </w:divBdr>
              <w:divsChild>
                <w:div w:id="1196506303">
                  <w:marLeft w:val="360"/>
                  <w:marRight w:val="96"/>
                  <w:marTop w:val="0"/>
                  <w:marBottom w:val="0"/>
                  <w:divBdr>
                    <w:top w:val="none" w:sz="0" w:space="0" w:color="auto"/>
                    <w:left w:val="none" w:sz="0" w:space="0" w:color="auto"/>
                    <w:bottom w:val="none" w:sz="0" w:space="0" w:color="auto"/>
                    <w:right w:val="none" w:sz="0" w:space="0" w:color="auto"/>
                  </w:divBdr>
                </w:div>
              </w:divsChild>
            </w:div>
            <w:div w:id="36855910">
              <w:marLeft w:val="0"/>
              <w:marRight w:val="0"/>
              <w:marTop w:val="0"/>
              <w:marBottom w:val="240"/>
              <w:divBdr>
                <w:top w:val="none" w:sz="0" w:space="0" w:color="auto"/>
                <w:left w:val="none" w:sz="0" w:space="0" w:color="auto"/>
                <w:bottom w:val="none" w:sz="0" w:space="0" w:color="auto"/>
                <w:right w:val="none" w:sz="0" w:space="0" w:color="auto"/>
              </w:divBdr>
              <w:divsChild>
                <w:div w:id="639770379">
                  <w:marLeft w:val="360"/>
                  <w:marRight w:val="96"/>
                  <w:marTop w:val="0"/>
                  <w:marBottom w:val="0"/>
                  <w:divBdr>
                    <w:top w:val="none" w:sz="0" w:space="0" w:color="auto"/>
                    <w:left w:val="none" w:sz="0" w:space="0" w:color="auto"/>
                    <w:bottom w:val="none" w:sz="0" w:space="0" w:color="auto"/>
                    <w:right w:val="none" w:sz="0" w:space="0" w:color="auto"/>
                  </w:divBdr>
                </w:div>
              </w:divsChild>
            </w:div>
            <w:div w:id="46689756">
              <w:marLeft w:val="0"/>
              <w:marRight w:val="0"/>
              <w:marTop w:val="0"/>
              <w:marBottom w:val="240"/>
              <w:divBdr>
                <w:top w:val="none" w:sz="0" w:space="0" w:color="auto"/>
                <w:left w:val="none" w:sz="0" w:space="0" w:color="auto"/>
                <w:bottom w:val="none" w:sz="0" w:space="0" w:color="auto"/>
                <w:right w:val="none" w:sz="0" w:space="0" w:color="auto"/>
              </w:divBdr>
              <w:divsChild>
                <w:div w:id="211964016">
                  <w:marLeft w:val="360"/>
                  <w:marRight w:val="96"/>
                  <w:marTop w:val="0"/>
                  <w:marBottom w:val="0"/>
                  <w:divBdr>
                    <w:top w:val="none" w:sz="0" w:space="0" w:color="auto"/>
                    <w:left w:val="none" w:sz="0" w:space="0" w:color="auto"/>
                    <w:bottom w:val="none" w:sz="0" w:space="0" w:color="auto"/>
                    <w:right w:val="none" w:sz="0" w:space="0" w:color="auto"/>
                  </w:divBdr>
                </w:div>
              </w:divsChild>
            </w:div>
            <w:div w:id="92284447">
              <w:marLeft w:val="0"/>
              <w:marRight w:val="0"/>
              <w:marTop w:val="0"/>
              <w:marBottom w:val="240"/>
              <w:divBdr>
                <w:top w:val="none" w:sz="0" w:space="0" w:color="auto"/>
                <w:left w:val="none" w:sz="0" w:space="0" w:color="auto"/>
                <w:bottom w:val="none" w:sz="0" w:space="0" w:color="auto"/>
                <w:right w:val="none" w:sz="0" w:space="0" w:color="auto"/>
              </w:divBdr>
              <w:divsChild>
                <w:div w:id="21788487">
                  <w:marLeft w:val="360"/>
                  <w:marRight w:val="96"/>
                  <w:marTop w:val="0"/>
                  <w:marBottom w:val="0"/>
                  <w:divBdr>
                    <w:top w:val="none" w:sz="0" w:space="0" w:color="auto"/>
                    <w:left w:val="none" w:sz="0" w:space="0" w:color="auto"/>
                    <w:bottom w:val="none" w:sz="0" w:space="0" w:color="auto"/>
                    <w:right w:val="none" w:sz="0" w:space="0" w:color="auto"/>
                  </w:divBdr>
                </w:div>
              </w:divsChild>
            </w:div>
            <w:div w:id="109132786">
              <w:marLeft w:val="0"/>
              <w:marRight w:val="0"/>
              <w:marTop w:val="0"/>
              <w:marBottom w:val="240"/>
              <w:divBdr>
                <w:top w:val="none" w:sz="0" w:space="0" w:color="auto"/>
                <w:left w:val="none" w:sz="0" w:space="0" w:color="auto"/>
                <w:bottom w:val="none" w:sz="0" w:space="0" w:color="auto"/>
                <w:right w:val="none" w:sz="0" w:space="0" w:color="auto"/>
              </w:divBdr>
              <w:divsChild>
                <w:div w:id="982779985">
                  <w:marLeft w:val="360"/>
                  <w:marRight w:val="96"/>
                  <w:marTop w:val="0"/>
                  <w:marBottom w:val="0"/>
                  <w:divBdr>
                    <w:top w:val="none" w:sz="0" w:space="0" w:color="auto"/>
                    <w:left w:val="none" w:sz="0" w:space="0" w:color="auto"/>
                    <w:bottom w:val="none" w:sz="0" w:space="0" w:color="auto"/>
                    <w:right w:val="none" w:sz="0" w:space="0" w:color="auto"/>
                  </w:divBdr>
                </w:div>
              </w:divsChild>
            </w:div>
            <w:div w:id="233245423">
              <w:marLeft w:val="0"/>
              <w:marRight w:val="0"/>
              <w:marTop w:val="0"/>
              <w:marBottom w:val="240"/>
              <w:divBdr>
                <w:top w:val="none" w:sz="0" w:space="0" w:color="auto"/>
                <w:left w:val="none" w:sz="0" w:space="0" w:color="auto"/>
                <w:bottom w:val="none" w:sz="0" w:space="0" w:color="auto"/>
                <w:right w:val="none" w:sz="0" w:space="0" w:color="auto"/>
              </w:divBdr>
              <w:divsChild>
                <w:div w:id="649791092">
                  <w:marLeft w:val="360"/>
                  <w:marRight w:val="96"/>
                  <w:marTop w:val="0"/>
                  <w:marBottom w:val="0"/>
                  <w:divBdr>
                    <w:top w:val="none" w:sz="0" w:space="0" w:color="auto"/>
                    <w:left w:val="none" w:sz="0" w:space="0" w:color="auto"/>
                    <w:bottom w:val="none" w:sz="0" w:space="0" w:color="auto"/>
                    <w:right w:val="none" w:sz="0" w:space="0" w:color="auto"/>
                  </w:divBdr>
                </w:div>
              </w:divsChild>
            </w:div>
            <w:div w:id="291177627">
              <w:marLeft w:val="0"/>
              <w:marRight w:val="0"/>
              <w:marTop w:val="0"/>
              <w:marBottom w:val="240"/>
              <w:divBdr>
                <w:top w:val="none" w:sz="0" w:space="0" w:color="auto"/>
                <w:left w:val="none" w:sz="0" w:space="0" w:color="auto"/>
                <w:bottom w:val="none" w:sz="0" w:space="0" w:color="auto"/>
                <w:right w:val="none" w:sz="0" w:space="0" w:color="auto"/>
              </w:divBdr>
              <w:divsChild>
                <w:div w:id="669716251">
                  <w:marLeft w:val="360"/>
                  <w:marRight w:val="96"/>
                  <w:marTop w:val="0"/>
                  <w:marBottom w:val="0"/>
                  <w:divBdr>
                    <w:top w:val="none" w:sz="0" w:space="0" w:color="auto"/>
                    <w:left w:val="none" w:sz="0" w:space="0" w:color="auto"/>
                    <w:bottom w:val="none" w:sz="0" w:space="0" w:color="auto"/>
                    <w:right w:val="none" w:sz="0" w:space="0" w:color="auto"/>
                  </w:divBdr>
                </w:div>
              </w:divsChild>
            </w:div>
            <w:div w:id="322584516">
              <w:marLeft w:val="0"/>
              <w:marRight w:val="0"/>
              <w:marTop w:val="0"/>
              <w:marBottom w:val="240"/>
              <w:divBdr>
                <w:top w:val="none" w:sz="0" w:space="0" w:color="auto"/>
                <w:left w:val="none" w:sz="0" w:space="0" w:color="auto"/>
                <w:bottom w:val="none" w:sz="0" w:space="0" w:color="auto"/>
                <w:right w:val="none" w:sz="0" w:space="0" w:color="auto"/>
              </w:divBdr>
              <w:divsChild>
                <w:div w:id="136921780">
                  <w:marLeft w:val="360"/>
                  <w:marRight w:val="96"/>
                  <w:marTop w:val="0"/>
                  <w:marBottom w:val="0"/>
                  <w:divBdr>
                    <w:top w:val="none" w:sz="0" w:space="0" w:color="auto"/>
                    <w:left w:val="none" w:sz="0" w:space="0" w:color="auto"/>
                    <w:bottom w:val="none" w:sz="0" w:space="0" w:color="auto"/>
                    <w:right w:val="none" w:sz="0" w:space="0" w:color="auto"/>
                  </w:divBdr>
                </w:div>
              </w:divsChild>
            </w:div>
            <w:div w:id="325937497">
              <w:marLeft w:val="0"/>
              <w:marRight w:val="0"/>
              <w:marTop w:val="0"/>
              <w:marBottom w:val="240"/>
              <w:divBdr>
                <w:top w:val="none" w:sz="0" w:space="0" w:color="auto"/>
                <w:left w:val="none" w:sz="0" w:space="0" w:color="auto"/>
                <w:bottom w:val="none" w:sz="0" w:space="0" w:color="auto"/>
                <w:right w:val="none" w:sz="0" w:space="0" w:color="auto"/>
              </w:divBdr>
              <w:divsChild>
                <w:div w:id="2026666690">
                  <w:marLeft w:val="360"/>
                  <w:marRight w:val="96"/>
                  <w:marTop w:val="0"/>
                  <w:marBottom w:val="0"/>
                  <w:divBdr>
                    <w:top w:val="none" w:sz="0" w:space="0" w:color="auto"/>
                    <w:left w:val="none" w:sz="0" w:space="0" w:color="auto"/>
                    <w:bottom w:val="none" w:sz="0" w:space="0" w:color="auto"/>
                    <w:right w:val="none" w:sz="0" w:space="0" w:color="auto"/>
                  </w:divBdr>
                </w:div>
              </w:divsChild>
            </w:div>
            <w:div w:id="363406934">
              <w:marLeft w:val="0"/>
              <w:marRight w:val="0"/>
              <w:marTop w:val="0"/>
              <w:marBottom w:val="240"/>
              <w:divBdr>
                <w:top w:val="none" w:sz="0" w:space="0" w:color="auto"/>
                <w:left w:val="none" w:sz="0" w:space="0" w:color="auto"/>
                <w:bottom w:val="none" w:sz="0" w:space="0" w:color="auto"/>
                <w:right w:val="none" w:sz="0" w:space="0" w:color="auto"/>
              </w:divBdr>
              <w:divsChild>
                <w:div w:id="1253900999">
                  <w:marLeft w:val="360"/>
                  <w:marRight w:val="96"/>
                  <w:marTop w:val="0"/>
                  <w:marBottom w:val="0"/>
                  <w:divBdr>
                    <w:top w:val="none" w:sz="0" w:space="0" w:color="auto"/>
                    <w:left w:val="none" w:sz="0" w:space="0" w:color="auto"/>
                    <w:bottom w:val="none" w:sz="0" w:space="0" w:color="auto"/>
                    <w:right w:val="none" w:sz="0" w:space="0" w:color="auto"/>
                  </w:divBdr>
                </w:div>
              </w:divsChild>
            </w:div>
            <w:div w:id="398866167">
              <w:marLeft w:val="0"/>
              <w:marRight w:val="0"/>
              <w:marTop w:val="0"/>
              <w:marBottom w:val="240"/>
              <w:divBdr>
                <w:top w:val="none" w:sz="0" w:space="0" w:color="auto"/>
                <w:left w:val="none" w:sz="0" w:space="0" w:color="auto"/>
                <w:bottom w:val="none" w:sz="0" w:space="0" w:color="auto"/>
                <w:right w:val="none" w:sz="0" w:space="0" w:color="auto"/>
              </w:divBdr>
              <w:divsChild>
                <w:div w:id="397245206">
                  <w:marLeft w:val="360"/>
                  <w:marRight w:val="96"/>
                  <w:marTop w:val="0"/>
                  <w:marBottom w:val="0"/>
                  <w:divBdr>
                    <w:top w:val="none" w:sz="0" w:space="0" w:color="auto"/>
                    <w:left w:val="none" w:sz="0" w:space="0" w:color="auto"/>
                    <w:bottom w:val="none" w:sz="0" w:space="0" w:color="auto"/>
                    <w:right w:val="none" w:sz="0" w:space="0" w:color="auto"/>
                  </w:divBdr>
                </w:div>
              </w:divsChild>
            </w:div>
            <w:div w:id="429132594">
              <w:marLeft w:val="0"/>
              <w:marRight w:val="0"/>
              <w:marTop w:val="0"/>
              <w:marBottom w:val="240"/>
              <w:divBdr>
                <w:top w:val="none" w:sz="0" w:space="0" w:color="auto"/>
                <w:left w:val="none" w:sz="0" w:space="0" w:color="auto"/>
                <w:bottom w:val="none" w:sz="0" w:space="0" w:color="auto"/>
                <w:right w:val="none" w:sz="0" w:space="0" w:color="auto"/>
              </w:divBdr>
              <w:divsChild>
                <w:div w:id="1370910505">
                  <w:marLeft w:val="360"/>
                  <w:marRight w:val="96"/>
                  <w:marTop w:val="0"/>
                  <w:marBottom w:val="0"/>
                  <w:divBdr>
                    <w:top w:val="none" w:sz="0" w:space="0" w:color="auto"/>
                    <w:left w:val="none" w:sz="0" w:space="0" w:color="auto"/>
                    <w:bottom w:val="none" w:sz="0" w:space="0" w:color="auto"/>
                    <w:right w:val="none" w:sz="0" w:space="0" w:color="auto"/>
                  </w:divBdr>
                </w:div>
              </w:divsChild>
            </w:div>
            <w:div w:id="441801188">
              <w:marLeft w:val="0"/>
              <w:marRight w:val="0"/>
              <w:marTop w:val="0"/>
              <w:marBottom w:val="0"/>
              <w:divBdr>
                <w:top w:val="none" w:sz="0" w:space="0" w:color="auto"/>
                <w:left w:val="none" w:sz="0" w:space="0" w:color="auto"/>
                <w:bottom w:val="none" w:sz="0" w:space="0" w:color="auto"/>
                <w:right w:val="none" w:sz="0" w:space="0" w:color="auto"/>
              </w:divBdr>
              <w:divsChild>
                <w:div w:id="2000842207">
                  <w:marLeft w:val="360"/>
                  <w:marRight w:val="96"/>
                  <w:marTop w:val="0"/>
                  <w:marBottom w:val="0"/>
                  <w:divBdr>
                    <w:top w:val="none" w:sz="0" w:space="0" w:color="auto"/>
                    <w:left w:val="none" w:sz="0" w:space="0" w:color="auto"/>
                    <w:bottom w:val="none" w:sz="0" w:space="0" w:color="auto"/>
                    <w:right w:val="none" w:sz="0" w:space="0" w:color="auto"/>
                  </w:divBdr>
                </w:div>
              </w:divsChild>
            </w:div>
            <w:div w:id="444662094">
              <w:marLeft w:val="0"/>
              <w:marRight w:val="0"/>
              <w:marTop w:val="0"/>
              <w:marBottom w:val="240"/>
              <w:divBdr>
                <w:top w:val="none" w:sz="0" w:space="0" w:color="auto"/>
                <w:left w:val="none" w:sz="0" w:space="0" w:color="auto"/>
                <w:bottom w:val="none" w:sz="0" w:space="0" w:color="auto"/>
                <w:right w:val="none" w:sz="0" w:space="0" w:color="auto"/>
              </w:divBdr>
              <w:divsChild>
                <w:div w:id="1337072816">
                  <w:marLeft w:val="360"/>
                  <w:marRight w:val="96"/>
                  <w:marTop w:val="0"/>
                  <w:marBottom w:val="0"/>
                  <w:divBdr>
                    <w:top w:val="none" w:sz="0" w:space="0" w:color="auto"/>
                    <w:left w:val="none" w:sz="0" w:space="0" w:color="auto"/>
                    <w:bottom w:val="none" w:sz="0" w:space="0" w:color="auto"/>
                    <w:right w:val="none" w:sz="0" w:space="0" w:color="auto"/>
                  </w:divBdr>
                </w:div>
              </w:divsChild>
            </w:div>
            <w:div w:id="449780881">
              <w:marLeft w:val="0"/>
              <w:marRight w:val="0"/>
              <w:marTop w:val="0"/>
              <w:marBottom w:val="240"/>
              <w:divBdr>
                <w:top w:val="none" w:sz="0" w:space="0" w:color="auto"/>
                <w:left w:val="none" w:sz="0" w:space="0" w:color="auto"/>
                <w:bottom w:val="none" w:sz="0" w:space="0" w:color="auto"/>
                <w:right w:val="none" w:sz="0" w:space="0" w:color="auto"/>
              </w:divBdr>
              <w:divsChild>
                <w:div w:id="1484199671">
                  <w:marLeft w:val="360"/>
                  <w:marRight w:val="96"/>
                  <w:marTop w:val="0"/>
                  <w:marBottom w:val="0"/>
                  <w:divBdr>
                    <w:top w:val="none" w:sz="0" w:space="0" w:color="auto"/>
                    <w:left w:val="none" w:sz="0" w:space="0" w:color="auto"/>
                    <w:bottom w:val="none" w:sz="0" w:space="0" w:color="auto"/>
                    <w:right w:val="none" w:sz="0" w:space="0" w:color="auto"/>
                  </w:divBdr>
                </w:div>
              </w:divsChild>
            </w:div>
            <w:div w:id="450831290">
              <w:marLeft w:val="0"/>
              <w:marRight w:val="0"/>
              <w:marTop w:val="0"/>
              <w:marBottom w:val="240"/>
              <w:divBdr>
                <w:top w:val="none" w:sz="0" w:space="0" w:color="auto"/>
                <w:left w:val="none" w:sz="0" w:space="0" w:color="auto"/>
                <w:bottom w:val="none" w:sz="0" w:space="0" w:color="auto"/>
                <w:right w:val="none" w:sz="0" w:space="0" w:color="auto"/>
              </w:divBdr>
              <w:divsChild>
                <w:div w:id="1773436107">
                  <w:marLeft w:val="360"/>
                  <w:marRight w:val="96"/>
                  <w:marTop w:val="0"/>
                  <w:marBottom w:val="0"/>
                  <w:divBdr>
                    <w:top w:val="none" w:sz="0" w:space="0" w:color="auto"/>
                    <w:left w:val="none" w:sz="0" w:space="0" w:color="auto"/>
                    <w:bottom w:val="none" w:sz="0" w:space="0" w:color="auto"/>
                    <w:right w:val="none" w:sz="0" w:space="0" w:color="auto"/>
                  </w:divBdr>
                </w:div>
              </w:divsChild>
            </w:div>
            <w:div w:id="469982717">
              <w:marLeft w:val="0"/>
              <w:marRight w:val="0"/>
              <w:marTop w:val="0"/>
              <w:marBottom w:val="240"/>
              <w:divBdr>
                <w:top w:val="none" w:sz="0" w:space="0" w:color="auto"/>
                <w:left w:val="none" w:sz="0" w:space="0" w:color="auto"/>
                <w:bottom w:val="none" w:sz="0" w:space="0" w:color="auto"/>
                <w:right w:val="none" w:sz="0" w:space="0" w:color="auto"/>
              </w:divBdr>
              <w:divsChild>
                <w:div w:id="85613628">
                  <w:marLeft w:val="360"/>
                  <w:marRight w:val="96"/>
                  <w:marTop w:val="0"/>
                  <w:marBottom w:val="0"/>
                  <w:divBdr>
                    <w:top w:val="none" w:sz="0" w:space="0" w:color="auto"/>
                    <w:left w:val="none" w:sz="0" w:space="0" w:color="auto"/>
                    <w:bottom w:val="none" w:sz="0" w:space="0" w:color="auto"/>
                    <w:right w:val="none" w:sz="0" w:space="0" w:color="auto"/>
                  </w:divBdr>
                </w:div>
              </w:divsChild>
            </w:div>
            <w:div w:id="473259444">
              <w:marLeft w:val="0"/>
              <w:marRight w:val="0"/>
              <w:marTop w:val="0"/>
              <w:marBottom w:val="240"/>
              <w:divBdr>
                <w:top w:val="none" w:sz="0" w:space="0" w:color="auto"/>
                <w:left w:val="none" w:sz="0" w:space="0" w:color="auto"/>
                <w:bottom w:val="none" w:sz="0" w:space="0" w:color="auto"/>
                <w:right w:val="none" w:sz="0" w:space="0" w:color="auto"/>
              </w:divBdr>
              <w:divsChild>
                <w:div w:id="923612808">
                  <w:marLeft w:val="360"/>
                  <w:marRight w:val="96"/>
                  <w:marTop w:val="0"/>
                  <w:marBottom w:val="0"/>
                  <w:divBdr>
                    <w:top w:val="none" w:sz="0" w:space="0" w:color="auto"/>
                    <w:left w:val="none" w:sz="0" w:space="0" w:color="auto"/>
                    <w:bottom w:val="none" w:sz="0" w:space="0" w:color="auto"/>
                    <w:right w:val="none" w:sz="0" w:space="0" w:color="auto"/>
                  </w:divBdr>
                </w:div>
              </w:divsChild>
            </w:div>
            <w:div w:id="494614505">
              <w:marLeft w:val="0"/>
              <w:marRight w:val="0"/>
              <w:marTop w:val="0"/>
              <w:marBottom w:val="240"/>
              <w:divBdr>
                <w:top w:val="none" w:sz="0" w:space="0" w:color="auto"/>
                <w:left w:val="none" w:sz="0" w:space="0" w:color="auto"/>
                <w:bottom w:val="none" w:sz="0" w:space="0" w:color="auto"/>
                <w:right w:val="none" w:sz="0" w:space="0" w:color="auto"/>
              </w:divBdr>
              <w:divsChild>
                <w:div w:id="275407669">
                  <w:marLeft w:val="360"/>
                  <w:marRight w:val="96"/>
                  <w:marTop w:val="0"/>
                  <w:marBottom w:val="0"/>
                  <w:divBdr>
                    <w:top w:val="none" w:sz="0" w:space="0" w:color="auto"/>
                    <w:left w:val="none" w:sz="0" w:space="0" w:color="auto"/>
                    <w:bottom w:val="none" w:sz="0" w:space="0" w:color="auto"/>
                    <w:right w:val="none" w:sz="0" w:space="0" w:color="auto"/>
                  </w:divBdr>
                </w:div>
              </w:divsChild>
            </w:div>
            <w:div w:id="507062711">
              <w:marLeft w:val="0"/>
              <w:marRight w:val="0"/>
              <w:marTop w:val="0"/>
              <w:marBottom w:val="240"/>
              <w:divBdr>
                <w:top w:val="none" w:sz="0" w:space="0" w:color="auto"/>
                <w:left w:val="none" w:sz="0" w:space="0" w:color="auto"/>
                <w:bottom w:val="none" w:sz="0" w:space="0" w:color="auto"/>
                <w:right w:val="none" w:sz="0" w:space="0" w:color="auto"/>
              </w:divBdr>
              <w:divsChild>
                <w:div w:id="1437795656">
                  <w:marLeft w:val="360"/>
                  <w:marRight w:val="96"/>
                  <w:marTop w:val="0"/>
                  <w:marBottom w:val="0"/>
                  <w:divBdr>
                    <w:top w:val="none" w:sz="0" w:space="0" w:color="auto"/>
                    <w:left w:val="none" w:sz="0" w:space="0" w:color="auto"/>
                    <w:bottom w:val="none" w:sz="0" w:space="0" w:color="auto"/>
                    <w:right w:val="none" w:sz="0" w:space="0" w:color="auto"/>
                  </w:divBdr>
                </w:div>
              </w:divsChild>
            </w:div>
            <w:div w:id="581840764">
              <w:marLeft w:val="0"/>
              <w:marRight w:val="0"/>
              <w:marTop w:val="0"/>
              <w:marBottom w:val="240"/>
              <w:divBdr>
                <w:top w:val="none" w:sz="0" w:space="0" w:color="auto"/>
                <w:left w:val="none" w:sz="0" w:space="0" w:color="auto"/>
                <w:bottom w:val="none" w:sz="0" w:space="0" w:color="auto"/>
                <w:right w:val="none" w:sz="0" w:space="0" w:color="auto"/>
              </w:divBdr>
              <w:divsChild>
                <w:div w:id="1499886888">
                  <w:marLeft w:val="360"/>
                  <w:marRight w:val="96"/>
                  <w:marTop w:val="0"/>
                  <w:marBottom w:val="0"/>
                  <w:divBdr>
                    <w:top w:val="none" w:sz="0" w:space="0" w:color="auto"/>
                    <w:left w:val="none" w:sz="0" w:space="0" w:color="auto"/>
                    <w:bottom w:val="none" w:sz="0" w:space="0" w:color="auto"/>
                    <w:right w:val="none" w:sz="0" w:space="0" w:color="auto"/>
                  </w:divBdr>
                </w:div>
              </w:divsChild>
            </w:div>
            <w:div w:id="591400234">
              <w:marLeft w:val="0"/>
              <w:marRight w:val="0"/>
              <w:marTop w:val="0"/>
              <w:marBottom w:val="240"/>
              <w:divBdr>
                <w:top w:val="none" w:sz="0" w:space="0" w:color="auto"/>
                <w:left w:val="none" w:sz="0" w:space="0" w:color="auto"/>
                <w:bottom w:val="none" w:sz="0" w:space="0" w:color="auto"/>
                <w:right w:val="none" w:sz="0" w:space="0" w:color="auto"/>
              </w:divBdr>
              <w:divsChild>
                <w:div w:id="126360208">
                  <w:marLeft w:val="360"/>
                  <w:marRight w:val="96"/>
                  <w:marTop w:val="0"/>
                  <w:marBottom w:val="0"/>
                  <w:divBdr>
                    <w:top w:val="none" w:sz="0" w:space="0" w:color="auto"/>
                    <w:left w:val="none" w:sz="0" w:space="0" w:color="auto"/>
                    <w:bottom w:val="none" w:sz="0" w:space="0" w:color="auto"/>
                    <w:right w:val="none" w:sz="0" w:space="0" w:color="auto"/>
                  </w:divBdr>
                </w:div>
              </w:divsChild>
            </w:div>
            <w:div w:id="592713336">
              <w:marLeft w:val="0"/>
              <w:marRight w:val="0"/>
              <w:marTop w:val="0"/>
              <w:marBottom w:val="240"/>
              <w:divBdr>
                <w:top w:val="none" w:sz="0" w:space="0" w:color="auto"/>
                <w:left w:val="none" w:sz="0" w:space="0" w:color="auto"/>
                <w:bottom w:val="none" w:sz="0" w:space="0" w:color="auto"/>
                <w:right w:val="none" w:sz="0" w:space="0" w:color="auto"/>
              </w:divBdr>
              <w:divsChild>
                <w:div w:id="1743328702">
                  <w:marLeft w:val="360"/>
                  <w:marRight w:val="96"/>
                  <w:marTop w:val="0"/>
                  <w:marBottom w:val="0"/>
                  <w:divBdr>
                    <w:top w:val="none" w:sz="0" w:space="0" w:color="auto"/>
                    <w:left w:val="none" w:sz="0" w:space="0" w:color="auto"/>
                    <w:bottom w:val="none" w:sz="0" w:space="0" w:color="auto"/>
                    <w:right w:val="none" w:sz="0" w:space="0" w:color="auto"/>
                  </w:divBdr>
                </w:div>
              </w:divsChild>
            </w:div>
            <w:div w:id="691613470">
              <w:marLeft w:val="0"/>
              <w:marRight w:val="0"/>
              <w:marTop w:val="0"/>
              <w:marBottom w:val="240"/>
              <w:divBdr>
                <w:top w:val="none" w:sz="0" w:space="0" w:color="auto"/>
                <w:left w:val="none" w:sz="0" w:space="0" w:color="auto"/>
                <w:bottom w:val="none" w:sz="0" w:space="0" w:color="auto"/>
                <w:right w:val="none" w:sz="0" w:space="0" w:color="auto"/>
              </w:divBdr>
              <w:divsChild>
                <w:div w:id="1983727388">
                  <w:marLeft w:val="360"/>
                  <w:marRight w:val="96"/>
                  <w:marTop w:val="0"/>
                  <w:marBottom w:val="0"/>
                  <w:divBdr>
                    <w:top w:val="none" w:sz="0" w:space="0" w:color="auto"/>
                    <w:left w:val="none" w:sz="0" w:space="0" w:color="auto"/>
                    <w:bottom w:val="none" w:sz="0" w:space="0" w:color="auto"/>
                    <w:right w:val="none" w:sz="0" w:space="0" w:color="auto"/>
                  </w:divBdr>
                </w:div>
              </w:divsChild>
            </w:div>
            <w:div w:id="731659284">
              <w:marLeft w:val="0"/>
              <w:marRight w:val="0"/>
              <w:marTop w:val="0"/>
              <w:marBottom w:val="240"/>
              <w:divBdr>
                <w:top w:val="none" w:sz="0" w:space="0" w:color="auto"/>
                <w:left w:val="none" w:sz="0" w:space="0" w:color="auto"/>
                <w:bottom w:val="none" w:sz="0" w:space="0" w:color="auto"/>
                <w:right w:val="none" w:sz="0" w:space="0" w:color="auto"/>
              </w:divBdr>
              <w:divsChild>
                <w:div w:id="748380975">
                  <w:marLeft w:val="360"/>
                  <w:marRight w:val="96"/>
                  <w:marTop w:val="0"/>
                  <w:marBottom w:val="0"/>
                  <w:divBdr>
                    <w:top w:val="none" w:sz="0" w:space="0" w:color="auto"/>
                    <w:left w:val="none" w:sz="0" w:space="0" w:color="auto"/>
                    <w:bottom w:val="none" w:sz="0" w:space="0" w:color="auto"/>
                    <w:right w:val="none" w:sz="0" w:space="0" w:color="auto"/>
                  </w:divBdr>
                </w:div>
              </w:divsChild>
            </w:div>
            <w:div w:id="790367187">
              <w:marLeft w:val="0"/>
              <w:marRight w:val="0"/>
              <w:marTop w:val="0"/>
              <w:marBottom w:val="240"/>
              <w:divBdr>
                <w:top w:val="none" w:sz="0" w:space="0" w:color="auto"/>
                <w:left w:val="none" w:sz="0" w:space="0" w:color="auto"/>
                <w:bottom w:val="none" w:sz="0" w:space="0" w:color="auto"/>
                <w:right w:val="none" w:sz="0" w:space="0" w:color="auto"/>
              </w:divBdr>
              <w:divsChild>
                <w:div w:id="1653026560">
                  <w:marLeft w:val="360"/>
                  <w:marRight w:val="96"/>
                  <w:marTop w:val="0"/>
                  <w:marBottom w:val="0"/>
                  <w:divBdr>
                    <w:top w:val="none" w:sz="0" w:space="0" w:color="auto"/>
                    <w:left w:val="none" w:sz="0" w:space="0" w:color="auto"/>
                    <w:bottom w:val="none" w:sz="0" w:space="0" w:color="auto"/>
                    <w:right w:val="none" w:sz="0" w:space="0" w:color="auto"/>
                  </w:divBdr>
                </w:div>
              </w:divsChild>
            </w:div>
            <w:div w:id="827869044">
              <w:marLeft w:val="0"/>
              <w:marRight w:val="0"/>
              <w:marTop w:val="0"/>
              <w:marBottom w:val="240"/>
              <w:divBdr>
                <w:top w:val="none" w:sz="0" w:space="0" w:color="auto"/>
                <w:left w:val="none" w:sz="0" w:space="0" w:color="auto"/>
                <w:bottom w:val="none" w:sz="0" w:space="0" w:color="auto"/>
                <w:right w:val="none" w:sz="0" w:space="0" w:color="auto"/>
              </w:divBdr>
              <w:divsChild>
                <w:div w:id="924606862">
                  <w:marLeft w:val="360"/>
                  <w:marRight w:val="96"/>
                  <w:marTop w:val="0"/>
                  <w:marBottom w:val="0"/>
                  <w:divBdr>
                    <w:top w:val="none" w:sz="0" w:space="0" w:color="auto"/>
                    <w:left w:val="none" w:sz="0" w:space="0" w:color="auto"/>
                    <w:bottom w:val="none" w:sz="0" w:space="0" w:color="auto"/>
                    <w:right w:val="none" w:sz="0" w:space="0" w:color="auto"/>
                  </w:divBdr>
                </w:div>
              </w:divsChild>
            </w:div>
            <w:div w:id="861940624">
              <w:marLeft w:val="0"/>
              <w:marRight w:val="0"/>
              <w:marTop w:val="0"/>
              <w:marBottom w:val="240"/>
              <w:divBdr>
                <w:top w:val="none" w:sz="0" w:space="0" w:color="auto"/>
                <w:left w:val="none" w:sz="0" w:space="0" w:color="auto"/>
                <w:bottom w:val="none" w:sz="0" w:space="0" w:color="auto"/>
                <w:right w:val="none" w:sz="0" w:space="0" w:color="auto"/>
              </w:divBdr>
              <w:divsChild>
                <w:div w:id="342779786">
                  <w:marLeft w:val="360"/>
                  <w:marRight w:val="96"/>
                  <w:marTop w:val="0"/>
                  <w:marBottom w:val="0"/>
                  <w:divBdr>
                    <w:top w:val="none" w:sz="0" w:space="0" w:color="auto"/>
                    <w:left w:val="none" w:sz="0" w:space="0" w:color="auto"/>
                    <w:bottom w:val="none" w:sz="0" w:space="0" w:color="auto"/>
                    <w:right w:val="none" w:sz="0" w:space="0" w:color="auto"/>
                  </w:divBdr>
                </w:div>
              </w:divsChild>
            </w:div>
            <w:div w:id="939408831">
              <w:marLeft w:val="0"/>
              <w:marRight w:val="0"/>
              <w:marTop w:val="0"/>
              <w:marBottom w:val="240"/>
              <w:divBdr>
                <w:top w:val="none" w:sz="0" w:space="0" w:color="auto"/>
                <w:left w:val="none" w:sz="0" w:space="0" w:color="auto"/>
                <w:bottom w:val="none" w:sz="0" w:space="0" w:color="auto"/>
                <w:right w:val="none" w:sz="0" w:space="0" w:color="auto"/>
              </w:divBdr>
              <w:divsChild>
                <w:div w:id="107507895">
                  <w:marLeft w:val="360"/>
                  <w:marRight w:val="96"/>
                  <w:marTop w:val="0"/>
                  <w:marBottom w:val="0"/>
                  <w:divBdr>
                    <w:top w:val="none" w:sz="0" w:space="0" w:color="auto"/>
                    <w:left w:val="none" w:sz="0" w:space="0" w:color="auto"/>
                    <w:bottom w:val="none" w:sz="0" w:space="0" w:color="auto"/>
                    <w:right w:val="none" w:sz="0" w:space="0" w:color="auto"/>
                  </w:divBdr>
                </w:div>
              </w:divsChild>
            </w:div>
            <w:div w:id="1046368270">
              <w:marLeft w:val="0"/>
              <w:marRight w:val="0"/>
              <w:marTop w:val="0"/>
              <w:marBottom w:val="240"/>
              <w:divBdr>
                <w:top w:val="none" w:sz="0" w:space="0" w:color="auto"/>
                <w:left w:val="none" w:sz="0" w:space="0" w:color="auto"/>
                <w:bottom w:val="none" w:sz="0" w:space="0" w:color="auto"/>
                <w:right w:val="none" w:sz="0" w:space="0" w:color="auto"/>
              </w:divBdr>
              <w:divsChild>
                <w:div w:id="1314065931">
                  <w:marLeft w:val="360"/>
                  <w:marRight w:val="96"/>
                  <w:marTop w:val="0"/>
                  <w:marBottom w:val="0"/>
                  <w:divBdr>
                    <w:top w:val="none" w:sz="0" w:space="0" w:color="auto"/>
                    <w:left w:val="none" w:sz="0" w:space="0" w:color="auto"/>
                    <w:bottom w:val="none" w:sz="0" w:space="0" w:color="auto"/>
                    <w:right w:val="none" w:sz="0" w:space="0" w:color="auto"/>
                  </w:divBdr>
                </w:div>
              </w:divsChild>
            </w:div>
            <w:div w:id="1090272619">
              <w:marLeft w:val="0"/>
              <w:marRight w:val="0"/>
              <w:marTop w:val="0"/>
              <w:marBottom w:val="240"/>
              <w:divBdr>
                <w:top w:val="none" w:sz="0" w:space="0" w:color="auto"/>
                <w:left w:val="none" w:sz="0" w:space="0" w:color="auto"/>
                <w:bottom w:val="none" w:sz="0" w:space="0" w:color="auto"/>
                <w:right w:val="none" w:sz="0" w:space="0" w:color="auto"/>
              </w:divBdr>
              <w:divsChild>
                <w:div w:id="1633898984">
                  <w:marLeft w:val="360"/>
                  <w:marRight w:val="96"/>
                  <w:marTop w:val="0"/>
                  <w:marBottom w:val="0"/>
                  <w:divBdr>
                    <w:top w:val="none" w:sz="0" w:space="0" w:color="auto"/>
                    <w:left w:val="none" w:sz="0" w:space="0" w:color="auto"/>
                    <w:bottom w:val="none" w:sz="0" w:space="0" w:color="auto"/>
                    <w:right w:val="none" w:sz="0" w:space="0" w:color="auto"/>
                  </w:divBdr>
                </w:div>
              </w:divsChild>
            </w:div>
            <w:div w:id="1098402445">
              <w:marLeft w:val="0"/>
              <w:marRight w:val="0"/>
              <w:marTop w:val="0"/>
              <w:marBottom w:val="240"/>
              <w:divBdr>
                <w:top w:val="none" w:sz="0" w:space="0" w:color="auto"/>
                <w:left w:val="none" w:sz="0" w:space="0" w:color="auto"/>
                <w:bottom w:val="none" w:sz="0" w:space="0" w:color="auto"/>
                <w:right w:val="none" w:sz="0" w:space="0" w:color="auto"/>
              </w:divBdr>
              <w:divsChild>
                <w:div w:id="817458302">
                  <w:marLeft w:val="360"/>
                  <w:marRight w:val="96"/>
                  <w:marTop w:val="0"/>
                  <w:marBottom w:val="0"/>
                  <w:divBdr>
                    <w:top w:val="none" w:sz="0" w:space="0" w:color="auto"/>
                    <w:left w:val="none" w:sz="0" w:space="0" w:color="auto"/>
                    <w:bottom w:val="none" w:sz="0" w:space="0" w:color="auto"/>
                    <w:right w:val="none" w:sz="0" w:space="0" w:color="auto"/>
                  </w:divBdr>
                </w:div>
              </w:divsChild>
            </w:div>
            <w:div w:id="1166359603">
              <w:marLeft w:val="0"/>
              <w:marRight w:val="0"/>
              <w:marTop w:val="0"/>
              <w:marBottom w:val="240"/>
              <w:divBdr>
                <w:top w:val="none" w:sz="0" w:space="0" w:color="auto"/>
                <w:left w:val="none" w:sz="0" w:space="0" w:color="auto"/>
                <w:bottom w:val="none" w:sz="0" w:space="0" w:color="auto"/>
                <w:right w:val="none" w:sz="0" w:space="0" w:color="auto"/>
              </w:divBdr>
              <w:divsChild>
                <w:div w:id="1122965738">
                  <w:marLeft w:val="360"/>
                  <w:marRight w:val="96"/>
                  <w:marTop w:val="0"/>
                  <w:marBottom w:val="0"/>
                  <w:divBdr>
                    <w:top w:val="none" w:sz="0" w:space="0" w:color="auto"/>
                    <w:left w:val="none" w:sz="0" w:space="0" w:color="auto"/>
                    <w:bottom w:val="none" w:sz="0" w:space="0" w:color="auto"/>
                    <w:right w:val="none" w:sz="0" w:space="0" w:color="auto"/>
                  </w:divBdr>
                </w:div>
              </w:divsChild>
            </w:div>
            <w:div w:id="1196116676">
              <w:marLeft w:val="0"/>
              <w:marRight w:val="0"/>
              <w:marTop w:val="0"/>
              <w:marBottom w:val="240"/>
              <w:divBdr>
                <w:top w:val="none" w:sz="0" w:space="0" w:color="auto"/>
                <w:left w:val="none" w:sz="0" w:space="0" w:color="auto"/>
                <w:bottom w:val="none" w:sz="0" w:space="0" w:color="auto"/>
                <w:right w:val="none" w:sz="0" w:space="0" w:color="auto"/>
              </w:divBdr>
              <w:divsChild>
                <w:div w:id="1310213600">
                  <w:marLeft w:val="360"/>
                  <w:marRight w:val="96"/>
                  <w:marTop w:val="0"/>
                  <w:marBottom w:val="0"/>
                  <w:divBdr>
                    <w:top w:val="none" w:sz="0" w:space="0" w:color="auto"/>
                    <w:left w:val="none" w:sz="0" w:space="0" w:color="auto"/>
                    <w:bottom w:val="none" w:sz="0" w:space="0" w:color="auto"/>
                    <w:right w:val="none" w:sz="0" w:space="0" w:color="auto"/>
                  </w:divBdr>
                </w:div>
              </w:divsChild>
            </w:div>
            <w:div w:id="1243175078">
              <w:marLeft w:val="0"/>
              <w:marRight w:val="0"/>
              <w:marTop w:val="0"/>
              <w:marBottom w:val="240"/>
              <w:divBdr>
                <w:top w:val="none" w:sz="0" w:space="0" w:color="auto"/>
                <w:left w:val="none" w:sz="0" w:space="0" w:color="auto"/>
                <w:bottom w:val="none" w:sz="0" w:space="0" w:color="auto"/>
                <w:right w:val="none" w:sz="0" w:space="0" w:color="auto"/>
              </w:divBdr>
              <w:divsChild>
                <w:div w:id="963971305">
                  <w:marLeft w:val="360"/>
                  <w:marRight w:val="96"/>
                  <w:marTop w:val="0"/>
                  <w:marBottom w:val="0"/>
                  <w:divBdr>
                    <w:top w:val="none" w:sz="0" w:space="0" w:color="auto"/>
                    <w:left w:val="none" w:sz="0" w:space="0" w:color="auto"/>
                    <w:bottom w:val="none" w:sz="0" w:space="0" w:color="auto"/>
                    <w:right w:val="none" w:sz="0" w:space="0" w:color="auto"/>
                  </w:divBdr>
                </w:div>
              </w:divsChild>
            </w:div>
            <w:div w:id="1314524378">
              <w:marLeft w:val="0"/>
              <w:marRight w:val="0"/>
              <w:marTop w:val="0"/>
              <w:marBottom w:val="240"/>
              <w:divBdr>
                <w:top w:val="none" w:sz="0" w:space="0" w:color="auto"/>
                <w:left w:val="none" w:sz="0" w:space="0" w:color="auto"/>
                <w:bottom w:val="none" w:sz="0" w:space="0" w:color="auto"/>
                <w:right w:val="none" w:sz="0" w:space="0" w:color="auto"/>
              </w:divBdr>
              <w:divsChild>
                <w:div w:id="1366979654">
                  <w:marLeft w:val="360"/>
                  <w:marRight w:val="96"/>
                  <w:marTop w:val="0"/>
                  <w:marBottom w:val="0"/>
                  <w:divBdr>
                    <w:top w:val="none" w:sz="0" w:space="0" w:color="auto"/>
                    <w:left w:val="none" w:sz="0" w:space="0" w:color="auto"/>
                    <w:bottom w:val="none" w:sz="0" w:space="0" w:color="auto"/>
                    <w:right w:val="none" w:sz="0" w:space="0" w:color="auto"/>
                  </w:divBdr>
                </w:div>
              </w:divsChild>
            </w:div>
            <w:div w:id="1359966172">
              <w:marLeft w:val="0"/>
              <w:marRight w:val="0"/>
              <w:marTop w:val="0"/>
              <w:marBottom w:val="240"/>
              <w:divBdr>
                <w:top w:val="none" w:sz="0" w:space="0" w:color="auto"/>
                <w:left w:val="none" w:sz="0" w:space="0" w:color="auto"/>
                <w:bottom w:val="none" w:sz="0" w:space="0" w:color="auto"/>
                <w:right w:val="none" w:sz="0" w:space="0" w:color="auto"/>
              </w:divBdr>
              <w:divsChild>
                <w:div w:id="902720281">
                  <w:marLeft w:val="360"/>
                  <w:marRight w:val="96"/>
                  <w:marTop w:val="0"/>
                  <w:marBottom w:val="0"/>
                  <w:divBdr>
                    <w:top w:val="none" w:sz="0" w:space="0" w:color="auto"/>
                    <w:left w:val="none" w:sz="0" w:space="0" w:color="auto"/>
                    <w:bottom w:val="none" w:sz="0" w:space="0" w:color="auto"/>
                    <w:right w:val="none" w:sz="0" w:space="0" w:color="auto"/>
                  </w:divBdr>
                </w:div>
              </w:divsChild>
            </w:div>
            <w:div w:id="1378967190">
              <w:marLeft w:val="0"/>
              <w:marRight w:val="0"/>
              <w:marTop w:val="0"/>
              <w:marBottom w:val="240"/>
              <w:divBdr>
                <w:top w:val="none" w:sz="0" w:space="0" w:color="auto"/>
                <w:left w:val="none" w:sz="0" w:space="0" w:color="auto"/>
                <w:bottom w:val="none" w:sz="0" w:space="0" w:color="auto"/>
                <w:right w:val="none" w:sz="0" w:space="0" w:color="auto"/>
              </w:divBdr>
              <w:divsChild>
                <w:div w:id="932862604">
                  <w:marLeft w:val="360"/>
                  <w:marRight w:val="96"/>
                  <w:marTop w:val="0"/>
                  <w:marBottom w:val="0"/>
                  <w:divBdr>
                    <w:top w:val="none" w:sz="0" w:space="0" w:color="auto"/>
                    <w:left w:val="none" w:sz="0" w:space="0" w:color="auto"/>
                    <w:bottom w:val="none" w:sz="0" w:space="0" w:color="auto"/>
                    <w:right w:val="none" w:sz="0" w:space="0" w:color="auto"/>
                  </w:divBdr>
                </w:div>
              </w:divsChild>
            </w:div>
            <w:div w:id="1418943076">
              <w:marLeft w:val="0"/>
              <w:marRight w:val="0"/>
              <w:marTop w:val="0"/>
              <w:marBottom w:val="240"/>
              <w:divBdr>
                <w:top w:val="none" w:sz="0" w:space="0" w:color="auto"/>
                <w:left w:val="none" w:sz="0" w:space="0" w:color="auto"/>
                <w:bottom w:val="none" w:sz="0" w:space="0" w:color="auto"/>
                <w:right w:val="none" w:sz="0" w:space="0" w:color="auto"/>
              </w:divBdr>
              <w:divsChild>
                <w:div w:id="1605844378">
                  <w:marLeft w:val="360"/>
                  <w:marRight w:val="96"/>
                  <w:marTop w:val="0"/>
                  <w:marBottom w:val="0"/>
                  <w:divBdr>
                    <w:top w:val="none" w:sz="0" w:space="0" w:color="auto"/>
                    <w:left w:val="none" w:sz="0" w:space="0" w:color="auto"/>
                    <w:bottom w:val="none" w:sz="0" w:space="0" w:color="auto"/>
                    <w:right w:val="none" w:sz="0" w:space="0" w:color="auto"/>
                  </w:divBdr>
                </w:div>
              </w:divsChild>
            </w:div>
            <w:div w:id="1427926118">
              <w:marLeft w:val="0"/>
              <w:marRight w:val="0"/>
              <w:marTop w:val="0"/>
              <w:marBottom w:val="240"/>
              <w:divBdr>
                <w:top w:val="none" w:sz="0" w:space="0" w:color="auto"/>
                <w:left w:val="none" w:sz="0" w:space="0" w:color="auto"/>
                <w:bottom w:val="none" w:sz="0" w:space="0" w:color="auto"/>
                <w:right w:val="none" w:sz="0" w:space="0" w:color="auto"/>
              </w:divBdr>
              <w:divsChild>
                <w:div w:id="910654845">
                  <w:marLeft w:val="360"/>
                  <w:marRight w:val="96"/>
                  <w:marTop w:val="0"/>
                  <w:marBottom w:val="0"/>
                  <w:divBdr>
                    <w:top w:val="none" w:sz="0" w:space="0" w:color="auto"/>
                    <w:left w:val="none" w:sz="0" w:space="0" w:color="auto"/>
                    <w:bottom w:val="none" w:sz="0" w:space="0" w:color="auto"/>
                    <w:right w:val="none" w:sz="0" w:space="0" w:color="auto"/>
                  </w:divBdr>
                </w:div>
              </w:divsChild>
            </w:div>
            <w:div w:id="1446922884">
              <w:marLeft w:val="0"/>
              <w:marRight w:val="0"/>
              <w:marTop w:val="0"/>
              <w:marBottom w:val="240"/>
              <w:divBdr>
                <w:top w:val="none" w:sz="0" w:space="0" w:color="auto"/>
                <w:left w:val="none" w:sz="0" w:space="0" w:color="auto"/>
                <w:bottom w:val="none" w:sz="0" w:space="0" w:color="auto"/>
                <w:right w:val="none" w:sz="0" w:space="0" w:color="auto"/>
              </w:divBdr>
              <w:divsChild>
                <w:div w:id="762262143">
                  <w:marLeft w:val="360"/>
                  <w:marRight w:val="96"/>
                  <w:marTop w:val="0"/>
                  <w:marBottom w:val="0"/>
                  <w:divBdr>
                    <w:top w:val="none" w:sz="0" w:space="0" w:color="auto"/>
                    <w:left w:val="none" w:sz="0" w:space="0" w:color="auto"/>
                    <w:bottom w:val="none" w:sz="0" w:space="0" w:color="auto"/>
                    <w:right w:val="none" w:sz="0" w:space="0" w:color="auto"/>
                  </w:divBdr>
                </w:div>
              </w:divsChild>
            </w:div>
            <w:div w:id="1469856343">
              <w:marLeft w:val="0"/>
              <w:marRight w:val="0"/>
              <w:marTop w:val="0"/>
              <w:marBottom w:val="240"/>
              <w:divBdr>
                <w:top w:val="none" w:sz="0" w:space="0" w:color="auto"/>
                <w:left w:val="none" w:sz="0" w:space="0" w:color="auto"/>
                <w:bottom w:val="none" w:sz="0" w:space="0" w:color="auto"/>
                <w:right w:val="none" w:sz="0" w:space="0" w:color="auto"/>
              </w:divBdr>
              <w:divsChild>
                <w:div w:id="183129683">
                  <w:marLeft w:val="360"/>
                  <w:marRight w:val="96"/>
                  <w:marTop w:val="0"/>
                  <w:marBottom w:val="0"/>
                  <w:divBdr>
                    <w:top w:val="none" w:sz="0" w:space="0" w:color="auto"/>
                    <w:left w:val="none" w:sz="0" w:space="0" w:color="auto"/>
                    <w:bottom w:val="none" w:sz="0" w:space="0" w:color="auto"/>
                    <w:right w:val="none" w:sz="0" w:space="0" w:color="auto"/>
                  </w:divBdr>
                </w:div>
              </w:divsChild>
            </w:div>
            <w:div w:id="1566526847">
              <w:marLeft w:val="0"/>
              <w:marRight w:val="0"/>
              <w:marTop w:val="0"/>
              <w:marBottom w:val="240"/>
              <w:divBdr>
                <w:top w:val="none" w:sz="0" w:space="0" w:color="auto"/>
                <w:left w:val="none" w:sz="0" w:space="0" w:color="auto"/>
                <w:bottom w:val="none" w:sz="0" w:space="0" w:color="auto"/>
                <w:right w:val="none" w:sz="0" w:space="0" w:color="auto"/>
              </w:divBdr>
              <w:divsChild>
                <w:div w:id="1116366447">
                  <w:marLeft w:val="360"/>
                  <w:marRight w:val="96"/>
                  <w:marTop w:val="0"/>
                  <w:marBottom w:val="0"/>
                  <w:divBdr>
                    <w:top w:val="none" w:sz="0" w:space="0" w:color="auto"/>
                    <w:left w:val="none" w:sz="0" w:space="0" w:color="auto"/>
                    <w:bottom w:val="none" w:sz="0" w:space="0" w:color="auto"/>
                    <w:right w:val="none" w:sz="0" w:space="0" w:color="auto"/>
                  </w:divBdr>
                </w:div>
              </w:divsChild>
            </w:div>
            <w:div w:id="1747722507">
              <w:marLeft w:val="0"/>
              <w:marRight w:val="0"/>
              <w:marTop w:val="0"/>
              <w:marBottom w:val="240"/>
              <w:divBdr>
                <w:top w:val="none" w:sz="0" w:space="0" w:color="auto"/>
                <w:left w:val="none" w:sz="0" w:space="0" w:color="auto"/>
                <w:bottom w:val="none" w:sz="0" w:space="0" w:color="auto"/>
                <w:right w:val="none" w:sz="0" w:space="0" w:color="auto"/>
              </w:divBdr>
              <w:divsChild>
                <w:div w:id="996879582">
                  <w:marLeft w:val="360"/>
                  <w:marRight w:val="96"/>
                  <w:marTop w:val="0"/>
                  <w:marBottom w:val="0"/>
                  <w:divBdr>
                    <w:top w:val="none" w:sz="0" w:space="0" w:color="auto"/>
                    <w:left w:val="none" w:sz="0" w:space="0" w:color="auto"/>
                    <w:bottom w:val="none" w:sz="0" w:space="0" w:color="auto"/>
                    <w:right w:val="none" w:sz="0" w:space="0" w:color="auto"/>
                  </w:divBdr>
                </w:div>
              </w:divsChild>
            </w:div>
            <w:div w:id="1750346020">
              <w:marLeft w:val="0"/>
              <w:marRight w:val="0"/>
              <w:marTop w:val="0"/>
              <w:marBottom w:val="240"/>
              <w:divBdr>
                <w:top w:val="none" w:sz="0" w:space="0" w:color="auto"/>
                <w:left w:val="none" w:sz="0" w:space="0" w:color="auto"/>
                <w:bottom w:val="none" w:sz="0" w:space="0" w:color="auto"/>
                <w:right w:val="none" w:sz="0" w:space="0" w:color="auto"/>
              </w:divBdr>
              <w:divsChild>
                <w:div w:id="1576084408">
                  <w:marLeft w:val="360"/>
                  <w:marRight w:val="96"/>
                  <w:marTop w:val="0"/>
                  <w:marBottom w:val="0"/>
                  <w:divBdr>
                    <w:top w:val="none" w:sz="0" w:space="0" w:color="auto"/>
                    <w:left w:val="none" w:sz="0" w:space="0" w:color="auto"/>
                    <w:bottom w:val="none" w:sz="0" w:space="0" w:color="auto"/>
                    <w:right w:val="none" w:sz="0" w:space="0" w:color="auto"/>
                  </w:divBdr>
                </w:div>
              </w:divsChild>
            </w:div>
            <w:div w:id="1757048763">
              <w:marLeft w:val="0"/>
              <w:marRight w:val="0"/>
              <w:marTop w:val="0"/>
              <w:marBottom w:val="240"/>
              <w:divBdr>
                <w:top w:val="none" w:sz="0" w:space="0" w:color="auto"/>
                <w:left w:val="none" w:sz="0" w:space="0" w:color="auto"/>
                <w:bottom w:val="none" w:sz="0" w:space="0" w:color="auto"/>
                <w:right w:val="none" w:sz="0" w:space="0" w:color="auto"/>
              </w:divBdr>
              <w:divsChild>
                <w:div w:id="1209610086">
                  <w:marLeft w:val="360"/>
                  <w:marRight w:val="96"/>
                  <w:marTop w:val="0"/>
                  <w:marBottom w:val="0"/>
                  <w:divBdr>
                    <w:top w:val="none" w:sz="0" w:space="0" w:color="auto"/>
                    <w:left w:val="none" w:sz="0" w:space="0" w:color="auto"/>
                    <w:bottom w:val="none" w:sz="0" w:space="0" w:color="auto"/>
                    <w:right w:val="none" w:sz="0" w:space="0" w:color="auto"/>
                  </w:divBdr>
                </w:div>
              </w:divsChild>
            </w:div>
            <w:div w:id="1772124731">
              <w:marLeft w:val="0"/>
              <w:marRight w:val="0"/>
              <w:marTop w:val="0"/>
              <w:marBottom w:val="240"/>
              <w:divBdr>
                <w:top w:val="none" w:sz="0" w:space="0" w:color="auto"/>
                <w:left w:val="none" w:sz="0" w:space="0" w:color="auto"/>
                <w:bottom w:val="none" w:sz="0" w:space="0" w:color="auto"/>
                <w:right w:val="none" w:sz="0" w:space="0" w:color="auto"/>
              </w:divBdr>
              <w:divsChild>
                <w:div w:id="670833088">
                  <w:marLeft w:val="360"/>
                  <w:marRight w:val="96"/>
                  <w:marTop w:val="0"/>
                  <w:marBottom w:val="0"/>
                  <w:divBdr>
                    <w:top w:val="none" w:sz="0" w:space="0" w:color="auto"/>
                    <w:left w:val="none" w:sz="0" w:space="0" w:color="auto"/>
                    <w:bottom w:val="none" w:sz="0" w:space="0" w:color="auto"/>
                    <w:right w:val="none" w:sz="0" w:space="0" w:color="auto"/>
                  </w:divBdr>
                </w:div>
              </w:divsChild>
            </w:div>
            <w:div w:id="1794864553">
              <w:marLeft w:val="0"/>
              <w:marRight w:val="0"/>
              <w:marTop w:val="0"/>
              <w:marBottom w:val="240"/>
              <w:divBdr>
                <w:top w:val="none" w:sz="0" w:space="0" w:color="auto"/>
                <w:left w:val="none" w:sz="0" w:space="0" w:color="auto"/>
                <w:bottom w:val="none" w:sz="0" w:space="0" w:color="auto"/>
                <w:right w:val="none" w:sz="0" w:space="0" w:color="auto"/>
              </w:divBdr>
              <w:divsChild>
                <w:div w:id="897087679">
                  <w:marLeft w:val="360"/>
                  <w:marRight w:val="96"/>
                  <w:marTop w:val="0"/>
                  <w:marBottom w:val="0"/>
                  <w:divBdr>
                    <w:top w:val="none" w:sz="0" w:space="0" w:color="auto"/>
                    <w:left w:val="none" w:sz="0" w:space="0" w:color="auto"/>
                    <w:bottom w:val="none" w:sz="0" w:space="0" w:color="auto"/>
                    <w:right w:val="none" w:sz="0" w:space="0" w:color="auto"/>
                  </w:divBdr>
                </w:div>
              </w:divsChild>
            </w:div>
            <w:div w:id="1801343772">
              <w:marLeft w:val="0"/>
              <w:marRight w:val="0"/>
              <w:marTop w:val="0"/>
              <w:marBottom w:val="240"/>
              <w:divBdr>
                <w:top w:val="none" w:sz="0" w:space="0" w:color="auto"/>
                <w:left w:val="none" w:sz="0" w:space="0" w:color="auto"/>
                <w:bottom w:val="none" w:sz="0" w:space="0" w:color="auto"/>
                <w:right w:val="none" w:sz="0" w:space="0" w:color="auto"/>
              </w:divBdr>
              <w:divsChild>
                <w:div w:id="759521810">
                  <w:marLeft w:val="360"/>
                  <w:marRight w:val="96"/>
                  <w:marTop w:val="0"/>
                  <w:marBottom w:val="0"/>
                  <w:divBdr>
                    <w:top w:val="none" w:sz="0" w:space="0" w:color="auto"/>
                    <w:left w:val="none" w:sz="0" w:space="0" w:color="auto"/>
                    <w:bottom w:val="none" w:sz="0" w:space="0" w:color="auto"/>
                    <w:right w:val="none" w:sz="0" w:space="0" w:color="auto"/>
                  </w:divBdr>
                </w:div>
              </w:divsChild>
            </w:div>
            <w:div w:id="1823231763">
              <w:marLeft w:val="0"/>
              <w:marRight w:val="0"/>
              <w:marTop w:val="0"/>
              <w:marBottom w:val="240"/>
              <w:divBdr>
                <w:top w:val="none" w:sz="0" w:space="0" w:color="auto"/>
                <w:left w:val="none" w:sz="0" w:space="0" w:color="auto"/>
                <w:bottom w:val="none" w:sz="0" w:space="0" w:color="auto"/>
                <w:right w:val="none" w:sz="0" w:space="0" w:color="auto"/>
              </w:divBdr>
              <w:divsChild>
                <w:div w:id="385418870">
                  <w:marLeft w:val="360"/>
                  <w:marRight w:val="96"/>
                  <w:marTop w:val="0"/>
                  <w:marBottom w:val="0"/>
                  <w:divBdr>
                    <w:top w:val="none" w:sz="0" w:space="0" w:color="auto"/>
                    <w:left w:val="none" w:sz="0" w:space="0" w:color="auto"/>
                    <w:bottom w:val="none" w:sz="0" w:space="0" w:color="auto"/>
                    <w:right w:val="none" w:sz="0" w:space="0" w:color="auto"/>
                  </w:divBdr>
                </w:div>
              </w:divsChild>
            </w:div>
            <w:div w:id="1828790293">
              <w:marLeft w:val="0"/>
              <w:marRight w:val="0"/>
              <w:marTop w:val="0"/>
              <w:marBottom w:val="240"/>
              <w:divBdr>
                <w:top w:val="none" w:sz="0" w:space="0" w:color="auto"/>
                <w:left w:val="none" w:sz="0" w:space="0" w:color="auto"/>
                <w:bottom w:val="none" w:sz="0" w:space="0" w:color="auto"/>
                <w:right w:val="none" w:sz="0" w:space="0" w:color="auto"/>
              </w:divBdr>
              <w:divsChild>
                <w:div w:id="22442558">
                  <w:marLeft w:val="360"/>
                  <w:marRight w:val="96"/>
                  <w:marTop w:val="0"/>
                  <w:marBottom w:val="0"/>
                  <w:divBdr>
                    <w:top w:val="none" w:sz="0" w:space="0" w:color="auto"/>
                    <w:left w:val="none" w:sz="0" w:space="0" w:color="auto"/>
                    <w:bottom w:val="none" w:sz="0" w:space="0" w:color="auto"/>
                    <w:right w:val="none" w:sz="0" w:space="0" w:color="auto"/>
                  </w:divBdr>
                </w:div>
              </w:divsChild>
            </w:div>
            <w:div w:id="1835099561">
              <w:marLeft w:val="0"/>
              <w:marRight w:val="0"/>
              <w:marTop w:val="0"/>
              <w:marBottom w:val="240"/>
              <w:divBdr>
                <w:top w:val="none" w:sz="0" w:space="0" w:color="auto"/>
                <w:left w:val="none" w:sz="0" w:space="0" w:color="auto"/>
                <w:bottom w:val="none" w:sz="0" w:space="0" w:color="auto"/>
                <w:right w:val="none" w:sz="0" w:space="0" w:color="auto"/>
              </w:divBdr>
              <w:divsChild>
                <w:div w:id="1996495283">
                  <w:marLeft w:val="360"/>
                  <w:marRight w:val="96"/>
                  <w:marTop w:val="0"/>
                  <w:marBottom w:val="0"/>
                  <w:divBdr>
                    <w:top w:val="none" w:sz="0" w:space="0" w:color="auto"/>
                    <w:left w:val="none" w:sz="0" w:space="0" w:color="auto"/>
                    <w:bottom w:val="none" w:sz="0" w:space="0" w:color="auto"/>
                    <w:right w:val="none" w:sz="0" w:space="0" w:color="auto"/>
                  </w:divBdr>
                </w:div>
              </w:divsChild>
            </w:div>
            <w:div w:id="1841576686">
              <w:marLeft w:val="0"/>
              <w:marRight w:val="0"/>
              <w:marTop w:val="0"/>
              <w:marBottom w:val="240"/>
              <w:divBdr>
                <w:top w:val="none" w:sz="0" w:space="0" w:color="auto"/>
                <w:left w:val="none" w:sz="0" w:space="0" w:color="auto"/>
                <w:bottom w:val="none" w:sz="0" w:space="0" w:color="auto"/>
                <w:right w:val="none" w:sz="0" w:space="0" w:color="auto"/>
              </w:divBdr>
              <w:divsChild>
                <w:div w:id="732125840">
                  <w:marLeft w:val="360"/>
                  <w:marRight w:val="96"/>
                  <w:marTop w:val="0"/>
                  <w:marBottom w:val="0"/>
                  <w:divBdr>
                    <w:top w:val="none" w:sz="0" w:space="0" w:color="auto"/>
                    <w:left w:val="none" w:sz="0" w:space="0" w:color="auto"/>
                    <w:bottom w:val="none" w:sz="0" w:space="0" w:color="auto"/>
                    <w:right w:val="none" w:sz="0" w:space="0" w:color="auto"/>
                  </w:divBdr>
                </w:div>
              </w:divsChild>
            </w:div>
            <w:div w:id="1848321221">
              <w:marLeft w:val="0"/>
              <w:marRight w:val="0"/>
              <w:marTop w:val="0"/>
              <w:marBottom w:val="240"/>
              <w:divBdr>
                <w:top w:val="none" w:sz="0" w:space="0" w:color="auto"/>
                <w:left w:val="none" w:sz="0" w:space="0" w:color="auto"/>
                <w:bottom w:val="none" w:sz="0" w:space="0" w:color="auto"/>
                <w:right w:val="none" w:sz="0" w:space="0" w:color="auto"/>
              </w:divBdr>
              <w:divsChild>
                <w:div w:id="1771656738">
                  <w:marLeft w:val="360"/>
                  <w:marRight w:val="96"/>
                  <w:marTop w:val="0"/>
                  <w:marBottom w:val="0"/>
                  <w:divBdr>
                    <w:top w:val="none" w:sz="0" w:space="0" w:color="auto"/>
                    <w:left w:val="none" w:sz="0" w:space="0" w:color="auto"/>
                    <w:bottom w:val="none" w:sz="0" w:space="0" w:color="auto"/>
                    <w:right w:val="none" w:sz="0" w:space="0" w:color="auto"/>
                  </w:divBdr>
                </w:div>
              </w:divsChild>
            </w:div>
            <w:div w:id="2028557059">
              <w:marLeft w:val="0"/>
              <w:marRight w:val="0"/>
              <w:marTop w:val="0"/>
              <w:marBottom w:val="240"/>
              <w:divBdr>
                <w:top w:val="none" w:sz="0" w:space="0" w:color="auto"/>
                <w:left w:val="none" w:sz="0" w:space="0" w:color="auto"/>
                <w:bottom w:val="none" w:sz="0" w:space="0" w:color="auto"/>
                <w:right w:val="none" w:sz="0" w:space="0" w:color="auto"/>
              </w:divBdr>
              <w:divsChild>
                <w:div w:id="1168599244">
                  <w:marLeft w:val="360"/>
                  <w:marRight w:val="96"/>
                  <w:marTop w:val="0"/>
                  <w:marBottom w:val="0"/>
                  <w:divBdr>
                    <w:top w:val="none" w:sz="0" w:space="0" w:color="auto"/>
                    <w:left w:val="none" w:sz="0" w:space="0" w:color="auto"/>
                    <w:bottom w:val="none" w:sz="0" w:space="0" w:color="auto"/>
                    <w:right w:val="none" w:sz="0" w:space="0" w:color="auto"/>
                  </w:divBdr>
                </w:div>
              </w:divsChild>
            </w:div>
            <w:div w:id="2035039643">
              <w:marLeft w:val="0"/>
              <w:marRight w:val="0"/>
              <w:marTop w:val="0"/>
              <w:marBottom w:val="240"/>
              <w:divBdr>
                <w:top w:val="none" w:sz="0" w:space="0" w:color="auto"/>
                <w:left w:val="none" w:sz="0" w:space="0" w:color="auto"/>
                <w:bottom w:val="none" w:sz="0" w:space="0" w:color="auto"/>
                <w:right w:val="none" w:sz="0" w:space="0" w:color="auto"/>
              </w:divBdr>
              <w:divsChild>
                <w:div w:id="1947155757">
                  <w:marLeft w:val="360"/>
                  <w:marRight w:val="96"/>
                  <w:marTop w:val="0"/>
                  <w:marBottom w:val="0"/>
                  <w:divBdr>
                    <w:top w:val="none" w:sz="0" w:space="0" w:color="auto"/>
                    <w:left w:val="none" w:sz="0" w:space="0" w:color="auto"/>
                    <w:bottom w:val="none" w:sz="0" w:space="0" w:color="auto"/>
                    <w:right w:val="none" w:sz="0" w:space="0" w:color="auto"/>
                  </w:divBdr>
                </w:div>
              </w:divsChild>
            </w:div>
            <w:div w:id="2036612962">
              <w:marLeft w:val="0"/>
              <w:marRight w:val="0"/>
              <w:marTop w:val="0"/>
              <w:marBottom w:val="240"/>
              <w:divBdr>
                <w:top w:val="none" w:sz="0" w:space="0" w:color="auto"/>
                <w:left w:val="none" w:sz="0" w:space="0" w:color="auto"/>
                <w:bottom w:val="none" w:sz="0" w:space="0" w:color="auto"/>
                <w:right w:val="none" w:sz="0" w:space="0" w:color="auto"/>
              </w:divBdr>
              <w:divsChild>
                <w:div w:id="1782723357">
                  <w:marLeft w:val="360"/>
                  <w:marRight w:val="96"/>
                  <w:marTop w:val="0"/>
                  <w:marBottom w:val="0"/>
                  <w:divBdr>
                    <w:top w:val="none" w:sz="0" w:space="0" w:color="auto"/>
                    <w:left w:val="none" w:sz="0" w:space="0" w:color="auto"/>
                    <w:bottom w:val="none" w:sz="0" w:space="0" w:color="auto"/>
                    <w:right w:val="none" w:sz="0" w:space="0" w:color="auto"/>
                  </w:divBdr>
                </w:div>
              </w:divsChild>
            </w:div>
            <w:div w:id="2046833323">
              <w:marLeft w:val="0"/>
              <w:marRight w:val="0"/>
              <w:marTop w:val="0"/>
              <w:marBottom w:val="240"/>
              <w:divBdr>
                <w:top w:val="none" w:sz="0" w:space="0" w:color="auto"/>
                <w:left w:val="none" w:sz="0" w:space="0" w:color="auto"/>
                <w:bottom w:val="none" w:sz="0" w:space="0" w:color="auto"/>
                <w:right w:val="none" w:sz="0" w:space="0" w:color="auto"/>
              </w:divBdr>
              <w:divsChild>
                <w:div w:id="1818765214">
                  <w:marLeft w:val="360"/>
                  <w:marRight w:val="96"/>
                  <w:marTop w:val="0"/>
                  <w:marBottom w:val="0"/>
                  <w:divBdr>
                    <w:top w:val="none" w:sz="0" w:space="0" w:color="auto"/>
                    <w:left w:val="none" w:sz="0" w:space="0" w:color="auto"/>
                    <w:bottom w:val="none" w:sz="0" w:space="0" w:color="auto"/>
                    <w:right w:val="none" w:sz="0" w:space="0" w:color="auto"/>
                  </w:divBdr>
                </w:div>
              </w:divsChild>
            </w:div>
            <w:div w:id="2119178549">
              <w:marLeft w:val="0"/>
              <w:marRight w:val="0"/>
              <w:marTop w:val="0"/>
              <w:marBottom w:val="240"/>
              <w:divBdr>
                <w:top w:val="none" w:sz="0" w:space="0" w:color="auto"/>
                <w:left w:val="none" w:sz="0" w:space="0" w:color="auto"/>
                <w:bottom w:val="none" w:sz="0" w:space="0" w:color="auto"/>
                <w:right w:val="none" w:sz="0" w:space="0" w:color="auto"/>
              </w:divBdr>
              <w:divsChild>
                <w:div w:id="107960067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0174533">
      <w:bodyDiv w:val="1"/>
      <w:marLeft w:val="0"/>
      <w:marRight w:val="0"/>
      <w:marTop w:val="0"/>
      <w:marBottom w:val="0"/>
      <w:divBdr>
        <w:top w:val="none" w:sz="0" w:space="0" w:color="auto"/>
        <w:left w:val="none" w:sz="0" w:space="0" w:color="auto"/>
        <w:bottom w:val="none" w:sz="0" w:space="0" w:color="auto"/>
        <w:right w:val="none" w:sz="0" w:space="0" w:color="auto"/>
      </w:divBdr>
      <w:divsChild>
        <w:div w:id="661587995">
          <w:marLeft w:val="0"/>
          <w:marRight w:val="0"/>
          <w:marTop w:val="0"/>
          <w:marBottom w:val="0"/>
          <w:divBdr>
            <w:top w:val="none" w:sz="0" w:space="0" w:color="auto"/>
            <w:left w:val="none" w:sz="0" w:space="0" w:color="auto"/>
            <w:bottom w:val="none" w:sz="0" w:space="0" w:color="auto"/>
            <w:right w:val="none" w:sz="0" w:space="0" w:color="auto"/>
          </w:divBdr>
          <w:divsChild>
            <w:div w:id="1778329931">
              <w:marLeft w:val="0"/>
              <w:marRight w:val="0"/>
              <w:marTop w:val="0"/>
              <w:marBottom w:val="0"/>
              <w:divBdr>
                <w:top w:val="none" w:sz="0" w:space="0" w:color="auto"/>
                <w:left w:val="none" w:sz="0" w:space="0" w:color="auto"/>
                <w:bottom w:val="none" w:sz="0" w:space="0" w:color="auto"/>
                <w:right w:val="none" w:sz="0" w:space="0" w:color="auto"/>
              </w:divBdr>
              <w:divsChild>
                <w:div w:id="1859152903">
                  <w:marLeft w:val="0"/>
                  <w:marRight w:val="0"/>
                  <w:marTop w:val="0"/>
                  <w:marBottom w:val="0"/>
                  <w:divBdr>
                    <w:top w:val="none" w:sz="0" w:space="0" w:color="auto"/>
                    <w:left w:val="none" w:sz="0" w:space="0" w:color="auto"/>
                    <w:bottom w:val="none" w:sz="0" w:space="0" w:color="auto"/>
                    <w:right w:val="none" w:sz="0" w:space="0" w:color="auto"/>
                  </w:divBdr>
                  <w:divsChild>
                    <w:div w:id="5677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03930">
      <w:bodyDiv w:val="1"/>
      <w:marLeft w:val="0"/>
      <w:marRight w:val="0"/>
      <w:marTop w:val="0"/>
      <w:marBottom w:val="0"/>
      <w:divBdr>
        <w:top w:val="none" w:sz="0" w:space="0" w:color="auto"/>
        <w:left w:val="none" w:sz="0" w:space="0" w:color="auto"/>
        <w:bottom w:val="none" w:sz="0" w:space="0" w:color="auto"/>
        <w:right w:val="none" w:sz="0" w:space="0" w:color="auto"/>
      </w:divBdr>
      <w:divsChild>
        <w:div w:id="705835712">
          <w:marLeft w:val="0"/>
          <w:marRight w:val="0"/>
          <w:marTop w:val="0"/>
          <w:marBottom w:val="0"/>
          <w:divBdr>
            <w:top w:val="none" w:sz="0" w:space="0" w:color="auto"/>
            <w:left w:val="none" w:sz="0" w:space="0" w:color="auto"/>
            <w:bottom w:val="none" w:sz="0" w:space="0" w:color="auto"/>
            <w:right w:val="none" w:sz="0" w:space="0" w:color="auto"/>
          </w:divBdr>
          <w:divsChild>
            <w:div w:id="274216418">
              <w:marLeft w:val="0"/>
              <w:marRight w:val="0"/>
              <w:marTop w:val="0"/>
              <w:marBottom w:val="0"/>
              <w:divBdr>
                <w:top w:val="none" w:sz="0" w:space="0" w:color="auto"/>
                <w:left w:val="none" w:sz="0" w:space="0" w:color="auto"/>
                <w:bottom w:val="none" w:sz="0" w:space="0" w:color="auto"/>
                <w:right w:val="none" w:sz="0" w:space="0" w:color="auto"/>
              </w:divBdr>
              <w:divsChild>
                <w:div w:id="711609857">
                  <w:marLeft w:val="0"/>
                  <w:marRight w:val="0"/>
                  <w:marTop w:val="0"/>
                  <w:marBottom w:val="0"/>
                  <w:divBdr>
                    <w:top w:val="none" w:sz="0" w:space="0" w:color="auto"/>
                    <w:left w:val="none" w:sz="0" w:space="0" w:color="auto"/>
                    <w:bottom w:val="none" w:sz="0" w:space="0" w:color="auto"/>
                    <w:right w:val="none" w:sz="0" w:space="0" w:color="auto"/>
                  </w:divBdr>
                  <w:divsChild>
                    <w:div w:id="1609386437">
                      <w:marLeft w:val="0"/>
                      <w:marRight w:val="0"/>
                      <w:marTop w:val="0"/>
                      <w:marBottom w:val="0"/>
                      <w:divBdr>
                        <w:top w:val="none" w:sz="0" w:space="0" w:color="auto"/>
                        <w:left w:val="none" w:sz="0" w:space="0" w:color="auto"/>
                        <w:bottom w:val="none" w:sz="0" w:space="0" w:color="auto"/>
                        <w:right w:val="none" w:sz="0" w:space="0" w:color="auto"/>
                      </w:divBdr>
                      <w:divsChild>
                        <w:div w:id="460803697">
                          <w:marLeft w:val="0"/>
                          <w:marRight w:val="0"/>
                          <w:marTop w:val="0"/>
                          <w:marBottom w:val="0"/>
                          <w:divBdr>
                            <w:top w:val="none" w:sz="0" w:space="0" w:color="auto"/>
                            <w:left w:val="none" w:sz="0" w:space="0" w:color="auto"/>
                            <w:bottom w:val="none" w:sz="0" w:space="0" w:color="auto"/>
                            <w:right w:val="none" w:sz="0" w:space="0" w:color="auto"/>
                          </w:divBdr>
                          <w:divsChild>
                            <w:div w:id="51507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209481">
      <w:bodyDiv w:val="1"/>
      <w:marLeft w:val="0"/>
      <w:marRight w:val="0"/>
      <w:marTop w:val="0"/>
      <w:marBottom w:val="0"/>
      <w:divBdr>
        <w:top w:val="none" w:sz="0" w:space="0" w:color="auto"/>
        <w:left w:val="none" w:sz="0" w:space="0" w:color="auto"/>
        <w:bottom w:val="none" w:sz="0" w:space="0" w:color="auto"/>
        <w:right w:val="none" w:sz="0" w:space="0" w:color="auto"/>
      </w:divBdr>
    </w:div>
    <w:div w:id="87192697">
      <w:bodyDiv w:val="1"/>
      <w:marLeft w:val="0"/>
      <w:marRight w:val="0"/>
      <w:marTop w:val="0"/>
      <w:marBottom w:val="0"/>
      <w:divBdr>
        <w:top w:val="none" w:sz="0" w:space="0" w:color="auto"/>
        <w:left w:val="none" w:sz="0" w:space="0" w:color="auto"/>
        <w:bottom w:val="none" w:sz="0" w:space="0" w:color="auto"/>
        <w:right w:val="none" w:sz="0" w:space="0" w:color="auto"/>
      </w:divBdr>
    </w:div>
    <w:div w:id="92089924">
      <w:bodyDiv w:val="1"/>
      <w:marLeft w:val="0"/>
      <w:marRight w:val="0"/>
      <w:marTop w:val="0"/>
      <w:marBottom w:val="0"/>
      <w:divBdr>
        <w:top w:val="none" w:sz="0" w:space="0" w:color="auto"/>
        <w:left w:val="none" w:sz="0" w:space="0" w:color="auto"/>
        <w:bottom w:val="none" w:sz="0" w:space="0" w:color="auto"/>
        <w:right w:val="none" w:sz="0" w:space="0" w:color="auto"/>
      </w:divBdr>
    </w:div>
    <w:div w:id="103117358">
      <w:bodyDiv w:val="1"/>
      <w:marLeft w:val="0"/>
      <w:marRight w:val="0"/>
      <w:marTop w:val="0"/>
      <w:marBottom w:val="0"/>
      <w:divBdr>
        <w:top w:val="none" w:sz="0" w:space="0" w:color="auto"/>
        <w:left w:val="none" w:sz="0" w:space="0" w:color="auto"/>
        <w:bottom w:val="none" w:sz="0" w:space="0" w:color="auto"/>
        <w:right w:val="none" w:sz="0" w:space="0" w:color="auto"/>
      </w:divBdr>
    </w:div>
    <w:div w:id="111364062">
      <w:bodyDiv w:val="1"/>
      <w:marLeft w:val="0"/>
      <w:marRight w:val="0"/>
      <w:marTop w:val="0"/>
      <w:marBottom w:val="0"/>
      <w:divBdr>
        <w:top w:val="none" w:sz="0" w:space="0" w:color="auto"/>
        <w:left w:val="none" w:sz="0" w:space="0" w:color="auto"/>
        <w:bottom w:val="none" w:sz="0" w:space="0" w:color="auto"/>
        <w:right w:val="none" w:sz="0" w:space="0" w:color="auto"/>
      </w:divBdr>
    </w:div>
    <w:div w:id="123813128">
      <w:bodyDiv w:val="1"/>
      <w:marLeft w:val="0"/>
      <w:marRight w:val="0"/>
      <w:marTop w:val="0"/>
      <w:marBottom w:val="0"/>
      <w:divBdr>
        <w:top w:val="none" w:sz="0" w:space="0" w:color="auto"/>
        <w:left w:val="none" w:sz="0" w:space="0" w:color="auto"/>
        <w:bottom w:val="none" w:sz="0" w:space="0" w:color="auto"/>
        <w:right w:val="none" w:sz="0" w:space="0" w:color="auto"/>
      </w:divBdr>
    </w:div>
    <w:div w:id="158351078">
      <w:bodyDiv w:val="1"/>
      <w:marLeft w:val="0"/>
      <w:marRight w:val="0"/>
      <w:marTop w:val="0"/>
      <w:marBottom w:val="0"/>
      <w:divBdr>
        <w:top w:val="none" w:sz="0" w:space="0" w:color="auto"/>
        <w:left w:val="none" w:sz="0" w:space="0" w:color="auto"/>
        <w:bottom w:val="none" w:sz="0" w:space="0" w:color="auto"/>
        <w:right w:val="none" w:sz="0" w:space="0" w:color="auto"/>
      </w:divBdr>
    </w:div>
    <w:div w:id="161119085">
      <w:bodyDiv w:val="1"/>
      <w:marLeft w:val="0"/>
      <w:marRight w:val="0"/>
      <w:marTop w:val="0"/>
      <w:marBottom w:val="0"/>
      <w:divBdr>
        <w:top w:val="none" w:sz="0" w:space="0" w:color="auto"/>
        <w:left w:val="none" w:sz="0" w:space="0" w:color="auto"/>
        <w:bottom w:val="none" w:sz="0" w:space="0" w:color="auto"/>
        <w:right w:val="none" w:sz="0" w:space="0" w:color="auto"/>
      </w:divBdr>
    </w:div>
    <w:div w:id="165170839">
      <w:bodyDiv w:val="1"/>
      <w:marLeft w:val="0"/>
      <w:marRight w:val="0"/>
      <w:marTop w:val="0"/>
      <w:marBottom w:val="0"/>
      <w:divBdr>
        <w:top w:val="none" w:sz="0" w:space="0" w:color="auto"/>
        <w:left w:val="none" w:sz="0" w:space="0" w:color="auto"/>
        <w:bottom w:val="none" w:sz="0" w:space="0" w:color="auto"/>
        <w:right w:val="none" w:sz="0" w:space="0" w:color="auto"/>
      </w:divBdr>
    </w:div>
    <w:div w:id="205216310">
      <w:bodyDiv w:val="1"/>
      <w:marLeft w:val="0"/>
      <w:marRight w:val="0"/>
      <w:marTop w:val="0"/>
      <w:marBottom w:val="0"/>
      <w:divBdr>
        <w:top w:val="none" w:sz="0" w:space="0" w:color="auto"/>
        <w:left w:val="none" w:sz="0" w:space="0" w:color="auto"/>
        <w:bottom w:val="none" w:sz="0" w:space="0" w:color="auto"/>
        <w:right w:val="none" w:sz="0" w:space="0" w:color="auto"/>
      </w:divBdr>
      <w:divsChild>
        <w:div w:id="1227764359">
          <w:marLeft w:val="0"/>
          <w:marRight w:val="0"/>
          <w:marTop w:val="0"/>
          <w:marBottom w:val="0"/>
          <w:divBdr>
            <w:top w:val="none" w:sz="0" w:space="0" w:color="auto"/>
            <w:left w:val="none" w:sz="0" w:space="0" w:color="auto"/>
            <w:bottom w:val="none" w:sz="0" w:space="0" w:color="auto"/>
            <w:right w:val="none" w:sz="0" w:space="0" w:color="auto"/>
          </w:divBdr>
          <w:divsChild>
            <w:div w:id="1976793128">
              <w:marLeft w:val="0"/>
              <w:marRight w:val="0"/>
              <w:marTop w:val="0"/>
              <w:marBottom w:val="0"/>
              <w:divBdr>
                <w:top w:val="none" w:sz="0" w:space="0" w:color="auto"/>
                <w:left w:val="none" w:sz="0" w:space="0" w:color="auto"/>
                <w:bottom w:val="none" w:sz="0" w:space="0" w:color="auto"/>
                <w:right w:val="none" w:sz="0" w:space="0" w:color="auto"/>
              </w:divBdr>
              <w:divsChild>
                <w:div w:id="116487503">
                  <w:marLeft w:val="0"/>
                  <w:marRight w:val="0"/>
                  <w:marTop w:val="0"/>
                  <w:marBottom w:val="0"/>
                  <w:divBdr>
                    <w:top w:val="none" w:sz="0" w:space="0" w:color="auto"/>
                    <w:left w:val="none" w:sz="0" w:space="0" w:color="auto"/>
                    <w:bottom w:val="none" w:sz="0" w:space="0" w:color="auto"/>
                    <w:right w:val="none" w:sz="0" w:space="0" w:color="auto"/>
                  </w:divBdr>
                  <w:divsChild>
                    <w:div w:id="1368488488">
                      <w:marLeft w:val="0"/>
                      <w:marRight w:val="0"/>
                      <w:marTop w:val="0"/>
                      <w:marBottom w:val="0"/>
                      <w:divBdr>
                        <w:top w:val="none" w:sz="0" w:space="0" w:color="auto"/>
                        <w:left w:val="none" w:sz="0" w:space="0" w:color="auto"/>
                        <w:bottom w:val="none" w:sz="0" w:space="0" w:color="auto"/>
                        <w:right w:val="none" w:sz="0" w:space="0" w:color="auto"/>
                      </w:divBdr>
                      <w:divsChild>
                        <w:div w:id="1585064191">
                          <w:marLeft w:val="0"/>
                          <w:marRight w:val="0"/>
                          <w:marTop w:val="0"/>
                          <w:marBottom w:val="0"/>
                          <w:divBdr>
                            <w:top w:val="none" w:sz="0" w:space="0" w:color="auto"/>
                            <w:left w:val="none" w:sz="0" w:space="0" w:color="auto"/>
                            <w:bottom w:val="none" w:sz="0" w:space="0" w:color="auto"/>
                            <w:right w:val="none" w:sz="0" w:space="0" w:color="auto"/>
                          </w:divBdr>
                          <w:divsChild>
                            <w:div w:id="198504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106558">
      <w:bodyDiv w:val="1"/>
      <w:marLeft w:val="0"/>
      <w:marRight w:val="0"/>
      <w:marTop w:val="0"/>
      <w:marBottom w:val="0"/>
      <w:divBdr>
        <w:top w:val="none" w:sz="0" w:space="0" w:color="auto"/>
        <w:left w:val="none" w:sz="0" w:space="0" w:color="auto"/>
        <w:bottom w:val="none" w:sz="0" w:space="0" w:color="auto"/>
        <w:right w:val="none" w:sz="0" w:space="0" w:color="auto"/>
      </w:divBdr>
    </w:div>
    <w:div w:id="239020918">
      <w:bodyDiv w:val="1"/>
      <w:marLeft w:val="0"/>
      <w:marRight w:val="0"/>
      <w:marTop w:val="0"/>
      <w:marBottom w:val="0"/>
      <w:divBdr>
        <w:top w:val="none" w:sz="0" w:space="0" w:color="auto"/>
        <w:left w:val="none" w:sz="0" w:space="0" w:color="auto"/>
        <w:bottom w:val="none" w:sz="0" w:space="0" w:color="auto"/>
        <w:right w:val="none" w:sz="0" w:space="0" w:color="auto"/>
      </w:divBdr>
    </w:div>
    <w:div w:id="248126167">
      <w:bodyDiv w:val="1"/>
      <w:marLeft w:val="0"/>
      <w:marRight w:val="0"/>
      <w:marTop w:val="0"/>
      <w:marBottom w:val="0"/>
      <w:divBdr>
        <w:top w:val="none" w:sz="0" w:space="0" w:color="auto"/>
        <w:left w:val="none" w:sz="0" w:space="0" w:color="auto"/>
        <w:bottom w:val="none" w:sz="0" w:space="0" w:color="auto"/>
        <w:right w:val="none" w:sz="0" w:space="0" w:color="auto"/>
      </w:divBdr>
    </w:div>
    <w:div w:id="254018793">
      <w:bodyDiv w:val="1"/>
      <w:marLeft w:val="0"/>
      <w:marRight w:val="0"/>
      <w:marTop w:val="0"/>
      <w:marBottom w:val="0"/>
      <w:divBdr>
        <w:top w:val="none" w:sz="0" w:space="0" w:color="auto"/>
        <w:left w:val="none" w:sz="0" w:space="0" w:color="auto"/>
        <w:bottom w:val="none" w:sz="0" w:space="0" w:color="auto"/>
        <w:right w:val="none" w:sz="0" w:space="0" w:color="auto"/>
      </w:divBdr>
    </w:div>
    <w:div w:id="265426530">
      <w:bodyDiv w:val="1"/>
      <w:marLeft w:val="0"/>
      <w:marRight w:val="0"/>
      <w:marTop w:val="0"/>
      <w:marBottom w:val="0"/>
      <w:divBdr>
        <w:top w:val="none" w:sz="0" w:space="0" w:color="auto"/>
        <w:left w:val="none" w:sz="0" w:space="0" w:color="auto"/>
        <w:bottom w:val="none" w:sz="0" w:space="0" w:color="auto"/>
        <w:right w:val="none" w:sz="0" w:space="0" w:color="auto"/>
      </w:divBdr>
    </w:div>
    <w:div w:id="291374615">
      <w:bodyDiv w:val="1"/>
      <w:marLeft w:val="0"/>
      <w:marRight w:val="0"/>
      <w:marTop w:val="0"/>
      <w:marBottom w:val="0"/>
      <w:divBdr>
        <w:top w:val="none" w:sz="0" w:space="0" w:color="auto"/>
        <w:left w:val="none" w:sz="0" w:space="0" w:color="auto"/>
        <w:bottom w:val="none" w:sz="0" w:space="0" w:color="auto"/>
        <w:right w:val="none" w:sz="0" w:space="0" w:color="auto"/>
      </w:divBdr>
    </w:div>
    <w:div w:id="294453493">
      <w:bodyDiv w:val="1"/>
      <w:marLeft w:val="0"/>
      <w:marRight w:val="0"/>
      <w:marTop w:val="0"/>
      <w:marBottom w:val="0"/>
      <w:divBdr>
        <w:top w:val="none" w:sz="0" w:space="0" w:color="auto"/>
        <w:left w:val="none" w:sz="0" w:space="0" w:color="auto"/>
        <w:bottom w:val="none" w:sz="0" w:space="0" w:color="auto"/>
        <w:right w:val="none" w:sz="0" w:space="0" w:color="auto"/>
      </w:divBdr>
    </w:div>
    <w:div w:id="315497916">
      <w:bodyDiv w:val="1"/>
      <w:marLeft w:val="0"/>
      <w:marRight w:val="0"/>
      <w:marTop w:val="0"/>
      <w:marBottom w:val="0"/>
      <w:divBdr>
        <w:top w:val="none" w:sz="0" w:space="0" w:color="auto"/>
        <w:left w:val="none" w:sz="0" w:space="0" w:color="auto"/>
        <w:bottom w:val="none" w:sz="0" w:space="0" w:color="auto"/>
        <w:right w:val="none" w:sz="0" w:space="0" w:color="auto"/>
      </w:divBdr>
    </w:div>
    <w:div w:id="324867667">
      <w:bodyDiv w:val="1"/>
      <w:marLeft w:val="0"/>
      <w:marRight w:val="0"/>
      <w:marTop w:val="0"/>
      <w:marBottom w:val="0"/>
      <w:divBdr>
        <w:top w:val="none" w:sz="0" w:space="0" w:color="auto"/>
        <w:left w:val="none" w:sz="0" w:space="0" w:color="auto"/>
        <w:bottom w:val="none" w:sz="0" w:space="0" w:color="auto"/>
        <w:right w:val="none" w:sz="0" w:space="0" w:color="auto"/>
      </w:divBdr>
    </w:div>
    <w:div w:id="351802407">
      <w:bodyDiv w:val="1"/>
      <w:marLeft w:val="0"/>
      <w:marRight w:val="0"/>
      <w:marTop w:val="0"/>
      <w:marBottom w:val="0"/>
      <w:divBdr>
        <w:top w:val="none" w:sz="0" w:space="0" w:color="auto"/>
        <w:left w:val="none" w:sz="0" w:space="0" w:color="auto"/>
        <w:bottom w:val="none" w:sz="0" w:space="0" w:color="auto"/>
        <w:right w:val="none" w:sz="0" w:space="0" w:color="auto"/>
      </w:divBdr>
    </w:div>
    <w:div w:id="373116891">
      <w:bodyDiv w:val="1"/>
      <w:marLeft w:val="0"/>
      <w:marRight w:val="0"/>
      <w:marTop w:val="0"/>
      <w:marBottom w:val="0"/>
      <w:divBdr>
        <w:top w:val="none" w:sz="0" w:space="0" w:color="auto"/>
        <w:left w:val="none" w:sz="0" w:space="0" w:color="auto"/>
        <w:bottom w:val="none" w:sz="0" w:space="0" w:color="auto"/>
        <w:right w:val="none" w:sz="0" w:space="0" w:color="auto"/>
      </w:divBdr>
    </w:div>
    <w:div w:id="388461069">
      <w:bodyDiv w:val="1"/>
      <w:marLeft w:val="0"/>
      <w:marRight w:val="0"/>
      <w:marTop w:val="0"/>
      <w:marBottom w:val="0"/>
      <w:divBdr>
        <w:top w:val="none" w:sz="0" w:space="0" w:color="auto"/>
        <w:left w:val="none" w:sz="0" w:space="0" w:color="auto"/>
        <w:bottom w:val="none" w:sz="0" w:space="0" w:color="auto"/>
        <w:right w:val="none" w:sz="0" w:space="0" w:color="auto"/>
      </w:divBdr>
    </w:div>
    <w:div w:id="407388010">
      <w:bodyDiv w:val="1"/>
      <w:marLeft w:val="0"/>
      <w:marRight w:val="0"/>
      <w:marTop w:val="0"/>
      <w:marBottom w:val="0"/>
      <w:divBdr>
        <w:top w:val="none" w:sz="0" w:space="0" w:color="auto"/>
        <w:left w:val="none" w:sz="0" w:space="0" w:color="auto"/>
        <w:bottom w:val="none" w:sz="0" w:space="0" w:color="auto"/>
        <w:right w:val="none" w:sz="0" w:space="0" w:color="auto"/>
      </w:divBdr>
    </w:div>
    <w:div w:id="411396270">
      <w:bodyDiv w:val="1"/>
      <w:marLeft w:val="0"/>
      <w:marRight w:val="0"/>
      <w:marTop w:val="0"/>
      <w:marBottom w:val="0"/>
      <w:divBdr>
        <w:top w:val="none" w:sz="0" w:space="0" w:color="auto"/>
        <w:left w:val="none" w:sz="0" w:space="0" w:color="auto"/>
        <w:bottom w:val="none" w:sz="0" w:space="0" w:color="auto"/>
        <w:right w:val="none" w:sz="0" w:space="0" w:color="auto"/>
      </w:divBdr>
    </w:div>
    <w:div w:id="450057717">
      <w:bodyDiv w:val="1"/>
      <w:marLeft w:val="0"/>
      <w:marRight w:val="0"/>
      <w:marTop w:val="0"/>
      <w:marBottom w:val="0"/>
      <w:divBdr>
        <w:top w:val="none" w:sz="0" w:space="0" w:color="auto"/>
        <w:left w:val="none" w:sz="0" w:space="0" w:color="auto"/>
        <w:bottom w:val="none" w:sz="0" w:space="0" w:color="auto"/>
        <w:right w:val="none" w:sz="0" w:space="0" w:color="auto"/>
      </w:divBdr>
    </w:div>
    <w:div w:id="455217278">
      <w:bodyDiv w:val="1"/>
      <w:marLeft w:val="0"/>
      <w:marRight w:val="0"/>
      <w:marTop w:val="0"/>
      <w:marBottom w:val="0"/>
      <w:divBdr>
        <w:top w:val="none" w:sz="0" w:space="0" w:color="auto"/>
        <w:left w:val="none" w:sz="0" w:space="0" w:color="auto"/>
        <w:bottom w:val="none" w:sz="0" w:space="0" w:color="auto"/>
        <w:right w:val="none" w:sz="0" w:space="0" w:color="auto"/>
      </w:divBdr>
    </w:div>
    <w:div w:id="477964495">
      <w:bodyDiv w:val="1"/>
      <w:marLeft w:val="0"/>
      <w:marRight w:val="0"/>
      <w:marTop w:val="0"/>
      <w:marBottom w:val="0"/>
      <w:divBdr>
        <w:top w:val="none" w:sz="0" w:space="0" w:color="auto"/>
        <w:left w:val="none" w:sz="0" w:space="0" w:color="auto"/>
        <w:bottom w:val="none" w:sz="0" w:space="0" w:color="auto"/>
        <w:right w:val="none" w:sz="0" w:space="0" w:color="auto"/>
      </w:divBdr>
    </w:div>
    <w:div w:id="501120605">
      <w:bodyDiv w:val="1"/>
      <w:marLeft w:val="0"/>
      <w:marRight w:val="0"/>
      <w:marTop w:val="0"/>
      <w:marBottom w:val="0"/>
      <w:divBdr>
        <w:top w:val="none" w:sz="0" w:space="0" w:color="auto"/>
        <w:left w:val="none" w:sz="0" w:space="0" w:color="auto"/>
        <w:bottom w:val="none" w:sz="0" w:space="0" w:color="auto"/>
        <w:right w:val="none" w:sz="0" w:space="0" w:color="auto"/>
      </w:divBdr>
      <w:divsChild>
        <w:div w:id="813914542">
          <w:marLeft w:val="0"/>
          <w:marRight w:val="0"/>
          <w:marTop w:val="0"/>
          <w:marBottom w:val="0"/>
          <w:divBdr>
            <w:top w:val="none" w:sz="0" w:space="0" w:color="auto"/>
            <w:left w:val="none" w:sz="0" w:space="0" w:color="auto"/>
            <w:bottom w:val="none" w:sz="0" w:space="0" w:color="auto"/>
            <w:right w:val="none" w:sz="0" w:space="0" w:color="auto"/>
          </w:divBdr>
          <w:divsChild>
            <w:div w:id="1526209843">
              <w:marLeft w:val="0"/>
              <w:marRight w:val="0"/>
              <w:marTop w:val="0"/>
              <w:marBottom w:val="0"/>
              <w:divBdr>
                <w:top w:val="none" w:sz="0" w:space="0" w:color="auto"/>
                <w:left w:val="none" w:sz="0" w:space="0" w:color="auto"/>
                <w:bottom w:val="none" w:sz="0" w:space="0" w:color="auto"/>
                <w:right w:val="none" w:sz="0" w:space="0" w:color="auto"/>
              </w:divBdr>
              <w:divsChild>
                <w:div w:id="137577706">
                  <w:marLeft w:val="0"/>
                  <w:marRight w:val="0"/>
                  <w:marTop w:val="0"/>
                  <w:marBottom w:val="0"/>
                  <w:divBdr>
                    <w:top w:val="none" w:sz="0" w:space="0" w:color="auto"/>
                    <w:left w:val="none" w:sz="0" w:space="0" w:color="auto"/>
                    <w:bottom w:val="none" w:sz="0" w:space="0" w:color="auto"/>
                    <w:right w:val="none" w:sz="0" w:space="0" w:color="auto"/>
                  </w:divBdr>
                  <w:divsChild>
                    <w:div w:id="497506577">
                      <w:marLeft w:val="0"/>
                      <w:marRight w:val="0"/>
                      <w:marTop w:val="0"/>
                      <w:marBottom w:val="0"/>
                      <w:divBdr>
                        <w:top w:val="none" w:sz="0" w:space="0" w:color="auto"/>
                        <w:left w:val="none" w:sz="0" w:space="0" w:color="auto"/>
                        <w:bottom w:val="none" w:sz="0" w:space="0" w:color="auto"/>
                        <w:right w:val="none" w:sz="0" w:space="0" w:color="auto"/>
                      </w:divBdr>
                      <w:divsChild>
                        <w:div w:id="1007557014">
                          <w:marLeft w:val="0"/>
                          <w:marRight w:val="0"/>
                          <w:marTop w:val="0"/>
                          <w:marBottom w:val="0"/>
                          <w:divBdr>
                            <w:top w:val="none" w:sz="0" w:space="0" w:color="auto"/>
                            <w:left w:val="none" w:sz="0" w:space="0" w:color="auto"/>
                            <w:bottom w:val="none" w:sz="0" w:space="0" w:color="auto"/>
                            <w:right w:val="none" w:sz="0" w:space="0" w:color="auto"/>
                          </w:divBdr>
                          <w:divsChild>
                            <w:div w:id="18371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6316081">
      <w:bodyDiv w:val="1"/>
      <w:marLeft w:val="0"/>
      <w:marRight w:val="0"/>
      <w:marTop w:val="0"/>
      <w:marBottom w:val="0"/>
      <w:divBdr>
        <w:top w:val="none" w:sz="0" w:space="0" w:color="auto"/>
        <w:left w:val="none" w:sz="0" w:space="0" w:color="auto"/>
        <w:bottom w:val="none" w:sz="0" w:space="0" w:color="auto"/>
        <w:right w:val="none" w:sz="0" w:space="0" w:color="auto"/>
      </w:divBdr>
      <w:divsChild>
        <w:div w:id="1406146028">
          <w:marLeft w:val="0"/>
          <w:marRight w:val="0"/>
          <w:marTop w:val="0"/>
          <w:marBottom w:val="0"/>
          <w:divBdr>
            <w:top w:val="none" w:sz="0" w:space="0" w:color="auto"/>
            <w:left w:val="none" w:sz="0" w:space="0" w:color="auto"/>
            <w:bottom w:val="none" w:sz="0" w:space="0" w:color="auto"/>
            <w:right w:val="none" w:sz="0" w:space="0" w:color="auto"/>
          </w:divBdr>
          <w:divsChild>
            <w:div w:id="618026399">
              <w:marLeft w:val="0"/>
              <w:marRight w:val="0"/>
              <w:marTop w:val="0"/>
              <w:marBottom w:val="0"/>
              <w:divBdr>
                <w:top w:val="none" w:sz="0" w:space="0" w:color="auto"/>
                <w:left w:val="none" w:sz="0" w:space="0" w:color="auto"/>
                <w:bottom w:val="none" w:sz="0" w:space="0" w:color="auto"/>
                <w:right w:val="none" w:sz="0" w:space="0" w:color="auto"/>
              </w:divBdr>
              <w:divsChild>
                <w:div w:id="660280843">
                  <w:marLeft w:val="0"/>
                  <w:marRight w:val="0"/>
                  <w:marTop w:val="0"/>
                  <w:marBottom w:val="0"/>
                  <w:divBdr>
                    <w:top w:val="none" w:sz="0" w:space="0" w:color="auto"/>
                    <w:left w:val="none" w:sz="0" w:space="0" w:color="auto"/>
                    <w:bottom w:val="none" w:sz="0" w:space="0" w:color="auto"/>
                    <w:right w:val="none" w:sz="0" w:space="0" w:color="auto"/>
                  </w:divBdr>
                  <w:divsChild>
                    <w:div w:id="2104958469">
                      <w:marLeft w:val="0"/>
                      <w:marRight w:val="0"/>
                      <w:marTop w:val="0"/>
                      <w:marBottom w:val="0"/>
                      <w:divBdr>
                        <w:top w:val="none" w:sz="0" w:space="0" w:color="auto"/>
                        <w:left w:val="none" w:sz="0" w:space="0" w:color="auto"/>
                        <w:bottom w:val="none" w:sz="0" w:space="0" w:color="auto"/>
                        <w:right w:val="none" w:sz="0" w:space="0" w:color="auto"/>
                      </w:divBdr>
                      <w:divsChild>
                        <w:div w:id="1707874249">
                          <w:marLeft w:val="0"/>
                          <w:marRight w:val="0"/>
                          <w:marTop w:val="0"/>
                          <w:marBottom w:val="0"/>
                          <w:divBdr>
                            <w:top w:val="none" w:sz="0" w:space="0" w:color="auto"/>
                            <w:left w:val="none" w:sz="0" w:space="0" w:color="auto"/>
                            <w:bottom w:val="none" w:sz="0" w:space="0" w:color="auto"/>
                            <w:right w:val="none" w:sz="0" w:space="0" w:color="auto"/>
                          </w:divBdr>
                          <w:divsChild>
                            <w:div w:id="210517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133154">
      <w:bodyDiv w:val="1"/>
      <w:marLeft w:val="0"/>
      <w:marRight w:val="0"/>
      <w:marTop w:val="0"/>
      <w:marBottom w:val="0"/>
      <w:divBdr>
        <w:top w:val="none" w:sz="0" w:space="0" w:color="auto"/>
        <w:left w:val="none" w:sz="0" w:space="0" w:color="auto"/>
        <w:bottom w:val="none" w:sz="0" w:space="0" w:color="auto"/>
        <w:right w:val="none" w:sz="0" w:space="0" w:color="auto"/>
      </w:divBdr>
      <w:divsChild>
        <w:div w:id="596135355">
          <w:marLeft w:val="0"/>
          <w:marRight w:val="0"/>
          <w:marTop w:val="0"/>
          <w:marBottom w:val="0"/>
          <w:divBdr>
            <w:top w:val="none" w:sz="0" w:space="0" w:color="auto"/>
            <w:left w:val="none" w:sz="0" w:space="0" w:color="auto"/>
            <w:bottom w:val="none" w:sz="0" w:space="0" w:color="auto"/>
            <w:right w:val="none" w:sz="0" w:space="0" w:color="auto"/>
          </w:divBdr>
          <w:divsChild>
            <w:div w:id="1868981042">
              <w:marLeft w:val="0"/>
              <w:marRight w:val="0"/>
              <w:marTop w:val="0"/>
              <w:marBottom w:val="0"/>
              <w:divBdr>
                <w:top w:val="none" w:sz="0" w:space="0" w:color="auto"/>
                <w:left w:val="none" w:sz="0" w:space="0" w:color="auto"/>
                <w:bottom w:val="none" w:sz="0" w:space="0" w:color="auto"/>
                <w:right w:val="none" w:sz="0" w:space="0" w:color="auto"/>
              </w:divBdr>
              <w:divsChild>
                <w:div w:id="1757166776">
                  <w:marLeft w:val="0"/>
                  <w:marRight w:val="0"/>
                  <w:marTop w:val="0"/>
                  <w:marBottom w:val="0"/>
                  <w:divBdr>
                    <w:top w:val="none" w:sz="0" w:space="0" w:color="auto"/>
                    <w:left w:val="none" w:sz="0" w:space="0" w:color="auto"/>
                    <w:bottom w:val="none" w:sz="0" w:space="0" w:color="auto"/>
                    <w:right w:val="none" w:sz="0" w:space="0" w:color="auto"/>
                  </w:divBdr>
                  <w:divsChild>
                    <w:div w:id="1666008892">
                      <w:marLeft w:val="0"/>
                      <w:marRight w:val="0"/>
                      <w:marTop w:val="0"/>
                      <w:marBottom w:val="0"/>
                      <w:divBdr>
                        <w:top w:val="none" w:sz="0" w:space="0" w:color="auto"/>
                        <w:left w:val="none" w:sz="0" w:space="0" w:color="auto"/>
                        <w:bottom w:val="none" w:sz="0" w:space="0" w:color="auto"/>
                        <w:right w:val="none" w:sz="0" w:space="0" w:color="auto"/>
                      </w:divBdr>
                      <w:divsChild>
                        <w:div w:id="295837033">
                          <w:marLeft w:val="0"/>
                          <w:marRight w:val="0"/>
                          <w:marTop w:val="0"/>
                          <w:marBottom w:val="0"/>
                          <w:divBdr>
                            <w:top w:val="none" w:sz="0" w:space="0" w:color="auto"/>
                            <w:left w:val="none" w:sz="0" w:space="0" w:color="auto"/>
                            <w:bottom w:val="none" w:sz="0" w:space="0" w:color="auto"/>
                            <w:right w:val="none" w:sz="0" w:space="0" w:color="auto"/>
                          </w:divBdr>
                          <w:divsChild>
                            <w:div w:id="166608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603431">
      <w:bodyDiv w:val="1"/>
      <w:marLeft w:val="0"/>
      <w:marRight w:val="0"/>
      <w:marTop w:val="0"/>
      <w:marBottom w:val="0"/>
      <w:divBdr>
        <w:top w:val="none" w:sz="0" w:space="0" w:color="auto"/>
        <w:left w:val="none" w:sz="0" w:space="0" w:color="auto"/>
        <w:bottom w:val="none" w:sz="0" w:space="0" w:color="auto"/>
        <w:right w:val="none" w:sz="0" w:space="0" w:color="auto"/>
      </w:divBdr>
    </w:div>
    <w:div w:id="543830510">
      <w:bodyDiv w:val="1"/>
      <w:marLeft w:val="0"/>
      <w:marRight w:val="0"/>
      <w:marTop w:val="0"/>
      <w:marBottom w:val="0"/>
      <w:divBdr>
        <w:top w:val="none" w:sz="0" w:space="0" w:color="auto"/>
        <w:left w:val="none" w:sz="0" w:space="0" w:color="auto"/>
        <w:bottom w:val="none" w:sz="0" w:space="0" w:color="auto"/>
        <w:right w:val="none" w:sz="0" w:space="0" w:color="auto"/>
      </w:divBdr>
    </w:div>
    <w:div w:id="639380225">
      <w:bodyDiv w:val="1"/>
      <w:marLeft w:val="0"/>
      <w:marRight w:val="0"/>
      <w:marTop w:val="0"/>
      <w:marBottom w:val="0"/>
      <w:divBdr>
        <w:top w:val="none" w:sz="0" w:space="0" w:color="auto"/>
        <w:left w:val="none" w:sz="0" w:space="0" w:color="auto"/>
        <w:bottom w:val="none" w:sz="0" w:space="0" w:color="auto"/>
        <w:right w:val="none" w:sz="0" w:space="0" w:color="auto"/>
      </w:divBdr>
    </w:div>
    <w:div w:id="647395750">
      <w:bodyDiv w:val="1"/>
      <w:marLeft w:val="0"/>
      <w:marRight w:val="0"/>
      <w:marTop w:val="0"/>
      <w:marBottom w:val="0"/>
      <w:divBdr>
        <w:top w:val="none" w:sz="0" w:space="0" w:color="auto"/>
        <w:left w:val="none" w:sz="0" w:space="0" w:color="auto"/>
        <w:bottom w:val="none" w:sz="0" w:space="0" w:color="auto"/>
        <w:right w:val="none" w:sz="0" w:space="0" w:color="auto"/>
      </w:divBdr>
      <w:divsChild>
        <w:div w:id="633872404">
          <w:marLeft w:val="0"/>
          <w:marRight w:val="0"/>
          <w:marTop w:val="0"/>
          <w:marBottom w:val="0"/>
          <w:divBdr>
            <w:top w:val="none" w:sz="0" w:space="0" w:color="auto"/>
            <w:left w:val="none" w:sz="0" w:space="0" w:color="auto"/>
            <w:bottom w:val="none" w:sz="0" w:space="0" w:color="auto"/>
            <w:right w:val="none" w:sz="0" w:space="0" w:color="auto"/>
          </w:divBdr>
          <w:divsChild>
            <w:div w:id="11614461">
              <w:marLeft w:val="0"/>
              <w:marRight w:val="0"/>
              <w:marTop w:val="0"/>
              <w:marBottom w:val="240"/>
              <w:divBdr>
                <w:top w:val="none" w:sz="0" w:space="0" w:color="auto"/>
                <w:left w:val="none" w:sz="0" w:space="0" w:color="auto"/>
                <w:bottom w:val="none" w:sz="0" w:space="0" w:color="auto"/>
                <w:right w:val="none" w:sz="0" w:space="0" w:color="auto"/>
              </w:divBdr>
              <w:divsChild>
                <w:div w:id="428309546">
                  <w:marLeft w:val="360"/>
                  <w:marRight w:val="96"/>
                  <w:marTop w:val="0"/>
                  <w:marBottom w:val="0"/>
                  <w:divBdr>
                    <w:top w:val="none" w:sz="0" w:space="0" w:color="auto"/>
                    <w:left w:val="none" w:sz="0" w:space="0" w:color="auto"/>
                    <w:bottom w:val="none" w:sz="0" w:space="0" w:color="auto"/>
                    <w:right w:val="none" w:sz="0" w:space="0" w:color="auto"/>
                  </w:divBdr>
                </w:div>
              </w:divsChild>
            </w:div>
            <w:div w:id="26562484">
              <w:marLeft w:val="0"/>
              <w:marRight w:val="0"/>
              <w:marTop w:val="0"/>
              <w:marBottom w:val="240"/>
              <w:divBdr>
                <w:top w:val="none" w:sz="0" w:space="0" w:color="auto"/>
                <w:left w:val="none" w:sz="0" w:space="0" w:color="auto"/>
                <w:bottom w:val="none" w:sz="0" w:space="0" w:color="auto"/>
                <w:right w:val="none" w:sz="0" w:space="0" w:color="auto"/>
              </w:divBdr>
              <w:divsChild>
                <w:div w:id="1920212644">
                  <w:marLeft w:val="360"/>
                  <w:marRight w:val="96"/>
                  <w:marTop w:val="0"/>
                  <w:marBottom w:val="0"/>
                  <w:divBdr>
                    <w:top w:val="none" w:sz="0" w:space="0" w:color="auto"/>
                    <w:left w:val="none" w:sz="0" w:space="0" w:color="auto"/>
                    <w:bottom w:val="none" w:sz="0" w:space="0" w:color="auto"/>
                    <w:right w:val="none" w:sz="0" w:space="0" w:color="auto"/>
                  </w:divBdr>
                </w:div>
              </w:divsChild>
            </w:div>
            <w:div w:id="27266297">
              <w:marLeft w:val="0"/>
              <w:marRight w:val="0"/>
              <w:marTop w:val="0"/>
              <w:marBottom w:val="240"/>
              <w:divBdr>
                <w:top w:val="none" w:sz="0" w:space="0" w:color="auto"/>
                <w:left w:val="none" w:sz="0" w:space="0" w:color="auto"/>
                <w:bottom w:val="none" w:sz="0" w:space="0" w:color="auto"/>
                <w:right w:val="none" w:sz="0" w:space="0" w:color="auto"/>
              </w:divBdr>
              <w:divsChild>
                <w:div w:id="2015524182">
                  <w:marLeft w:val="360"/>
                  <w:marRight w:val="96"/>
                  <w:marTop w:val="0"/>
                  <w:marBottom w:val="0"/>
                  <w:divBdr>
                    <w:top w:val="none" w:sz="0" w:space="0" w:color="auto"/>
                    <w:left w:val="none" w:sz="0" w:space="0" w:color="auto"/>
                    <w:bottom w:val="none" w:sz="0" w:space="0" w:color="auto"/>
                    <w:right w:val="none" w:sz="0" w:space="0" w:color="auto"/>
                  </w:divBdr>
                </w:div>
              </w:divsChild>
            </w:div>
            <w:div w:id="80764248">
              <w:marLeft w:val="0"/>
              <w:marRight w:val="0"/>
              <w:marTop w:val="0"/>
              <w:marBottom w:val="240"/>
              <w:divBdr>
                <w:top w:val="none" w:sz="0" w:space="0" w:color="auto"/>
                <w:left w:val="none" w:sz="0" w:space="0" w:color="auto"/>
                <w:bottom w:val="none" w:sz="0" w:space="0" w:color="auto"/>
                <w:right w:val="none" w:sz="0" w:space="0" w:color="auto"/>
              </w:divBdr>
              <w:divsChild>
                <w:div w:id="200944943">
                  <w:marLeft w:val="360"/>
                  <w:marRight w:val="96"/>
                  <w:marTop w:val="0"/>
                  <w:marBottom w:val="0"/>
                  <w:divBdr>
                    <w:top w:val="none" w:sz="0" w:space="0" w:color="auto"/>
                    <w:left w:val="none" w:sz="0" w:space="0" w:color="auto"/>
                    <w:bottom w:val="none" w:sz="0" w:space="0" w:color="auto"/>
                    <w:right w:val="none" w:sz="0" w:space="0" w:color="auto"/>
                  </w:divBdr>
                </w:div>
              </w:divsChild>
            </w:div>
            <w:div w:id="180822842">
              <w:marLeft w:val="0"/>
              <w:marRight w:val="0"/>
              <w:marTop w:val="0"/>
              <w:marBottom w:val="240"/>
              <w:divBdr>
                <w:top w:val="none" w:sz="0" w:space="0" w:color="auto"/>
                <w:left w:val="none" w:sz="0" w:space="0" w:color="auto"/>
                <w:bottom w:val="none" w:sz="0" w:space="0" w:color="auto"/>
                <w:right w:val="none" w:sz="0" w:space="0" w:color="auto"/>
              </w:divBdr>
              <w:divsChild>
                <w:div w:id="401146593">
                  <w:marLeft w:val="360"/>
                  <w:marRight w:val="96"/>
                  <w:marTop w:val="0"/>
                  <w:marBottom w:val="0"/>
                  <w:divBdr>
                    <w:top w:val="none" w:sz="0" w:space="0" w:color="auto"/>
                    <w:left w:val="none" w:sz="0" w:space="0" w:color="auto"/>
                    <w:bottom w:val="none" w:sz="0" w:space="0" w:color="auto"/>
                    <w:right w:val="none" w:sz="0" w:space="0" w:color="auto"/>
                  </w:divBdr>
                </w:div>
              </w:divsChild>
            </w:div>
            <w:div w:id="185019953">
              <w:marLeft w:val="0"/>
              <w:marRight w:val="0"/>
              <w:marTop w:val="0"/>
              <w:marBottom w:val="240"/>
              <w:divBdr>
                <w:top w:val="none" w:sz="0" w:space="0" w:color="auto"/>
                <w:left w:val="none" w:sz="0" w:space="0" w:color="auto"/>
                <w:bottom w:val="none" w:sz="0" w:space="0" w:color="auto"/>
                <w:right w:val="none" w:sz="0" w:space="0" w:color="auto"/>
              </w:divBdr>
              <w:divsChild>
                <w:div w:id="143470442">
                  <w:marLeft w:val="360"/>
                  <w:marRight w:val="96"/>
                  <w:marTop w:val="0"/>
                  <w:marBottom w:val="0"/>
                  <w:divBdr>
                    <w:top w:val="none" w:sz="0" w:space="0" w:color="auto"/>
                    <w:left w:val="none" w:sz="0" w:space="0" w:color="auto"/>
                    <w:bottom w:val="none" w:sz="0" w:space="0" w:color="auto"/>
                    <w:right w:val="none" w:sz="0" w:space="0" w:color="auto"/>
                  </w:divBdr>
                </w:div>
              </w:divsChild>
            </w:div>
            <w:div w:id="208031785">
              <w:marLeft w:val="0"/>
              <w:marRight w:val="0"/>
              <w:marTop w:val="0"/>
              <w:marBottom w:val="240"/>
              <w:divBdr>
                <w:top w:val="none" w:sz="0" w:space="0" w:color="auto"/>
                <w:left w:val="none" w:sz="0" w:space="0" w:color="auto"/>
                <w:bottom w:val="none" w:sz="0" w:space="0" w:color="auto"/>
                <w:right w:val="none" w:sz="0" w:space="0" w:color="auto"/>
              </w:divBdr>
              <w:divsChild>
                <w:div w:id="840244616">
                  <w:marLeft w:val="360"/>
                  <w:marRight w:val="96"/>
                  <w:marTop w:val="0"/>
                  <w:marBottom w:val="0"/>
                  <w:divBdr>
                    <w:top w:val="none" w:sz="0" w:space="0" w:color="auto"/>
                    <w:left w:val="none" w:sz="0" w:space="0" w:color="auto"/>
                    <w:bottom w:val="none" w:sz="0" w:space="0" w:color="auto"/>
                    <w:right w:val="none" w:sz="0" w:space="0" w:color="auto"/>
                  </w:divBdr>
                </w:div>
              </w:divsChild>
            </w:div>
            <w:div w:id="211577487">
              <w:marLeft w:val="0"/>
              <w:marRight w:val="0"/>
              <w:marTop w:val="0"/>
              <w:marBottom w:val="240"/>
              <w:divBdr>
                <w:top w:val="none" w:sz="0" w:space="0" w:color="auto"/>
                <w:left w:val="none" w:sz="0" w:space="0" w:color="auto"/>
                <w:bottom w:val="none" w:sz="0" w:space="0" w:color="auto"/>
                <w:right w:val="none" w:sz="0" w:space="0" w:color="auto"/>
              </w:divBdr>
              <w:divsChild>
                <w:div w:id="1328627743">
                  <w:marLeft w:val="360"/>
                  <w:marRight w:val="96"/>
                  <w:marTop w:val="0"/>
                  <w:marBottom w:val="0"/>
                  <w:divBdr>
                    <w:top w:val="none" w:sz="0" w:space="0" w:color="auto"/>
                    <w:left w:val="none" w:sz="0" w:space="0" w:color="auto"/>
                    <w:bottom w:val="none" w:sz="0" w:space="0" w:color="auto"/>
                    <w:right w:val="none" w:sz="0" w:space="0" w:color="auto"/>
                  </w:divBdr>
                </w:div>
              </w:divsChild>
            </w:div>
            <w:div w:id="281574071">
              <w:marLeft w:val="0"/>
              <w:marRight w:val="0"/>
              <w:marTop w:val="0"/>
              <w:marBottom w:val="240"/>
              <w:divBdr>
                <w:top w:val="none" w:sz="0" w:space="0" w:color="auto"/>
                <w:left w:val="none" w:sz="0" w:space="0" w:color="auto"/>
                <w:bottom w:val="none" w:sz="0" w:space="0" w:color="auto"/>
                <w:right w:val="none" w:sz="0" w:space="0" w:color="auto"/>
              </w:divBdr>
              <w:divsChild>
                <w:div w:id="1793011402">
                  <w:marLeft w:val="360"/>
                  <w:marRight w:val="96"/>
                  <w:marTop w:val="0"/>
                  <w:marBottom w:val="0"/>
                  <w:divBdr>
                    <w:top w:val="none" w:sz="0" w:space="0" w:color="auto"/>
                    <w:left w:val="none" w:sz="0" w:space="0" w:color="auto"/>
                    <w:bottom w:val="none" w:sz="0" w:space="0" w:color="auto"/>
                    <w:right w:val="none" w:sz="0" w:space="0" w:color="auto"/>
                  </w:divBdr>
                </w:div>
              </w:divsChild>
            </w:div>
            <w:div w:id="332609209">
              <w:marLeft w:val="0"/>
              <w:marRight w:val="0"/>
              <w:marTop w:val="0"/>
              <w:marBottom w:val="240"/>
              <w:divBdr>
                <w:top w:val="none" w:sz="0" w:space="0" w:color="auto"/>
                <w:left w:val="none" w:sz="0" w:space="0" w:color="auto"/>
                <w:bottom w:val="none" w:sz="0" w:space="0" w:color="auto"/>
                <w:right w:val="none" w:sz="0" w:space="0" w:color="auto"/>
              </w:divBdr>
              <w:divsChild>
                <w:div w:id="423649264">
                  <w:marLeft w:val="360"/>
                  <w:marRight w:val="96"/>
                  <w:marTop w:val="0"/>
                  <w:marBottom w:val="0"/>
                  <w:divBdr>
                    <w:top w:val="none" w:sz="0" w:space="0" w:color="auto"/>
                    <w:left w:val="none" w:sz="0" w:space="0" w:color="auto"/>
                    <w:bottom w:val="none" w:sz="0" w:space="0" w:color="auto"/>
                    <w:right w:val="none" w:sz="0" w:space="0" w:color="auto"/>
                  </w:divBdr>
                </w:div>
              </w:divsChild>
            </w:div>
            <w:div w:id="365764878">
              <w:marLeft w:val="0"/>
              <w:marRight w:val="0"/>
              <w:marTop w:val="0"/>
              <w:marBottom w:val="240"/>
              <w:divBdr>
                <w:top w:val="none" w:sz="0" w:space="0" w:color="auto"/>
                <w:left w:val="none" w:sz="0" w:space="0" w:color="auto"/>
                <w:bottom w:val="none" w:sz="0" w:space="0" w:color="auto"/>
                <w:right w:val="none" w:sz="0" w:space="0" w:color="auto"/>
              </w:divBdr>
              <w:divsChild>
                <w:div w:id="704864477">
                  <w:marLeft w:val="360"/>
                  <w:marRight w:val="96"/>
                  <w:marTop w:val="0"/>
                  <w:marBottom w:val="0"/>
                  <w:divBdr>
                    <w:top w:val="none" w:sz="0" w:space="0" w:color="auto"/>
                    <w:left w:val="none" w:sz="0" w:space="0" w:color="auto"/>
                    <w:bottom w:val="none" w:sz="0" w:space="0" w:color="auto"/>
                    <w:right w:val="none" w:sz="0" w:space="0" w:color="auto"/>
                  </w:divBdr>
                </w:div>
              </w:divsChild>
            </w:div>
            <w:div w:id="402067782">
              <w:marLeft w:val="0"/>
              <w:marRight w:val="0"/>
              <w:marTop w:val="0"/>
              <w:marBottom w:val="240"/>
              <w:divBdr>
                <w:top w:val="none" w:sz="0" w:space="0" w:color="auto"/>
                <w:left w:val="none" w:sz="0" w:space="0" w:color="auto"/>
                <w:bottom w:val="none" w:sz="0" w:space="0" w:color="auto"/>
                <w:right w:val="none" w:sz="0" w:space="0" w:color="auto"/>
              </w:divBdr>
              <w:divsChild>
                <w:div w:id="2109232581">
                  <w:marLeft w:val="360"/>
                  <w:marRight w:val="96"/>
                  <w:marTop w:val="0"/>
                  <w:marBottom w:val="0"/>
                  <w:divBdr>
                    <w:top w:val="none" w:sz="0" w:space="0" w:color="auto"/>
                    <w:left w:val="none" w:sz="0" w:space="0" w:color="auto"/>
                    <w:bottom w:val="none" w:sz="0" w:space="0" w:color="auto"/>
                    <w:right w:val="none" w:sz="0" w:space="0" w:color="auto"/>
                  </w:divBdr>
                </w:div>
              </w:divsChild>
            </w:div>
            <w:div w:id="415711922">
              <w:marLeft w:val="0"/>
              <w:marRight w:val="0"/>
              <w:marTop w:val="0"/>
              <w:marBottom w:val="240"/>
              <w:divBdr>
                <w:top w:val="none" w:sz="0" w:space="0" w:color="auto"/>
                <w:left w:val="none" w:sz="0" w:space="0" w:color="auto"/>
                <w:bottom w:val="none" w:sz="0" w:space="0" w:color="auto"/>
                <w:right w:val="none" w:sz="0" w:space="0" w:color="auto"/>
              </w:divBdr>
              <w:divsChild>
                <w:div w:id="296377581">
                  <w:marLeft w:val="360"/>
                  <w:marRight w:val="96"/>
                  <w:marTop w:val="0"/>
                  <w:marBottom w:val="0"/>
                  <w:divBdr>
                    <w:top w:val="none" w:sz="0" w:space="0" w:color="auto"/>
                    <w:left w:val="none" w:sz="0" w:space="0" w:color="auto"/>
                    <w:bottom w:val="none" w:sz="0" w:space="0" w:color="auto"/>
                    <w:right w:val="none" w:sz="0" w:space="0" w:color="auto"/>
                  </w:divBdr>
                </w:div>
              </w:divsChild>
            </w:div>
            <w:div w:id="416827152">
              <w:marLeft w:val="0"/>
              <w:marRight w:val="0"/>
              <w:marTop w:val="0"/>
              <w:marBottom w:val="240"/>
              <w:divBdr>
                <w:top w:val="none" w:sz="0" w:space="0" w:color="auto"/>
                <w:left w:val="none" w:sz="0" w:space="0" w:color="auto"/>
                <w:bottom w:val="none" w:sz="0" w:space="0" w:color="auto"/>
                <w:right w:val="none" w:sz="0" w:space="0" w:color="auto"/>
              </w:divBdr>
              <w:divsChild>
                <w:div w:id="1070078711">
                  <w:marLeft w:val="360"/>
                  <w:marRight w:val="96"/>
                  <w:marTop w:val="0"/>
                  <w:marBottom w:val="0"/>
                  <w:divBdr>
                    <w:top w:val="none" w:sz="0" w:space="0" w:color="auto"/>
                    <w:left w:val="none" w:sz="0" w:space="0" w:color="auto"/>
                    <w:bottom w:val="none" w:sz="0" w:space="0" w:color="auto"/>
                    <w:right w:val="none" w:sz="0" w:space="0" w:color="auto"/>
                  </w:divBdr>
                </w:div>
              </w:divsChild>
            </w:div>
            <w:div w:id="463697858">
              <w:marLeft w:val="0"/>
              <w:marRight w:val="0"/>
              <w:marTop w:val="0"/>
              <w:marBottom w:val="240"/>
              <w:divBdr>
                <w:top w:val="none" w:sz="0" w:space="0" w:color="auto"/>
                <w:left w:val="none" w:sz="0" w:space="0" w:color="auto"/>
                <w:bottom w:val="none" w:sz="0" w:space="0" w:color="auto"/>
                <w:right w:val="none" w:sz="0" w:space="0" w:color="auto"/>
              </w:divBdr>
              <w:divsChild>
                <w:div w:id="2138059303">
                  <w:marLeft w:val="360"/>
                  <w:marRight w:val="96"/>
                  <w:marTop w:val="0"/>
                  <w:marBottom w:val="0"/>
                  <w:divBdr>
                    <w:top w:val="none" w:sz="0" w:space="0" w:color="auto"/>
                    <w:left w:val="none" w:sz="0" w:space="0" w:color="auto"/>
                    <w:bottom w:val="none" w:sz="0" w:space="0" w:color="auto"/>
                    <w:right w:val="none" w:sz="0" w:space="0" w:color="auto"/>
                  </w:divBdr>
                </w:div>
              </w:divsChild>
            </w:div>
            <w:div w:id="492724925">
              <w:marLeft w:val="0"/>
              <w:marRight w:val="0"/>
              <w:marTop w:val="0"/>
              <w:marBottom w:val="240"/>
              <w:divBdr>
                <w:top w:val="none" w:sz="0" w:space="0" w:color="auto"/>
                <w:left w:val="none" w:sz="0" w:space="0" w:color="auto"/>
                <w:bottom w:val="none" w:sz="0" w:space="0" w:color="auto"/>
                <w:right w:val="none" w:sz="0" w:space="0" w:color="auto"/>
              </w:divBdr>
              <w:divsChild>
                <w:div w:id="1842773929">
                  <w:marLeft w:val="360"/>
                  <w:marRight w:val="96"/>
                  <w:marTop w:val="0"/>
                  <w:marBottom w:val="0"/>
                  <w:divBdr>
                    <w:top w:val="none" w:sz="0" w:space="0" w:color="auto"/>
                    <w:left w:val="none" w:sz="0" w:space="0" w:color="auto"/>
                    <w:bottom w:val="none" w:sz="0" w:space="0" w:color="auto"/>
                    <w:right w:val="none" w:sz="0" w:space="0" w:color="auto"/>
                  </w:divBdr>
                </w:div>
              </w:divsChild>
            </w:div>
            <w:div w:id="516500163">
              <w:marLeft w:val="0"/>
              <w:marRight w:val="0"/>
              <w:marTop w:val="0"/>
              <w:marBottom w:val="240"/>
              <w:divBdr>
                <w:top w:val="none" w:sz="0" w:space="0" w:color="auto"/>
                <w:left w:val="none" w:sz="0" w:space="0" w:color="auto"/>
                <w:bottom w:val="none" w:sz="0" w:space="0" w:color="auto"/>
                <w:right w:val="none" w:sz="0" w:space="0" w:color="auto"/>
              </w:divBdr>
              <w:divsChild>
                <w:div w:id="709568435">
                  <w:marLeft w:val="360"/>
                  <w:marRight w:val="96"/>
                  <w:marTop w:val="0"/>
                  <w:marBottom w:val="0"/>
                  <w:divBdr>
                    <w:top w:val="none" w:sz="0" w:space="0" w:color="auto"/>
                    <w:left w:val="none" w:sz="0" w:space="0" w:color="auto"/>
                    <w:bottom w:val="none" w:sz="0" w:space="0" w:color="auto"/>
                    <w:right w:val="none" w:sz="0" w:space="0" w:color="auto"/>
                  </w:divBdr>
                </w:div>
              </w:divsChild>
            </w:div>
            <w:div w:id="516695974">
              <w:marLeft w:val="0"/>
              <w:marRight w:val="0"/>
              <w:marTop w:val="0"/>
              <w:marBottom w:val="240"/>
              <w:divBdr>
                <w:top w:val="none" w:sz="0" w:space="0" w:color="auto"/>
                <w:left w:val="none" w:sz="0" w:space="0" w:color="auto"/>
                <w:bottom w:val="none" w:sz="0" w:space="0" w:color="auto"/>
                <w:right w:val="none" w:sz="0" w:space="0" w:color="auto"/>
              </w:divBdr>
              <w:divsChild>
                <w:div w:id="1371346636">
                  <w:marLeft w:val="360"/>
                  <w:marRight w:val="96"/>
                  <w:marTop w:val="0"/>
                  <w:marBottom w:val="0"/>
                  <w:divBdr>
                    <w:top w:val="none" w:sz="0" w:space="0" w:color="auto"/>
                    <w:left w:val="none" w:sz="0" w:space="0" w:color="auto"/>
                    <w:bottom w:val="none" w:sz="0" w:space="0" w:color="auto"/>
                    <w:right w:val="none" w:sz="0" w:space="0" w:color="auto"/>
                  </w:divBdr>
                </w:div>
              </w:divsChild>
            </w:div>
            <w:div w:id="577250846">
              <w:marLeft w:val="0"/>
              <w:marRight w:val="0"/>
              <w:marTop w:val="0"/>
              <w:marBottom w:val="240"/>
              <w:divBdr>
                <w:top w:val="none" w:sz="0" w:space="0" w:color="auto"/>
                <w:left w:val="none" w:sz="0" w:space="0" w:color="auto"/>
                <w:bottom w:val="none" w:sz="0" w:space="0" w:color="auto"/>
                <w:right w:val="none" w:sz="0" w:space="0" w:color="auto"/>
              </w:divBdr>
              <w:divsChild>
                <w:div w:id="782651101">
                  <w:marLeft w:val="360"/>
                  <w:marRight w:val="96"/>
                  <w:marTop w:val="0"/>
                  <w:marBottom w:val="0"/>
                  <w:divBdr>
                    <w:top w:val="none" w:sz="0" w:space="0" w:color="auto"/>
                    <w:left w:val="none" w:sz="0" w:space="0" w:color="auto"/>
                    <w:bottom w:val="none" w:sz="0" w:space="0" w:color="auto"/>
                    <w:right w:val="none" w:sz="0" w:space="0" w:color="auto"/>
                  </w:divBdr>
                </w:div>
              </w:divsChild>
            </w:div>
            <w:div w:id="600795545">
              <w:marLeft w:val="0"/>
              <w:marRight w:val="0"/>
              <w:marTop w:val="0"/>
              <w:marBottom w:val="240"/>
              <w:divBdr>
                <w:top w:val="none" w:sz="0" w:space="0" w:color="auto"/>
                <w:left w:val="none" w:sz="0" w:space="0" w:color="auto"/>
                <w:bottom w:val="none" w:sz="0" w:space="0" w:color="auto"/>
                <w:right w:val="none" w:sz="0" w:space="0" w:color="auto"/>
              </w:divBdr>
              <w:divsChild>
                <w:div w:id="1131242917">
                  <w:marLeft w:val="360"/>
                  <w:marRight w:val="96"/>
                  <w:marTop w:val="0"/>
                  <w:marBottom w:val="0"/>
                  <w:divBdr>
                    <w:top w:val="none" w:sz="0" w:space="0" w:color="auto"/>
                    <w:left w:val="none" w:sz="0" w:space="0" w:color="auto"/>
                    <w:bottom w:val="none" w:sz="0" w:space="0" w:color="auto"/>
                    <w:right w:val="none" w:sz="0" w:space="0" w:color="auto"/>
                  </w:divBdr>
                </w:div>
              </w:divsChild>
            </w:div>
            <w:div w:id="612833509">
              <w:marLeft w:val="0"/>
              <w:marRight w:val="0"/>
              <w:marTop w:val="0"/>
              <w:marBottom w:val="240"/>
              <w:divBdr>
                <w:top w:val="none" w:sz="0" w:space="0" w:color="auto"/>
                <w:left w:val="none" w:sz="0" w:space="0" w:color="auto"/>
                <w:bottom w:val="none" w:sz="0" w:space="0" w:color="auto"/>
                <w:right w:val="none" w:sz="0" w:space="0" w:color="auto"/>
              </w:divBdr>
              <w:divsChild>
                <w:div w:id="204491001">
                  <w:marLeft w:val="360"/>
                  <w:marRight w:val="96"/>
                  <w:marTop w:val="0"/>
                  <w:marBottom w:val="0"/>
                  <w:divBdr>
                    <w:top w:val="none" w:sz="0" w:space="0" w:color="auto"/>
                    <w:left w:val="none" w:sz="0" w:space="0" w:color="auto"/>
                    <w:bottom w:val="none" w:sz="0" w:space="0" w:color="auto"/>
                    <w:right w:val="none" w:sz="0" w:space="0" w:color="auto"/>
                  </w:divBdr>
                </w:div>
              </w:divsChild>
            </w:div>
            <w:div w:id="678191597">
              <w:marLeft w:val="0"/>
              <w:marRight w:val="0"/>
              <w:marTop w:val="0"/>
              <w:marBottom w:val="240"/>
              <w:divBdr>
                <w:top w:val="none" w:sz="0" w:space="0" w:color="auto"/>
                <w:left w:val="none" w:sz="0" w:space="0" w:color="auto"/>
                <w:bottom w:val="none" w:sz="0" w:space="0" w:color="auto"/>
                <w:right w:val="none" w:sz="0" w:space="0" w:color="auto"/>
              </w:divBdr>
              <w:divsChild>
                <w:div w:id="911280360">
                  <w:marLeft w:val="360"/>
                  <w:marRight w:val="96"/>
                  <w:marTop w:val="0"/>
                  <w:marBottom w:val="0"/>
                  <w:divBdr>
                    <w:top w:val="none" w:sz="0" w:space="0" w:color="auto"/>
                    <w:left w:val="none" w:sz="0" w:space="0" w:color="auto"/>
                    <w:bottom w:val="none" w:sz="0" w:space="0" w:color="auto"/>
                    <w:right w:val="none" w:sz="0" w:space="0" w:color="auto"/>
                  </w:divBdr>
                </w:div>
              </w:divsChild>
            </w:div>
            <w:div w:id="769356963">
              <w:marLeft w:val="0"/>
              <w:marRight w:val="0"/>
              <w:marTop w:val="0"/>
              <w:marBottom w:val="240"/>
              <w:divBdr>
                <w:top w:val="none" w:sz="0" w:space="0" w:color="auto"/>
                <w:left w:val="none" w:sz="0" w:space="0" w:color="auto"/>
                <w:bottom w:val="none" w:sz="0" w:space="0" w:color="auto"/>
                <w:right w:val="none" w:sz="0" w:space="0" w:color="auto"/>
              </w:divBdr>
              <w:divsChild>
                <w:div w:id="2059086512">
                  <w:marLeft w:val="360"/>
                  <w:marRight w:val="96"/>
                  <w:marTop w:val="0"/>
                  <w:marBottom w:val="0"/>
                  <w:divBdr>
                    <w:top w:val="none" w:sz="0" w:space="0" w:color="auto"/>
                    <w:left w:val="none" w:sz="0" w:space="0" w:color="auto"/>
                    <w:bottom w:val="none" w:sz="0" w:space="0" w:color="auto"/>
                    <w:right w:val="none" w:sz="0" w:space="0" w:color="auto"/>
                  </w:divBdr>
                </w:div>
              </w:divsChild>
            </w:div>
            <w:div w:id="820272654">
              <w:marLeft w:val="0"/>
              <w:marRight w:val="0"/>
              <w:marTop w:val="0"/>
              <w:marBottom w:val="240"/>
              <w:divBdr>
                <w:top w:val="none" w:sz="0" w:space="0" w:color="auto"/>
                <w:left w:val="none" w:sz="0" w:space="0" w:color="auto"/>
                <w:bottom w:val="none" w:sz="0" w:space="0" w:color="auto"/>
                <w:right w:val="none" w:sz="0" w:space="0" w:color="auto"/>
              </w:divBdr>
              <w:divsChild>
                <w:div w:id="787040916">
                  <w:marLeft w:val="360"/>
                  <w:marRight w:val="96"/>
                  <w:marTop w:val="0"/>
                  <w:marBottom w:val="0"/>
                  <w:divBdr>
                    <w:top w:val="none" w:sz="0" w:space="0" w:color="auto"/>
                    <w:left w:val="none" w:sz="0" w:space="0" w:color="auto"/>
                    <w:bottom w:val="none" w:sz="0" w:space="0" w:color="auto"/>
                    <w:right w:val="none" w:sz="0" w:space="0" w:color="auto"/>
                  </w:divBdr>
                </w:div>
              </w:divsChild>
            </w:div>
            <w:div w:id="850993199">
              <w:marLeft w:val="0"/>
              <w:marRight w:val="0"/>
              <w:marTop w:val="0"/>
              <w:marBottom w:val="240"/>
              <w:divBdr>
                <w:top w:val="none" w:sz="0" w:space="0" w:color="auto"/>
                <w:left w:val="none" w:sz="0" w:space="0" w:color="auto"/>
                <w:bottom w:val="none" w:sz="0" w:space="0" w:color="auto"/>
                <w:right w:val="none" w:sz="0" w:space="0" w:color="auto"/>
              </w:divBdr>
              <w:divsChild>
                <w:div w:id="287853745">
                  <w:marLeft w:val="360"/>
                  <w:marRight w:val="96"/>
                  <w:marTop w:val="0"/>
                  <w:marBottom w:val="0"/>
                  <w:divBdr>
                    <w:top w:val="none" w:sz="0" w:space="0" w:color="auto"/>
                    <w:left w:val="none" w:sz="0" w:space="0" w:color="auto"/>
                    <w:bottom w:val="none" w:sz="0" w:space="0" w:color="auto"/>
                    <w:right w:val="none" w:sz="0" w:space="0" w:color="auto"/>
                  </w:divBdr>
                </w:div>
              </w:divsChild>
            </w:div>
            <w:div w:id="883521374">
              <w:marLeft w:val="0"/>
              <w:marRight w:val="0"/>
              <w:marTop w:val="0"/>
              <w:marBottom w:val="240"/>
              <w:divBdr>
                <w:top w:val="none" w:sz="0" w:space="0" w:color="auto"/>
                <w:left w:val="none" w:sz="0" w:space="0" w:color="auto"/>
                <w:bottom w:val="none" w:sz="0" w:space="0" w:color="auto"/>
                <w:right w:val="none" w:sz="0" w:space="0" w:color="auto"/>
              </w:divBdr>
              <w:divsChild>
                <w:div w:id="512382443">
                  <w:marLeft w:val="360"/>
                  <w:marRight w:val="96"/>
                  <w:marTop w:val="0"/>
                  <w:marBottom w:val="0"/>
                  <w:divBdr>
                    <w:top w:val="none" w:sz="0" w:space="0" w:color="auto"/>
                    <w:left w:val="none" w:sz="0" w:space="0" w:color="auto"/>
                    <w:bottom w:val="none" w:sz="0" w:space="0" w:color="auto"/>
                    <w:right w:val="none" w:sz="0" w:space="0" w:color="auto"/>
                  </w:divBdr>
                </w:div>
              </w:divsChild>
            </w:div>
            <w:div w:id="932936743">
              <w:marLeft w:val="0"/>
              <w:marRight w:val="0"/>
              <w:marTop w:val="0"/>
              <w:marBottom w:val="240"/>
              <w:divBdr>
                <w:top w:val="none" w:sz="0" w:space="0" w:color="auto"/>
                <w:left w:val="none" w:sz="0" w:space="0" w:color="auto"/>
                <w:bottom w:val="none" w:sz="0" w:space="0" w:color="auto"/>
                <w:right w:val="none" w:sz="0" w:space="0" w:color="auto"/>
              </w:divBdr>
              <w:divsChild>
                <w:div w:id="1831562122">
                  <w:marLeft w:val="360"/>
                  <w:marRight w:val="96"/>
                  <w:marTop w:val="0"/>
                  <w:marBottom w:val="0"/>
                  <w:divBdr>
                    <w:top w:val="none" w:sz="0" w:space="0" w:color="auto"/>
                    <w:left w:val="none" w:sz="0" w:space="0" w:color="auto"/>
                    <w:bottom w:val="none" w:sz="0" w:space="0" w:color="auto"/>
                    <w:right w:val="none" w:sz="0" w:space="0" w:color="auto"/>
                  </w:divBdr>
                </w:div>
              </w:divsChild>
            </w:div>
            <w:div w:id="965501563">
              <w:marLeft w:val="0"/>
              <w:marRight w:val="0"/>
              <w:marTop w:val="0"/>
              <w:marBottom w:val="240"/>
              <w:divBdr>
                <w:top w:val="none" w:sz="0" w:space="0" w:color="auto"/>
                <w:left w:val="none" w:sz="0" w:space="0" w:color="auto"/>
                <w:bottom w:val="none" w:sz="0" w:space="0" w:color="auto"/>
                <w:right w:val="none" w:sz="0" w:space="0" w:color="auto"/>
              </w:divBdr>
              <w:divsChild>
                <w:div w:id="574631667">
                  <w:marLeft w:val="360"/>
                  <w:marRight w:val="96"/>
                  <w:marTop w:val="0"/>
                  <w:marBottom w:val="0"/>
                  <w:divBdr>
                    <w:top w:val="none" w:sz="0" w:space="0" w:color="auto"/>
                    <w:left w:val="none" w:sz="0" w:space="0" w:color="auto"/>
                    <w:bottom w:val="none" w:sz="0" w:space="0" w:color="auto"/>
                    <w:right w:val="none" w:sz="0" w:space="0" w:color="auto"/>
                  </w:divBdr>
                </w:div>
              </w:divsChild>
            </w:div>
            <w:div w:id="971716839">
              <w:marLeft w:val="0"/>
              <w:marRight w:val="0"/>
              <w:marTop w:val="0"/>
              <w:marBottom w:val="240"/>
              <w:divBdr>
                <w:top w:val="none" w:sz="0" w:space="0" w:color="auto"/>
                <w:left w:val="none" w:sz="0" w:space="0" w:color="auto"/>
                <w:bottom w:val="none" w:sz="0" w:space="0" w:color="auto"/>
                <w:right w:val="none" w:sz="0" w:space="0" w:color="auto"/>
              </w:divBdr>
              <w:divsChild>
                <w:div w:id="931862961">
                  <w:marLeft w:val="360"/>
                  <w:marRight w:val="96"/>
                  <w:marTop w:val="0"/>
                  <w:marBottom w:val="0"/>
                  <w:divBdr>
                    <w:top w:val="none" w:sz="0" w:space="0" w:color="auto"/>
                    <w:left w:val="none" w:sz="0" w:space="0" w:color="auto"/>
                    <w:bottom w:val="none" w:sz="0" w:space="0" w:color="auto"/>
                    <w:right w:val="none" w:sz="0" w:space="0" w:color="auto"/>
                  </w:divBdr>
                </w:div>
              </w:divsChild>
            </w:div>
            <w:div w:id="978192942">
              <w:marLeft w:val="0"/>
              <w:marRight w:val="0"/>
              <w:marTop w:val="0"/>
              <w:marBottom w:val="240"/>
              <w:divBdr>
                <w:top w:val="none" w:sz="0" w:space="0" w:color="auto"/>
                <w:left w:val="none" w:sz="0" w:space="0" w:color="auto"/>
                <w:bottom w:val="none" w:sz="0" w:space="0" w:color="auto"/>
                <w:right w:val="none" w:sz="0" w:space="0" w:color="auto"/>
              </w:divBdr>
              <w:divsChild>
                <w:div w:id="856697357">
                  <w:marLeft w:val="360"/>
                  <w:marRight w:val="96"/>
                  <w:marTop w:val="0"/>
                  <w:marBottom w:val="0"/>
                  <w:divBdr>
                    <w:top w:val="none" w:sz="0" w:space="0" w:color="auto"/>
                    <w:left w:val="none" w:sz="0" w:space="0" w:color="auto"/>
                    <w:bottom w:val="none" w:sz="0" w:space="0" w:color="auto"/>
                    <w:right w:val="none" w:sz="0" w:space="0" w:color="auto"/>
                  </w:divBdr>
                </w:div>
              </w:divsChild>
            </w:div>
            <w:div w:id="1020206246">
              <w:marLeft w:val="0"/>
              <w:marRight w:val="0"/>
              <w:marTop w:val="0"/>
              <w:marBottom w:val="240"/>
              <w:divBdr>
                <w:top w:val="none" w:sz="0" w:space="0" w:color="auto"/>
                <w:left w:val="none" w:sz="0" w:space="0" w:color="auto"/>
                <w:bottom w:val="none" w:sz="0" w:space="0" w:color="auto"/>
                <w:right w:val="none" w:sz="0" w:space="0" w:color="auto"/>
              </w:divBdr>
              <w:divsChild>
                <w:div w:id="1318149341">
                  <w:marLeft w:val="360"/>
                  <w:marRight w:val="96"/>
                  <w:marTop w:val="0"/>
                  <w:marBottom w:val="0"/>
                  <w:divBdr>
                    <w:top w:val="none" w:sz="0" w:space="0" w:color="auto"/>
                    <w:left w:val="none" w:sz="0" w:space="0" w:color="auto"/>
                    <w:bottom w:val="none" w:sz="0" w:space="0" w:color="auto"/>
                    <w:right w:val="none" w:sz="0" w:space="0" w:color="auto"/>
                  </w:divBdr>
                </w:div>
              </w:divsChild>
            </w:div>
            <w:div w:id="1086347429">
              <w:marLeft w:val="0"/>
              <w:marRight w:val="0"/>
              <w:marTop w:val="0"/>
              <w:marBottom w:val="240"/>
              <w:divBdr>
                <w:top w:val="none" w:sz="0" w:space="0" w:color="auto"/>
                <w:left w:val="none" w:sz="0" w:space="0" w:color="auto"/>
                <w:bottom w:val="none" w:sz="0" w:space="0" w:color="auto"/>
                <w:right w:val="none" w:sz="0" w:space="0" w:color="auto"/>
              </w:divBdr>
              <w:divsChild>
                <w:div w:id="1677993841">
                  <w:marLeft w:val="360"/>
                  <w:marRight w:val="96"/>
                  <w:marTop w:val="0"/>
                  <w:marBottom w:val="0"/>
                  <w:divBdr>
                    <w:top w:val="none" w:sz="0" w:space="0" w:color="auto"/>
                    <w:left w:val="none" w:sz="0" w:space="0" w:color="auto"/>
                    <w:bottom w:val="none" w:sz="0" w:space="0" w:color="auto"/>
                    <w:right w:val="none" w:sz="0" w:space="0" w:color="auto"/>
                  </w:divBdr>
                </w:div>
              </w:divsChild>
            </w:div>
            <w:div w:id="1170752236">
              <w:marLeft w:val="0"/>
              <w:marRight w:val="0"/>
              <w:marTop w:val="0"/>
              <w:marBottom w:val="240"/>
              <w:divBdr>
                <w:top w:val="none" w:sz="0" w:space="0" w:color="auto"/>
                <w:left w:val="none" w:sz="0" w:space="0" w:color="auto"/>
                <w:bottom w:val="none" w:sz="0" w:space="0" w:color="auto"/>
                <w:right w:val="none" w:sz="0" w:space="0" w:color="auto"/>
              </w:divBdr>
              <w:divsChild>
                <w:div w:id="1362635150">
                  <w:marLeft w:val="360"/>
                  <w:marRight w:val="96"/>
                  <w:marTop w:val="0"/>
                  <w:marBottom w:val="0"/>
                  <w:divBdr>
                    <w:top w:val="none" w:sz="0" w:space="0" w:color="auto"/>
                    <w:left w:val="none" w:sz="0" w:space="0" w:color="auto"/>
                    <w:bottom w:val="none" w:sz="0" w:space="0" w:color="auto"/>
                    <w:right w:val="none" w:sz="0" w:space="0" w:color="auto"/>
                  </w:divBdr>
                </w:div>
              </w:divsChild>
            </w:div>
            <w:div w:id="1216088264">
              <w:marLeft w:val="0"/>
              <w:marRight w:val="0"/>
              <w:marTop w:val="0"/>
              <w:marBottom w:val="240"/>
              <w:divBdr>
                <w:top w:val="none" w:sz="0" w:space="0" w:color="auto"/>
                <w:left w:val="none" w:sz="0" w:space="0" w:color="auto"/>
                <w:bottom w:val="none" w:sz="0" w:space="0" w:color="auto"/>
                <w:right w:val="none" w:sz="0" w:space="0" w:color="auto"/>
              </w:divBdr>
              <w:divsChild>
                <w:div w:id="1141532761">
                  <w:marLeft w:val="360"/>
                  <w:marRight w:val="96"/>
                  <w:marTop w:val="0"/>
                  <w:marBottom w:val="0"/>
                  <w:divBdr>
                    <w:top w:val="none" w:sz="0" w:space="0" w:color="auto"/>
                    <w:left w:val="none" w:sz="0" w:space="0" w:color="auto"/>
                    <w:bottom w:val="none" w:sz="0" w:space="0" w:color="auto"/>
                    <w:right w:val="none" w:sz="0" w:space="0" w:color="auto"/>
                  </w:divBdr>
                </w:div>
              </w:divsChild>
            </w:div>
            <w:div w:id="1297105034">
              <w:marLeft w:val="0"/>
              <w:marRight w:val="0"/>
              <w:marTop w:val="0"/>
              <w:marBottom w:val="240"/>
              <w:divBdr>
                <w:top w:val="none" w:sz="0" w:space="0" w:color="auto"/>
                <w:left w:val="none" w:sz="0" w:space="0" w:color="auto"/>
                <w:bottom w:val="none" w:sz="0" w:space="0" w:color="auto"/>
                <w:right w:val="none" w:sz="0" w:space="0" w:color="auto"/>
              </w:divBdr>
              <w:divsChild>
                <w:div w:id="1310289022">
                  <w:marLeft w:val="360"/>
                  <w:marRight w:val="96"/>
                  <w:marTop w:val="0"/>
                  <w:marBottom w:val="0"/>
                  <w:divBdr>
                    <w:top w:val="none" w:sz="0" w:space="0" w:color="auto"/>
                    <w:left w:val="none" w:sz="0" w:space="0" w:color="auto"/>
                    <w:bottom w:val="none" w:sz="0" w:space="0" w:color="auto"/>
                    <w:right w:val="none" w:sz="0" w:space="0" w:color="auto"/>
                  </w:divBdr>
                </w:div>
              </w:divsChild>
            </w:div>
            <w:div w:id="1303267274">
              <w:marLeft w:val="0"/>
              <w:marRight w:val="0"/>
              <w:marTop w:val="0"/>
              <w:marBottom w:val="240"/>
              <w:divBdr>
                <w:top w:val="none" w:sz="0" w:space="0" w:color="auto"/>
                <w:left w:val="none" w:sz="0" w:space="0" w:color="auto"/>
                <w:bottom w:val="none" w:sz="0" w:space="0" w:color="auto"/>
                <w:right w:val="none" w:sz="0" w:space="0" w:color="auto"/>
              </w:divBdr>
              <w:divsChild>
                <w:div w:id="1758862914">
                  <w:marLeft w:val="360"/>
                  <w:marRight w:val="96"/>
                  <w:marTop w:val="0"/>
                  <w:marBottom w:val="0"/>
                  <w:divBdr>
                    <w:top w:val="none" w:sz="0" w:space="0" w:color="auto"/>
                    <w:left w:val="none" w:sz="0" w:space="0" w:color="auto"/>
                    <w:bottom w:val="none" w:sz="0" w:space="0" w:color="auto"/>
                    <w:right w:val="none" w:sz="0" w:space="0" w:color="auto"/>
                  </w:divBdr>
                </w:div>
              </w:divsChild>
            </w:div>
            <w:div w:id="1307009633">
              <w:marLeft w:val="0"/>
              <w:marRight w:val="0"/>
              <w:marTop w:val="0"/>
              <w:marBottom w:val="240"/>
              <w:divBdr>
                <w:top w:val="none" w:sz="0" w:space="0" w:color="auto"/>
                <w:left w:val="none" w:sz="0" w:space="0" w:color="auto"/>
                <w:bottom w:val="none" w:sz="0" w:space="0" w:color="auto"/>
                <w:right w:val="none" w:sz="0" w:space="0" w:color="auto"/>
              </w:divBdr>
              <w:divsChild>
                <w:div w:id="2144425485">
                  <w:marLeft w:val="360"/>
                  <w:marRight w:val="96"/>
                  <w:marTop w:val="0"/>
                  <w:marBottom w:val="0"/>
                  <w:divBdr>
                    <w:top w:val="none" w:sz="0" w:space="0" w:color="auto"/>
                    <w:left w:val="none" w:sz="0" w:space="0" w:color="auto"/>
                    <w:bottom w:val="none" w:sz="0" w:space="0" w:color="auto"/>
                    <w:right w:val="none" w:sz="0" w:space="0" w:color="auto"/>
                  </w:divBdr>
                </w:div>
              </w:divsChild>
            </w:div>
            <w:div w:id="1341354471">
              <w:marLeft w:val="0"/>
              <w:marRight w:val="0"/>
              <w:marTop w:val="0"/>
              <w:marBottom w:val="240"/>
              <w:divBdr>
                <w:top w:val="none" w:sz="0" w:space="0" w:color="auto"/>
                <w:left w:val="none" w:sz="0" w:space="0" w:color="auto"/>
                <w:bottom w:val="none" w:sz="0" w:space="0" w:color="auto"/>
                <w:right w:val="none" w:sz="0" w:space="0" w:color="auto"/>
              </w:divBdr>
              <w:divsChild>
                <w:div w:id="1066294561">
                  <w:marLeft w:val="360"/>
                  <w:marRight w:val="96"/>
                  <w:marTop w:val="0"/>
                  <w:marBottom w:val="0"/>
                  <w:divBdr>
                    <w:top w:val="none" w:sz="0" w:space="0" w:color="auto"/>
                    <w:left w:val="none" w:sz="0" w:space="0" w:color="auto"/>
                    <w:bottom w:val="none" w:sz="0" w:space="0" w:color="auto"/>
                    <w:right w:val="none" w:sz="0" w:space="0" w:color="auto"/>
                  </w:divBdr>
                </w:div>
              </w:divsChild>
            </w:div>
            <w:div w:id="1345592379">
              <w:marLeft w:val="0"/>
              <w:marRight w:val="0"/>
              <w:marTop w:val="0"/>
              <w:marBottom w:val="240"/>
              <w:divBdr>
                <w:top w:val="none" w:sz="0" w:space="0" w:color="auto"/>
                <w:left w:val="none" w:sz="0" w:space="0" w:color="auto"/>
                <w:bottom w:val="none" w:sz="0" w:space="0" w:color="auto"/>
                <w:right w:val="none" w:sz="0" w:space="0" w:color="auto"/>
              </w:divBdr>
              <w:divsChild>
                <w:div w:id="865826546">
                  <w:marLeft w:val="360"/>
                  <w:marRight w:val="96"/>
                  <w:marTop w:val="0"/>
                  <w:marBottom w:val="0"/>
                  <w:divBdr>
                    <w:top w:val="none" w:sz="0" w:space="0" w:color="auto"/>
                    <w:left w:val="none" w:sz="0" w:space="0" w:color="auto"/>
                    <w:bottom w:val="none" w:sz="0" w:space="0" w:color="auto"/>
                    <w:right w:val="none" w:sz="0" w:space="0" w:color="auto"/>
                  </w:divBdr>
                </w:div>
              </w:divsChild>
            </w:div>
            <w:div w:id="1404647615">
              <w:marLeft w:val="0"/>
              <w:marRight w:val="0"/>
              <w:marTop w:val="0"/>
              <w:marBottom w:val="240"/>
              <w:divBdr>
                <w:top w:val="none" w:sz="0" w:space="0" w:color="auto"/>
                <w:left w:val="none" w:sz="0" w:space="0" w:color="auto"/>
                <w:bottom w:val="none" w:sz="0" w:space="0" w:color="auto"/>
                <w:right w:val="none" w:sz="0" w:space="0" w:color="auto"/>
              </w:divBdr>
              <w:divsChild>
                <w:div w:id="2002923749">
                  <w:marLeft w:val="360"/>
                  <w:marRight w:val="96"/>
                  <w:marTop w:val="0"/>
                  <w:marBottom w:val="0"/>
                  <w:divBdr>
                    <w:top w:val="none" w:sz="0" w:space="0" w:color="auto"/>
                    <w:left w:val="none" w:sz="0" w:space="0" w:color="auto"/>
                    <w:bottom w:val="none" w:sz="0" w:space="0" w:color="auto"/>
                    <w:right w:val="none" w:sz="0" w:space="0" w:color="auto"/>
                  </w:divBdr>
                </w:div>
              </w:divsChild>
            </w:div>
            <w:div w:id="1416510395">
              <w:marLeft w:val="0"/>
              <w:marRight w:val="0"/>
              <w:marTop w:val="0"/>
              <w:marBottom w:val="240"/>
              <w:divBdr>
                <w:top w:val="none" w:sz="0" w:space="0" w:color="auto"/>
                <w:left w:val="none" w:sz="0" w:space="0" w:color="auto"/>
                <w:bottom w:val="none" w:sz="0" w:space="0" w:color="auto"/>
                <w:right w:val="none" w:sz="0" w:space="0" w:color="auto"/>
              </w:divBdr>
              <w:divsChild>
                <w:div w:id="373584389">
                  <w:marLeft w:val="360"/>
                  <w:marRight w:val="96"/>
                  <w:marTop w:val="0"/>
                  <w:marBottom w:val="0"/>
                  <w:divBdr>
                    <w:top w:val="none" w:sz="0" w:space="0" w:color="auto"/>
                    <w:left w:val="none" w:sz="0" w:space="0" w:color="auto"/>
                    <w:bottom w:val="none" w:sz="0" w:space="0" w:color="auto"/>
                    <w:right w:val="none" w:sz="0" w:space="0" w:color="auto"/>
                  </w:divBdr>
                </w:div>
              </w:divsChild>
            </w:div>
            <w:div w:id="1423405422">
              <w:marLeft w:val="0"/>
              <w:marRight w:val="0"/>
              <w:marTop w:val="0"/>
              <w:marBottom w:val="240"/>
              <w:divBdr>
                <w:top w:val="none" w:sz="0" w:space="0" w:color="auto"/>
                <w:left w:val="none" w:sz="0" w:space="0" w:color="auto"/>
                <w:bottom w:val="none" w:sz="0" w:space="0" w:color="auto"/>
                <w:right w:val="none" w:sz="0" w:space="0" w:color="auto"/>
              </w:divBdr>
              <w:divsChild>
                <w:div w:id="135757538">
                  <w:marLeft w:val="360"/>
                  <w:marRight w:val="96"/>
                  <w:marTop w:val="0"/>
                  <w:marBottom w:val="0"/>
                  <w:divBdr>
                    <w:top w:val="none" w:sz="0" w:space="0" w:color="auto"/>
                    <w:left w:val="none" w:sz="0" w:space="0" w:color="auto"/>
                    <w:bottom w:val="none" w:sz="0" w:space="0" w:color="auto"/>
                    <w:right w:val="none" w:sz="0" w:space="0" w:color="auto"/>
                  </w:divBdr>
                </w:div>
              </w:divsChild>
            </w:div>
            <w:div w:id="1426195355">
              <w:marLeft w:val="0"/>
              <w:marRight w:val="0"/>
              <w:marTop w:val="0"/>
              <w:marBottom w:val="240"/>
              <w:divBdr>
                <w:top w:val="none" w:sz="0" w:space="0" w:color="auto"/>
                <w:left w:val="none" w:sz="0" w:space="0" w:color="auto"/>
                <w:bottom w:val="none" w:sz="0" w:space="0" w:color="auto"/>
                <w:right w:val="none" w:sz="0" w:space="0" w:color="auto"/>
              </w:divBdr>
              <w:divsChild>
                <w:div w:id="249117689">
                  <w:marLeft w:val="360"/>
                  <w:marRight w:val="96"/>
                  <w:marTop w:val="0"/>
                  <w:marBottom w:val="0"/>
                  <w:divBdr>
                    <w:top w:val="none" w:sz="0" w:space="0" w:color="auto"/>
                    <w:left w:val="none" w:sz="0" w:space="0" w:color="auto"/>
                    <w:bottom w:val="none" w:sz="0" w:space="0" w:color="auto"/>
                    <w:right w:val="none" w:sz="0" w:space="0" w:color="auto"/>
                  </w:divBdr>
                </w:div>
              </w:divsChild>
            </w:div>
            <w:div w:id="1517304336">
              <w:marLeft w:val="0"/>
              <w:marRight w:val="0"/>
              <w:marTop w:val="0"/>
              <w:marBottom w:val="240"/>
              <w:divBdr>
                <w:top w:val="none" w:sz="0" w:space="0" w:color="auto"/>
                <w:left w:val="none" w:sz="0" w:space="0" w:color="auto"/>
                <w:bottom w:val="none" w:sz="0" w:space="0" w:color="auto"/>
                <w:right w:val="none" w:sz="0" w:space="0" w:color="auto"/>
              </w:divBdr>
              <w:divsChild>
                <w:div w:id="996572788">
                  <w:marLeft w:val="360"/>
                  <w:marRight w:val="96"/>
                  <w:marTop w:val="0"/>
                  <w:marBottom w:val="0"/>
                  <w:divBdr>
                    <w:top w:val="none" w:sz="0" w:space="0" w:color="auto"/>
                    <w:left w:val="none" w:sz="0" w:space="0" w:color="auto"/>
                    <w:bottom w:val="none" w:sz="0" w:space="0" w:color="auto"/>
                    <w:right w:val="none" w:sz="0" w:space="0" w:color="auto"/>
                  </w:divBdr>
                </w:div>
              </w:divsChild>
            </w:div>
            <w:div w:id="1543326004">
              <w:marLeft w:val="0"/>
              <w:marRight w:val="0"/>
              <w:marTop w:val="0"/>
              <w:marBottom w:val="240"/>
              <w:divBdr>
                <w:top w:val="none" w:sz="0" w:space="0" w:color="auto"/>
                <w:left w:val="none" w:sz="0" w:space="0" w:color="auto"/>
                <w:bottom w:val="none" w:sz="0" w:space="0" w:color="auto"/>
                <w:right w:val="none" w:sz="0" w:space="0" w:color="auto"/>
              </w:divBdr>
              <w:divsChild>
                <w:div w:id="1071386991">
                  <w:marLeft w:val="360"/>
                  <w:marRight w:val="96"/>
                  <w:marTop w:val="0"/>
                  <w:marBottom w:val="0"/>
                  <w:divBdr>
                    <w:top w:val="none" w:sz="0" w:space="0" w:color="auto"/>
                    <w:left w:val="none" w:sz="0" w:space="0" w:color="auto"/>
                    <w:bottom w:val="none" w:sz="0" w:space="0" w:color="auto"/>
                    <w:right w:val="none" w:sz="0" w:space="0" w:color="auto"/>
                  </w:divBdr>
                </w:div>
              </w:divsChild>
            </w:div>
            <w:div w:id="1567104707">
              <w:marLeft w:val="0"/>
              <w:marRight w:val="0"/>
              <w:marTop w:val="0"/>
              <w:marBottom w:val="240"/>
              <w:divBdr>
                <w:top w:val="none" w:sz="0" w:space="0" w:color="auto"/>
                <w:left w:val="none" w:sz="0" w:space="0" w:color="auto"/>
                <w:bottom w:val="none" w:sz="0" w:space="0" w:color="auto"/>
                <w:right w:val="none" w:sz="0" w:space="0" w:color="auto"/>
              </w:divBdr>
              <w:divsChild>
                <w:div w:id="1217085066">
                  <w:marLeft w:val="360"/>
                  <w:marRight w:val="96"/>
                  <w:marTop w:val="0"/>
                  <w:marBottom w:val="0"/>
                  <w:divBdr>
                    <w:top w:val="none" w:sz="0" w:space="0" w:color="auto"/>
                    <w:left w:val="none" w:sz="0" w:space="0" w:color="auto"/>
                    <w:bottom w:val="none" w:sz="0" w:space="0" w:color="auto"/>
                    <w:right w:val="none" w:sz="0" w:space="0" w:color="auto"/>
                  </w:divBdr>
                </w:div>
              </w:divsChild>
            </w:div>
            <w:div w:id="1574579975">
              <w:marLeft w:val="0"/>
              <w:marRight w:val="0"/>
              <w:marTop w:val="0"/>
              <w:marBottom w:val="240"/>
              <w:divBdr>
                <w:top w:val="none" w:sz="0" w:space="0" w:color="auto"/>
                <w:left w:val="none" w:sz="0" w:space="0" w:color="auto"/>
                <w:bottom w:val="none" w:sz="0" w:space="0" w:color="auto"/>
                <w:right w:val="none" w:sz="0" w:space="0" w:color="auto"/>
              </w:divBdr>
              <w:divsChild>
                <w:div w:id="1868905198">
                  <w:marLeft w:val="360"/>
                  <w:marRight w:val="96"/>
                  <w:marTop w:val="0"/>
                  <w:marBottom w:val="0"/>
                  <w:divBdr>
                    <w:top w:val="none" w:sz="0" w:space="0" w:color="auto"/>
                    <w:left w:val="none" w:sz="0" w:space="0" w:color="auto"/>
                    <w:bottom w:val="none" w:sz="0" w:space="0" w:color="auto"/>
                    <w:right w:val="none" w:sz="0" w:space="0" w:color="auto"/>
                  </w:divBdr>
                </w:div>
              </w:divsChild>
            </w:div>
            <w:div w:id="1610429320">
              <w:marLeft w:val="0"/>
              <w:marRight w:val="0"/>
              <w:marTop w:val="0"/>
              <w:marBottom w:val="240"/>
              <w:divBdr>
                <w:top w:val="none" w:sz="0" w:space="0" w:color="auto"/>
                <w:left w:val="none" w:sz="0" w:space="0" w:color="auto"/>
                <w:bottom w:val="none" w:sz="0" w:space="0" w:color="auto"/>
                <w:right w:val="none" w:sz="0" w:space="0" w:color="auto"/>
              </w:divBdr>
              <w:divsChild>
                <w:div w:id="1460798193">
                  <w:marLeft w:val="360"/>
                  <w:marRight w:val="96"/>
                  <w:marTop w:val="0"/>
                  <w:marBottom w:val="0"/>
                  <w:divBdr>
                    <w:top w:val="none" w:sz="0" w:space="0" w:color="auto"/>
                    <w:left w:val="none" w:sz="0" w:space="0" w:color="auto"/>
                    <w:bottom w:val="none" w:sz="0" w:space="0" w:color="auto"/>
                    <w:right w:val="none" w:sz="0" w:space="0" w:color="auto"/>
                  </w:divBdr>
                </w:div>
              </w:divsChild>
            </w:div>
            <w:div w:id="1670911352">
              <w:marLeft w:val="0"/>
              <w:marRight w:val="0"/>
              <w:marTop w:val="0"/>
              <w:marBottom w:val="240"/>
              <w:divBdr>
                <w:top w:val="none" w:sz="0" w:space="0" w:color="auto"/>
                <w:left w:val="none" w:sz="0" w:space="0" w:color="auto"/>
                <w:bottom w:val="none" w:sz="0" w:space="0" w:color="auto"/>
                <w:right w:val="none" w:sz="0" w:space="0" w:color="auto"/>
              </w:divBdr>
              <w:divsChild>
                <w:div w:id="162551990">
                  <w:marLeft w:val="360"/>
                  <w:marRight w:val="96"/>
                  <w:marTop w:val="0"/>
                  <w:marBottom w:val="0"/>
                  <w:divBdr>
                    <w:top w:val="none" w:sz="0" w:space="0" w:color="auto"/>
                    <w:left w:val="none" w:sz="0" w:space="0" w:color="auto"/>
                    <w:bottom w:val="none" w:sz="0" w:space="0" w:color="auto"/>
                    <w:right w:val="none" w:sz="0" w:space="0" w:color="auto"/>
                  </w:divBdr>
                </w:div>
              </w:divsChild>
            </w:div>
            <w:div w:id="1698460777">
              <w:marLeft w:val="0"/>
              <w:marRight w:val="0"/>
              <w:marTop w:val="0"/>
              <w:marBottom w:val="240"/>
              <w:divBdr>
                <w:top w:val="none" w:sz="0" w:space="0" w:color="auto"/>
                <w:left w:val="none" w:sz="0" w:space="0" w:color="auto"/>
                <w:bottom w:val="none" w:sz="0" w:space="0" w:color="auto"/>
                <w:right w:val="none" w:sz="0" w:space="0" w:color="auto"/>
              </w:divBdr>
              <w:divsChild>
                <w:div w:id="753014768">
                  <w:marLeft w:val="360"/>
                  <w:marRight w:val="96"/>
                  <w:marTop w:val="0"/>
                  <w:marBottom w:val="0"/>
                  <w:divBdr>
                    <w:top w:val="none" w:sz="0" w:space="0" w:color="auto"/>
                    <w:left w:val="none" w:sz="0" w:space="0" w:color="auto"/>
                    <w:bottom w:val="none" w:sz="0" w:space="0" w:color="auto"/>
                    <w:right w:val="none" w:sz="0" w:space="0" w:color="auto"/>
                  </w:divBdr>
                </w:div>
              </w:divsChild>
            </w:div>
            <w:div w:id="1773823199">
              <w:marLeft w:val="0"/>
              <w:marRight w:val="0"/>
              <w:marTop w:val="0"/>
              <w:marBottom w:val="240"/>
              <w:divBdr>
                <w:top w:val="none" w:sz="0" w:space="0" w:color="auto"/>
                <w:left w:val="none" w:sz="0" w:space="0" w:color="auto"/>
                <w:bottom w:val="none" w:sz="0" w:space="0" w:color="auto"/>
                <w:right w:val="none" w:sz="0" w:space="0" w:color="auto"/>
              </w:divBdr>
              <w:divsChild>
                <w:div w:id="1097091930">
                  <w:marLeft w:val="360"/>
                  <w:marRight w:val="96"/>
                  <w:marTop w:val="0"/>
                  <w:marBottom w:val="0"/>
                  <w:divBdr>
                    <w:top w:val="none" w:sz="0" w:space="0" w:color="auto"/>
                    <w:left w:val="none" w:sz="0" w:space="0" w:color="auto"/>
                    <w:bottom w:val="none" w:sz="0" w:space="0" w:color="auto"/>
                    <w:right w:val="none" w:sz="0" w:space="0" w:color="auto"/>
                  </w:divBdr>
                </w:div>
              </w:divsChild>
            </w:div>
            <w:div w:id="1806045992">
              <w:marLeft w:val="0"/>
              <w:marRight w:val="0"/>
              <w:marTop w:val="0"/>
              <w:marBottom w:val="240"/>
              <w:divBdr>
                <w:top w:val="none" w:sz="0" w:space="0" w:color="auto"/>
                <w:left w:val="none" w:sz="0" w:space="0" w:color="auto"/>
                <w:bottom w:val="none" w:sz="0" w:space="0" w:color="auto"/>
                <w:right w:val="none" w:sz="0" w:space="0" w:color="auto"/>
              </w:divBdr>
              <w:divsChild>
                <w:div w:id="433130209">
                  <w:marLeft w:val="360"/>
                  <w:marRight w:val="96"/>
                  <w:marTop w:val="0"/>
                  <w:marBottom w:val="0"/>
                  <w:divBdr>
                    <w:top w:val="none" w:sz="0" w:space="0" w:color="auto"/>
                    <w:left w:val="none" w:sz="0" w:space="0" w:color="auto"/>
                    <w:bottom w:val="none" w:sz="0" w:space="0" w:color="auto"/>
                    <w:right w:val="none" w:sz="0" w:space="0" w:color="auto"/>
                  </w:divBdr>
                </w:div>
              </w:divsChild>
            </w:div>
            <w:div w:id="1839226868">
              <w:marLeft w:val="0"/>
              <w:marRight w:val="0"/>
              <w:marTop w:val="0"/>
              <w:marBottom w:val="240"/>
              <w:divBdr>
                <w:top w:val="none" w:sz="0" w:space="0" w:color="auto"/>
                <w:left w:val="none" w:sz="0" w:space="0" w:color="auto"/>
                <w:bottom w:val="none" w:sz="0" w:space="0" w:color="auto"/>
                <w:right w:val="none" w:sz="0" w:space="0" w:color="auto"/>
              </w:divBdr>
              <w:divsChild>
                <w:div w:id="1506937763">
                  <w:marLeft w:val="360"/>
                  <w:marRight w:val="96"/>
                  <w:marTop w:val="0"/>
                  <w:marBottom w:val="0"/>
                  <w:divBdr>
                    <w:top w:val="none" w:sz="0" w:space="0" w:color="auto"/>
                    <w:left w:val="none" w:sz="0" w:space="0" w:color="auto"/>
                    <w:bottom w:val="none" w:sz="0" w:space="0" w:color="auto"/>
                    <w:right w:val="none" w:sz="0" w:space="0" w:color="auto"/>
                  </w:divBdr>
                </w:div>
              </w:divsChild>
            </w:div>
            <w:div w:id="1856967005">
              <w:marLeft w:val="0"/>
              <w:marRight w:val="0"/>
              <w:marTop w:val="0"/>
              <w:marBottom w:val="240"/>
              <w:divBdr>
                <w:top w:val="none" w:sz="0" w:space="0" w:color="auto"/>
                <w:left w:val="none" w:sz="0" w:space="0" w:color="auto"/>
                <w:bottom w:val="none" w:sz="0" w:space="0" w:color="auto"/>
                <w:right w:val="none" w:sz="0" w:space="0" w:color="auto"/>
              </w:divBdr>
              <w:divsChild>
                <w:div w:id="1153253667">
                  <w:marLeft w:val="360"/>
                  <w:marRight w:val="96"/>
                  <w:marTop w:val="0"/>
                  <w:marBottom w:val="0"/>
                  <w:divBdr>
                    <w:top w:val="none" w:sz="0" w:space="0" w:color="auto"/>
                    <w:left w:val="none" w:sz="0" w:space="0" w:color="auto"/>
                    <w:bottom w:val="none" w:sz="0" w:space="0" w:color="auto"/>
                    <w:right w:val="none" w:sz="0" w:space="0" w:color="auto"/>
                  </w:divBdr>
                </w:div>
              </w:divsChild>
            </w:div>
            <w:div w:id="1891651256">
              <w:marLeft w:val="0"/>
              <w:marRight w:val="0"/>
              <w:marTop w:val="0"/>
              <w:marBottom w:val="240"/>
              <w:divBdr>
                <w:top w:val="none" w:sz="0" w:space="0" w:color="auto"/>
                <w:left w:val="none" w:sz="0" w:space="0" w:color="auto"/>
                <w:bottom w:val="none" w:sz="0" w:space="0" w:color="auto"/>
                <w:right w:val="none" w:sz="0" w:space="0" w:color="auto"/>
              </w:divBdr>
              <w:divsChild>
                <w:div w:id="54086164">
                  <w:marLeft w:val="360"/>
                  <w:marRight w:val="96"/>
                  <w:marTop w:val="0"/>
                  <w:marBottom w:val="0"/>
                  <w:divBdr>
                    <w:top w:val="none" w:sz="0" w:space="0" w:color="auto"/>
                    <w:left w:val="none" w:sz="0" w:space="0" w:color="auto"/>
                    <w:bottom w:val="none" w:sz="0" w:space="0" w:color="auto"/>
                    <w:right w:val="none" w:sz="0" w:space="0" w:color="auto"/>
                  </w:divBdr>
                </w:div>
              </w:divsChild>
            </w:div>
            <w:div w:id="1975670658">
              <w:marLeft w:val="0"/>
              <w:marRight w:val="0"/>
              <w:marTop w:val="0"/>
              <w:marBottom w:val="0"/>
              <w:divBdr>
                <w:top w:val="none" w:sz="0" w:space="0" w:color="auto"/>
                <w:left w:val="none" w:sz="0" w:space="0" w:color="auto"/>
                <w:bottom w:val="none" w:sz="0" w:space="0" w:color="auto"/>
                <w:right w:val="none" w:sz="0" w:space="0" w:color="auto"/>
              </w:divBdr>
              <w:divsChild>
                <w:div w:id="715423386">
                  <w:marLeft w:val="360"/>
                  <w:marRight w:val="96"/>
                  <w:marTop w:val="0"/>
                  <w:marBottom w:val="0"/>
                  <w:divBdr>
                    <w:top w:val="none" w:sz="0" w:space="0" w:color="auto"/>
                    <w:left w:val="none" w:sz="0" w:space="0" w:color="auto"/>
                    <w:bottom w:val="none" w:sz="0" w:space="0" w:color="auto"/>
                    <w:right w:val="none" w:sz="0" w:space="0" w:color="auto"/>
                  </w:divBdr>
                </w:div>
              </w:divsChild>
            </w:div>
            <w:div w:id="1976134325">
              <w:marLeft w:val="0"/>
              <w:marRight w:val="0"/>
              <w:marTop w:val="0"/>
              <w:marBottom w:val="240"/>
              <w:divBdr>
                <w:top w:val="none" w:sz="0" w:space="0" w:color="auto"/>
                <w:left w:val="none" w:sz="0" w:space="0" w:color="auto"/>
                <w:bottom w:val="none" w:sz="0" w:space="0" w:color="auto"/>
                <w:right w:val="none" w:sz="0" w:space="0" w:color="auto"/>
              </w:divBdr>
              <w:divsChild>
                <w:div w:id="2044477050">
                  <w:marLeft w:val="360"/>
                  <w:marRight w:val="96"/>
                  <w:marTop w:val="0"/>
                  <w:marBottom w:val="0"/>
                  <w:divBdr>
                    <w:top w:val="none" w:sz="0" w:space="0" w:color="auto"/>
                    <w:left w:val="none" w:sz="0" w:space="0" w:color="auto"/>
                    <w:bottom w:val="none" w:sz="0" w:space="0" w:color="auto"/>
                    <w:right w:val="none" w:sz="0" w:space="0" w:color="auto"/>
                  </w:divBdr>
                </w:div>
              </w:divsChild>
            </w:div>
            <w:div w:id="2020815216">
              <w:marLeft w:val="0"/>
              <w:marRight w:val="0"/>
              <w:marTop w:val="0"/>
              <w:marBottom w:val="240"/>
              <w:divBdr>
                <w:top w:val="none" w:sz="0" w:space="0" w:color="auto"/>
                <w:left w:val="none" w:sz="0" w:space="0" w:color="auto"/>
                <w:bottom w:val="none" w:sz="0" w:space="0" w:color="auto"/>
                <w:right w:val="none" w:sz="0" w:space="0" w:color="auto"/>
              </w:divBdr>
              <w:divsChild>
                <w:div w:id="1749573018">
                  <w:marLeft w:val="360"/>
                  <w:marRight w:val="96"/>
                  <w:marTop w:val="0"/>
                  <w:marBottom w:val="0"/>
                  <w:divBdr>
                    <w:top w:val="none" w:sz="0" w:space="0" w:color="auto"/>
                    <w:left w:val="none" w:sz="0" w:space="0" w:color="auto"/>
                    <w:bottom w:val="none" w:sz="0" w:space="0" w:color="auto"/>
                    <w:right w:val="none" w:sz="0" w:space="0" w:color="auto"/>
                  </w:divBdr>
                </w:div>
              </w:divsChild>
            </w:div>
            <w:div w:id="2133862957">
              <w:marLeft w:val="0"/>
              <w:marRight w:val="0"/>
              <w:marTop w:val="0"/>
              <w:marBottom w:val="240"/>
              <w:divBdr>
                <w:top w:val="none" w:sz="0" w:space="0" w:color="auto"/>
                <w:left w:val="none" w:sz="0" w:space="0" w:color="auto"/>
                <w:bottom w:val="none" w:sz="0" w:space="0" w:color="auto"/>
                <w:right w:val="none" w:sz="0" w:space="0" w:color="auto"/>
              </w:divBdr>
              <w:divsChild>
                <w:div w:id="63958071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83362435">
      <w:bodyDiv w:val="1"/>
      <w:marLeft w:val="0"/>
      <w:marRight w:val="0"/>
      <w:marTop w:val="0"/>
      <w:marBottom w:val="0"/>
      <w:divBdr>
        <w:top w:val="none" w:sz="0" w:space="0" w:color="auto"/>
        <w:left w:val="none" w:sz="0" w:space="0" w:color="auto"/>
        <w:bottom w:val="none" w:sz="0" w:space="0" w:color="auto"/>
        <w:right w:val="none" w:sz="0" w:space="0" w:color="auto"/>
      </w:divBdr>
    </w:div>
    <w:div w:id="721682544">
      <w:bodyDiv w:val="1"/>
      <w:marLeft w:val="0"/>
      <w:marRight w:val="0"/>
      <w:marTop w:val="0"/>
      <w:marBottom w:val="0"/>
      <w:divBdr>
        <w:top w:val="none" w:sz="0" w:space="0" w:color="auto"/>
        <w:left w:val="none" w:sz="0" w:space="0" w:color="auto"/>
        <w:bottom w:val="none" w:sz="0" w:space="0" w:color="auto"/>
        <w:right w:val="none" w:sz="0" w:space="0" w:color="auto"/>
      </w:divBdr>
    </w:div>
    <w:div w:id="736589777">
      <w:bodyDiv w:val="1"/>
      <w:marLeft w:val="0"/>
      <w:marRight w:val="0"/>
      <w:marTop w:val="0"/>
      <w:marBottom w:val="0"/>
      <w:divBdr>
        <w:top w:val="none" w:sz="0" w:space="0" w:color="auto"/>
        <w:left w:val="none" w:sz="0" w:space="0" w:color="auto"/>
        <w:bottom w:val="none" w:sz="0" w:space="0" w:color="auto"/>
        <w:right w:val="none" w:sz="0" w:space="0" w:color="auto"/>
      </w:divBdr>
    </w:div>
    <w:div w:id="739330216">
      <w:bodyDiv w:val="1"/>
      <w:marLeft w:val="0"/>
      <w:marRight w:val="0"/>
      <w:marTop w:val="0"/>
      <w:marBottom w:val="0"/>
      <w:divBdr>
        <w:top w:val="none" w:sz="0" w:space="0" w:color="auto"/>
        <w:left w:val="none" w:sz="0" w:space="0" w:color="auto"/>
        <w:bottom w:val="none" w:sz="0" w:space="0" w:color="auto"/>
        <w:right w:val="none" w:sz="0" w:space="0" w:color="auto"/>
      </w:divBdr>
    </w:div>
    <w:div w:id="750273438">
      <w:bodyDiv w:val="1"/>
      <w:marLeft w:val="0"/>
      <w:marRight w:val="0"/>
      <w:marTop w:val="0"/>
      <w:marBottom w:val="0"/>
      <w:divBdr>
        <w:top w:val="none" w:sz="0" w:space="0" w:color="auto"/>
        <w:left w:val="none" w:sz="0" w:space="0" w:color="auto"/>
        <w:bottom w:val="none" w:sz="0" w:space="0" w:color="auto"/>
        <w:right w:val="none" w:sz="0" w:space="0" w:color="auto"/>
      </w:divBdr>
      <w:divsChild>
        <w:div w:id="897977433">
          <w:marLeft w:val="0"/>
          <w:marRight w:val="0"/>
          <w:marTop w:val="0"/>
          <w:marBottom w:val="0"/>
          <w:divBdr>
            <w:top w:val="none" w:sz="0" w:space="0" w:color="auto"/>
            <w:left w:val="none" w:sz="0" w:space="0" w:color="auto"/>
            <w:bottom w:val="none" w:sz="0" w:space="0" w:color="auto"/>
            <w:right w:val="none" w:sz="0" w:space="0" w:color="auto"/>
          </w:divBdr>
          <w:divsChild>
            <w:div w:id="973413356">
              <w:marLeft w:val="0"/>
              <w:marRight w:val="0"/>
              <w:marTop w:val="0"/>
              <w:marBottom w:val="0"/>
              <w:divBdr>
                <w:top w:val="none" w:sz="0" w:space="0" w:color="auto"/>
                <w:left w:val="none" w:sz="0" w:space="0" w:color="auto"/>
                <w:bottom w:val="none" w:sz="0" w:space="0" w:color="auto"/>
                <w:right w:val="none" w:sz="0" w:space="0" w:color="auto"/>
              </w:divBdr>
              <w:divsChild>
                <w:div w:id="1975209791">
                  <w:marLeft w:val="0"/>
                  <w:marRight w:val="0"/>
                  <w:marTop w:val="0"/>
                  <w:marBottom w:val="0"/>
                  <w:divBdr>
                    <w:top w:val="none" w:sz="0" w:space="0" w:color="auto"/>
                    <w:left w:val="none" w:sz="0" w:space="0" w:color="auto"/>
                    <w:bottom w:val="none" w:sz="0" w:space="0" w:color="auto"/>
                    <w:right w:val="none" w:sz="0" w:space="0" w:color="auto"/>
                  </w:divBdr>
                  <w:divsChild>
                    <w:div w:id="187183784">
                      <w:marLeft w:val="0"/>
                      <w:marRight w:val="0"/>
                      <w:marTop w:val="0"/>
                      <w:marBottom w:val="0"/>
                      <w:divBdr>
                        <w:top w:val="none" w:sz="0" w:space="0" w:color="auto"/>
                        <w:left w:val="none" w:sz="0" w:space="0" w:color="auto"/>
                        <w:bottom w:val="none" w:sz="0" w:space="0" w:color="auto"/>
                        <w:right w:val="none" w:sz="0" w:space="0" w:color="auto"/>
                      </w:divBdr>
                      <w:divsChild>
                        <w:div w:id="556283227">
                          <w:marLeft w:val="0"/>
                          <w:marRight w:val="0"/>
                          <w:marTop w:val="0"/>
                          <w:marBottom w:val="0"/>
                          <w:divBdr>
                            <w:top w:val="none" w:sz="0" w:space="0" w:color="auto"/>
                            <w:left w:val="none" w:sz="0" w:space="0" w:color="auto"/>
                            <w:bottom w:val="none" w:sz="0" w:space="0" w:color="auto"/>
                            <w:right w:val="none" w:sz="0" w:space="0" w:color="auto"/>
                          </w:divBdr>
                          <w:divsChild>
                            <w:div w:id="41972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4452839">
          <w:marLeft w:val="0"/>
          <w:marRight w:val="0"/>
          <w:marTop w:val="0"/>
          <w:marBottom w:val="0"/>
          <w:divBdr>
            <w:top w:val="none" w:sz="0" w:space="0" w:color="auto"/>
            <w:left w:val="none" w:sz="0" w:space="0" w:color="auto"/>
            <w:bottom w:val="none" w:sz="0" w:space="0" w:color="auto"/>
            <w:right w:val="none" w:sz="0" w:space="0" w:color="auto"/>
          </w:divBdr>
          <w:divsChild>
            <w:div w:id="2039774529">
              <w:marLeft w:val="0"/>
              <w:marRight w:val="0"/>
              <w:marTop w:val="0"/>
              <w:marBottom w:val="0"/>
              <w:divBdr>
                <w:top w:val="none" w:sz="0" w:space="0" w:color="auto"/>
                <w:left w:val="none" w:sz="0" w:space="0" w:color="auto"/>
                <w:bottom w:val="none" w:sz="0" w:space="0" w:color="auto"/>
                <w:right w:val="none" w:sz="0" w:space="0" w:color="auto"/>
              </w:divBdr>
              <w:divsChild>
                <w:div w:id="768237104">
                  <w:marLeft w:val="0"/>
                  <w:marRight w:val="0"/>
                  <w:marTop w:val="0"/>
                  <w:marBottom w:val="0"/>
                  <w:divBdr>
                    <w:top w:val="none" w:sz="0" w:space="0" w:color="auto"/>
                    <w:left w:val="none" w:sz="0" w:space="0" w:color="auto"/>
                    <w:bottom w:val="none" w:sz="0" w:space="0" w:color="auto"/>
                    <w:right w:val="none" w:sz="0" w:space="0" w:color="auto"/>
                  </w:divBdr>
                  <w:divsChild>
                    <w:div w:id="2064481643">
                      <w:marLeft w:val="0"/>
                      <w:marRight w:val="0"/>
                      <w:marTop w:val="0"/>
                      <w:marBottom w:val="0"/>
                      <w:divBdr>
                        <w:top w:val="none" w:sz="0" w:space="0" w:color="auto"/>
                        <w:left w:val="none" w:sz="0" w:space="0" w:color="auto"/>
                        <w:bottom w:val="none" w:sz="0" w:space="0" w:color="auto"/>
                        <w:right w:val="none" w:sz="0" w:space="0" w:color="auto"/>
                      </w:divBdr>
                      <w:divsChild>
                        <w:div w:id="5439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274774">
      <w:bodyDiv w:val="1"/>
      <w:marLeft w:val="0"/>
      <w:marRight w:val="0"/>
      <w:marTop w:val="0"/>
      <w:marBottom w:val="0"/>
      <w:divBdr>
        <w:top w:val="none" w:sz="0" w:space="0" w:color="auto"/>
        <w:left w:val="none" w:sz="0" w:space="0" w:color="auto"/>
        <w:bottom w:val="none" w:sz="0" w:space="0" w:color="auto"/>
        <w:right w:val="none" w:sz="0" w:space="0" w:color="auto"/>
      </w:divBdr>
    </w:div>
    <w:div w:id="757411367">
      <w:bodyDiv w:val="1"/>
      <w:marLeft w:val="0"/>
      <w:marRight w:val="0"/>
      <w:marTop w:val="0"/>
      <w:marBottom w:val="0"/>
      <w:divBdr>
        <w:top w:val="none" w:sz="0" w:space="0" w:color="auto"/>
        <w:left w:val="none" w:sz="0" w:space="0" w:color="auto"/>
        <w:bottom w:val="none" w:sz="0" w:space="0" w:color="auto"/>
        <w:right w:val="none" w:sz="0" w:space="0" w:color="auto"/>
      </w:divBdr>
    </w:div>
    <w:div w:id="786897188">
      <w:bodyDiv w:val="1"/>
      <w:marLeft w:val="0"/>
      <w:marRight w:val="0"/>
      <w:marTop w:val="0"/>
      <w:marBottom w:val="0"/>
      <w:divBdr>
        <w:top w:val="none" w:sz="0" w:space="0" w:color="auto"/>
        <w:left w:val="none" w:sz="0" w:space="0" w:color="auto"/>
        <w:bottom w:val="none" w:sz="0" w:space="0" w:color="auto"/>
        <w:right w:val="none" w:sz="0" w:space="0" w:color="auto"/>
      </w:divBdr>
      <w:divsChild>
        <w:div w:id="382406635">
          <w:marLeft w:val="0"/>
          <w:marRight w:val="0"/>
          <w:marTop w:val="0"/>
          <w:marBottom w:val="0"/>
          <w:divBdr>
            <w:top w:val="none" w:sz="0" w:space="0" w:color="auto"/>
            <w:left w:val="none" w:sz="0" w:space="0" w:color="auto"/>
            <w:bottom w:val="none" w:sz="0" w:space="0" w:color="auto"/>
            <w:right w:val="none" w:sz="0" w:space="0" w:color="auto"/>
          </w:divBdr>
          <w:divsChild>
            <w:div w:id="2081368020">
              <w:marLeft w:val="0"/>
              <w:marRight w:val="0"/>
              <w:marTop w:val="0"/>
              <w:marBottom w:val="0"/>
              <w:divBdr>
                <w:top w:val="none" w:sz="0" w:space="0" w:color="auto"/>
                <w:left w:val="none" w:sz="0" w:space="0" w:color="auto"/>
                <w:bottom w:val="none" w:sz="0" w:space="0" w:color="auto"/>
                <w:right w:val="none" w:sz="0" w:space="0" w:color="auto"/>
              </w:divBdr>
              <w:divsChild>
                <w:div w:id="134033491">
                  <w:marLeft w:val="0"/>
                  <w:marRight w:val="0"/>
                  <w:marTop w:val="0"/>
                  <w:marBottom w:val="0"/>
                  <w:divBdr>
                    <w:top w:val="none" w:sz="0" w:space="0" w:color="auto"/>
                    <w:left w:val="none" w:sz="0" w:space="0" w:color="auto"/>
                    <w:bottom w:val="none" w:sz="0" w:space="0" w:color="auto"/>
                    <w:right w:val="none" w:sz="0" w:space="0" w:color="auto"/>
                  </w:divBdr>
                  <w:divsChild>
                    <w:div w:id="1355427286">
                      <w:marLeft w:val="0"/>
                      <w:marRight w:val="0"/>
                      <w:marTop w:val="0"/>
                      <w:marBottom w:val="0"/>
                      <w:divBdr>
                        <w:top w:val="none" w:sz="0" w:space="0" w:color="auto"/>
                        <w:left w:val="none" w:sz="0" w:space="0" w:color="auto"/>
                        <w:bottom w:val="none" w:sz="0" w:space="0" w:color="auto"/>
                        <w:right w:val="none" w:sz="0" w:space="0" w:color="auto"/>
                      </w:divBdr>
                      <w:divsChild>
                        <w:div w:id="155839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090758">
          <w:marLeft w:val="0"/>
          <w:marRight w:val="0"/>
          <w:marTop w:val="0"/>
          <w:marBottom w:val="0"/>
          <w:divBdr>
            <w:top w:val="none" w:sz="0" w:space="0" w:color="auto"/>
            <w:left w:val="none" w:sz="0" w:space="0" w:color="auto"/>
            <w:bottom w:val="none" w:sz="0" w:space="0" w:color="auto"/>
            <w:right w:val="none" w:sz="0" w:space="0" w:color="auto"/>
          </w:divBdr>
          <w:divsChild>
            <w:div w:id="416944337">
              <w:marLeft w:val="0"/>
              <w:marRight w:val="0"/>
              <w:marTop w:val="0"/>
              <w:marBottom w:val="0"/>
              <w:divBdr>
                <w:top w:val="none" w:sz="0" w:space="0" w:color="auto"/>
                <w:left w:val="none" w:sz="0" w:space="0" w:color="auto"/>
                <w:bottom w:val="none" w:sz="0" w:space="0" w:color="auto"/>
                <w:right w:val="none" w:sz="0" w:space="0" w:color="auto"/>
              </w:divBdr>
              <w:divsChild>
                <w:div w:id="1776442045">
                  <w:marLeft w:val="0"/>
                  <w:marRight w:val="0"/>
                  <w:marTop w:val="0"/>
                  <w:marBottom w:val="0"/>
                  <w:divBdr>
                    <w:top w:val="none" w:sz="0" w:space="0" w:color="auto"/>
                    <w:left w:val="none" w:sz="0" w:space="0" w:color="auto"/>
                    <w:bottom w:val="none" w:sz="0" w:space="0" w:color="auto"/>
                    <w:right w:val="none" w:sz="0" w:space="0" w:color="auto"/>
                  </w:divBdr>
                  <w:divsChild>
                    <w:div w:id="1244795377">
                      <w:marLeft w:val="0"/>
                      <w:marRight w:val="0"/>
                      <w:marTop w:val="0"/>
                      <w:marBottom w:val="0"/>
                      <w:divBdr>
                        <w:top w:val="none" w:sz="0" w:space="0" w:color="auto"/>
                        <w:left w:val="none" w:sz="0" w:space="0" w:color="auto"/>
                        <w:bottom w:val="none" w:sz="0" w:space="0" w:color="auto"/>
                        <w:right w:val="none" w:sz="0" w:space="0" w:color="auto"/>
                      </w:divBdr>
                      <w:divsChild>
                        <w:div w:id="937063674">
                          <w:marLeft w:val="0"/>
                          <w:marRight w:val="0"/>
                          <w:marTop w:val="0"/>
                          <w:marBottom w:val="0"/>
                          <w:divBdr>
                            <w:top w:val="none" w:sz="0" w:space="0" w:color="auto"/>
                            <w:left w:val="none" w:sz="0" w:space="0" w:color="auto"/>
                            <w:bottom w:val="none" w:sz="0" w:space="0" w:color="auto"/>
                            <w:right w:val="none" w:sz="0" w:space="0" w:color="auto"/>
                          </w:divBdr>
                          <w:divsChild>
                            <w:div w:id="111617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611855">
      <w:bodyDiv w:val="1"/>
      <w:marLeft w:val="0"/>
      <w:marRight w:val="0"/>
      <w:marTop w:val="0"/>
      <w:marBottom w:val="0"/>
      <w:divBdr>
        <w:top w:val="none" w:sz="0" w:space="0" w:color="auto"/>
        <w:left w:val="none" w:sz="0" w:space="0" w:color="auto"/>
        <w:bottom w:val="none" w:sz="0" w:space="0" w:color="auto"/>
        <w:right w:val="none" w:sz="0" w:space="0" w:color="auto"/>
      </w:divBdr>
    </w:div>
    <w:div w:id="816384561">
      <w:bodyDiv w:val="1"/>
      <w:marLeft w:val="0"/>
      <w:marRight w:val="0"/>
      <w:marTop w:val="0"/>
      <w:marBottom w:val="0"/>
      <w:divBdr>
        <w:top w:val="none" w:sz="0" w:space="0" w:color="auto"/>
        <w:left w:val="none" w:sz="0" w:space="0" w:color="auto"/>
        <w:bottom w:val="none" w:sz="0" w:space="0" w:color="auto"/>
        <w:right w:val="none" w:sz="0" w:space="0" w:color="auto"/>
      </w:divBdr>
    </w:div>
    <w:div w:id="831870476">
      <w:bodyDiv w:val="1"/>
      <w:marLeft w:val="0"/>
      <w:marRight w:val="0"/>
      <w:marTop w:val="0"/>
      <w:marBottom w:val="0"/>
      <w:divBdr>
        <w:top w:val="none" w:sz="0" w:space="0" w:color="auto"/>
        <w:left w:val="none" w:sz="0" w:space="0" w:color="auto"/>
        <w:bottom w:val="none" w:sz="0" w:space="0" w:color="auto"/>
        <w:right w:val="none" w:sz="0" w:space="0" w:color="auto"/>
      </w:divBdr>
    </w:div>
    <w:div w:id="919482550">
      <w:bodyDiv w:val="1"/>
      <w:marLeft w:val="0"/>
      <w:marRight w:val="0"/>
      <w:marTop w:val="0"/>
      <w:marBottom w:val="0"/>
      <w:divBdr>
        <w:top w:val="none" w:sz="0" w:space="0" w:color="auto"/>
        <w:left w:val="none" w:sz="0" w:space="0" w:color="auto"/>
        <w:bottom w:val="none" w:sz="0" w:space="0" w:color="auto"/>
        <w:right w:val="none" w:sz="0" w:space="0" w:color="auto"/>
      </w:divBdr>
    </w:div>
    <w:div w:id="922952573">
      <w:bodyDiv w:val="1"/>
      <w:marLeft w:val="0"/>
      <w:marRight w:val="0"/>
      <w:marTop w:val="0"/>
      <w:marBottom w:val="0"/>
      <w:divBdr>
        <w:top w:val="none" w:sz="0" w:space="0" w:color="auto"/>
        <w:left w:val="none" w:sz="0" w:space="0" w:color="auto"/>
        <w:bottom w:val="none" w:sz="0" w:space="0" w:color="auto"/>
        <w:right w:val="none" w:sz="0" w:space="0" w:color="auto"/>
      </w:divBdr>
    </w:div>
    <w:div w:id="926616190">
      <w:bodyDiv w:val="1"/>
      <w:marLeft w:val="0"/>
      <w:marRight w:val="0"/>
      <w:marTop w:val="0"/>
      <w:marBottom w:val="0"/>
      <w:divBdr>
        <w:top w:val="none" w:sz="0" w:space="0" w:color="auto"/>
        <w:left w:val="none" w:sz="0" w:space="0" w:color="auto"/>
        <w:bottom w:val="none" w:sz="0" w:space="0" w:color="auto"/>
        <w:right w:val="none" w:sz="0" w:space="0" w:color="auto"/>
      </w:divBdr>
    </w:div>
    <w:div w:id="937983792">
      <w:bodyDiv w:val="1"/>
      <w:marLeft w:val="0"/>
      <w:marRight w:val="0"/>
      <w:marTop w:val="0"/>
      <w:marBottom w:val="0"/>
      <w:divBdr>
        <w:top w:val="none" w:sz="0" w:space="0" w:color="auto"/>
        <w:left w:val="none" w:sz="0" w:space="0" w:color="auto"/>
        <w:bottom w:val="none" w:sz="0" w:space="0" w:color="auto"/>
        <w:right w:val="none" w:sz="0" w:space="0" w:color="auto"/>
      </w:divBdr>
    </w:div>
    <w:div w:id="1008561299">
      <w:bodyDiv w:val="1"/>
      <w:marLeft w:val="0"/>
      <w:marRight w:val="0"/>
      <w:marTop w:val="0"/>
      <w:marBottom w:val="0"/>
      <w:divBdr>
        <w:top w:val="none" w:sz="0" w:space="0" w:color="auto"/>
        <w:left w:val="none" w:sz="0" w:space="0" w:color="auto"/>
        <w:bottom w:val="none" w:sz="0" w:space="0" w:color="auto"/>
        <w:right w:val="none" w:sz="0" w:space="0" w:color="auto"/>
      </w:divBdr>
    </w:div>
    <w:div w:id="1068500396">
      <w:bodyDiv w:val="1"/>
      <w:marLeft w:val="0"/>
      <w:marRight w:val="0"/>
      <w:marTop w:val="0"/>
      <w:marBottom w:val="0"/>
      <w:divBdr>
        <w:top w:val="none" w:sz="0" w:space="0" w:color="auto"/>
        <w:left w:val="none" w:sz="0" w:space="0" w:color="auto"/>
        <w:bottom w:val="none" w:sz="0" w:space="0" w:color="auto"/>
        <w:right w:val="none" w:sz="0" w:space="0" w:color="auto"/>
      </w:divBdr>
    </w:div>
    <w:div w:id="1077050410">
      <w:bodyDiv w:val="1"/>
      <w:marLeft w:val="0"/>
      <w:marRight w:val="0"/>
      <w:marTop w:val="0"/>
      <w:marBottom w:val="0"/>
      <w:divBdr>
        <w:top w:val="none" w:sz="0" w:space="0" w:color="auto"/>
        <w:left w:val="none" w:sz="0" w:space="0" w:color="auto"/>
        <w:bottom w:val="none" w:sz="0" w:space="0" w:color="auto"/>
        <w:right w:val="none" w:sz="0" w:space="0" w:color="auto"/>
      </w:divBdr>
    </w:div>
    <w:div w:id="1107308543">
      <w:bodyDiv w:val="1"/>
      <w:marLeft w:val="0"/>
      <w:marRight w:val="0"/>
      <w:marTop w:val="0"/>
      <w:marBottom w:val="0"/>
      <w:divBdr>
        <w:top w:val="none" w:sz="0" w:space="0" w:color="auto"/>
        <w:left w:val="none" w:sz="0" w:space="0" w:color="auto"/>
        <w:bottom w:val="none" w:sz="0" w:space="0" w:color="auto"/>
        <w:right w:val="none" w:sz="0" w:space="0" w:color="auto"/>
      </w:divBdr>
    </w:div>
    <w:div w:id="1121417629">
      <w:bodyDiv w:val="1"/>
      <w:marLeft w:val="0"/>
      <w:marRight w:val="0"/>
      <w:marTop w:val="0"/>
      <w:marBottom w:val="0"/>
      <w:divBdr>
        <w:top w:val="none" w:sz="0" w:space="0" w:color="auto"/>
        <w:left w:val="none" w:sz="0" w:space="0" w:color="auto"/>
        <w:bottom w:val="none" w:sz="0" w:space="0" w:color="auto"/>
        <w:right w:val="none" w:sz="0" w:space="0" w:color="auto"/>
      </w:divBdr>
    </w:div>
    <w:div w:id="1125199353">
      <w:bodyDiv w:val="1"/>
      <w:marLeft w:val="0"/>
      <w:marRight w:val="0"/>
      <w:marTop w:val="0"/>
      <w:marBottom w:val="0"/>
      <w:divBdr>
        <w:top w:val="none" w:sz="0" w:space="0" w:color="auto"/>
        <w:left w:val="none" w:sz="0" w:space="0" w:color="auto"/>
        <w:bottom w:val="none" w:sz="0" w:space="0" w:color="auto"/>
        <w:right w:val="none" w:sz="0" w:space="0" w:color="auto"/>
      </w:divBdr>
    </w:div>
    <w:div w:id="1153254517">
      <w:bodyDiv w:val="1"/>
      <w:marLeft w:val="0"/>
      <w:marRight w:val="0"/>
      <w:marTop w:val="0"/>
      <w:marBottom w:val="0"/>
      <w:divBdr>
        <w:top w:val="none" w:sz="0" w:space="0" w:color="auto"/>
        <w:left w:val="none" w:sz="0" w:space="0" w:color="auto"/>
        <w:bottom w:val="none" w:sz="0" w:space="0" w:color="auto"/>
        <w:right w:val="none" w:sz="0" w:space="0" w:color="auto"/>
      </w:divBdr>
      <w:divsChild>
        <w:div w:id="1038625827">
          <w:marLeft w:val="0"/>
          <w:marRight w:val="0"/>
          <w:marTop w:val="0"/>
          <w:marBottom w:val="0"/>
          <w:divBdr>
            <w:top w:val="none" w:sz="0" w:space="0" w:color="auto"/>
            <w:left w:val="none" w:sz="0" w:space="0" w:color="auto"/>
            <w:bottom w:val="none" w:sz="0" w:space="0" w:color="auto"/>
            <w:right w:val="none" w:sz="0" w:space="0" w:color="auto"/>
          </w:divBdr>
        </w:div>
      </w:divsChild>
    </w:div>
    <w:div w:id="1165630262">
      <w:bodyDiv w:val="1"/>
      <w:marLeft w:val="0"/>
      <w:marRight w:val="0"/>
      <w:marTop w:val="0"/>
      <w:marBottom w:val="0"/>
      <w:divBdr>
        <w:top w:val="none" w:sz="0" w:space="0" w:color="auto"/>
        <w:left w:val="none" w:sz="0" w:space="0" w:color="auto"/>
        <w:bottom w:val="none" w:sz="0" w:space="0" w:color="auto"/>
        <w:right w:val="none" w:sz="0" w:space="0" w:color="auto"/>
      </w:divBdr>
      <w:divsChild>
        <w:div w:id="391006771">
          <w:marLeft w:val="0"/>
          <w:marRight w:val="0"/>
          <w:marTop w:val="0"/>
          <w:marBottom w:val="0"/>
          <w:divBdr>
            <w:top w:val="none" w:sz="0" w:space="0" w:color="auto"/>
            <w:left w:val="none" w:sz="0" w:space="0" w:color="auto"/>
            <w:bottom w:val="none" w:sz="0" w:space="0" w:color="auto"/>
            <w:right w:val="none" w:sz="0" w:space="0" w:color="auto"/>
          </w:divBdr>
        </w:div>
        <w:div w:id="655378015">
          <w:marLeft w:val="0"/>
          <w:marRight w:val="0"/>
          <w:marTop w:val="0"/>
          <w:marBottom w:val="0"/>
          <w:divBdr>
            <w:top w:val="none" w:sz="0" w:space="0" w:color="auto"/>
            <w:left w:val="none" w:sz="0" w:space="0" w:color="auto"/>
            <w:bottom w:val="none" w:sz="0" w:space="0" w:color="auto"/>
            <w:right w:val="none" w:sz="0" w:space="0" w:color="auto"/>
          </w:divBdr>
        </w:div>
      </w:divsChild>
    </w:div>
    <w:div w:id="1353603613">
      <w:bodyDiv w:val="1"/>
      <w:marLeft w:val="0"/>
      <w:marRight w:val="0"/>
      <w:marTop w:val="0"/>
      <w:marBottom w:val="0"/>
      <w:divBdr>
        <w:top w:val="none" w:sz="0" w:space="0" w:color="auto"/>
        <w:left w:val="none" w:sz="0" w:space="0" w:color="auto"/>
        <w:bottom w:val="none" w:sz="0" w:space="0" w:color="auto"/>
        <w:right w:val="none" w:sz="0" w:space="0" w:color="auto"/>
      </w:divBdr>
    </w:div>
    <w:div w:id="1356883056">
      <w:bodyDiv w:val="1"/>
      <w:marLeft w:val="0"/>
      <w:marRight w:val="0"/>
      <w:marTop w:val="0"/>
      <w:marBottom w:val="0"/>
      <w:divBdr>
        <w:top w:val="none" w:sz="0" w:space="0" w:color="auto"/>
        <w:left w:val="none" w:sz="0" w:space="0" w:color="auto"/>
        <w:bottom w:val="none" w:sz="0" w:space="0" w:color="auto"/>
        <w:right w:val="none" w:sz="0" w:space="0" w:color="auto"/>
      </w:divBdr>
    </w:div>
    <w:div w:id="1361316275">
      <w:bodyDiv w:val="1"/>
      <w:marLeft w:val="0"/>
      <w:marRight w:val="0"/>
      <w:marTop w:val="0"/>
      <w:marBottom w:val="0"/>
      <w:divBdr>
        <w:top w:val="none" w:sz="0" w:space="0" w:color="auto"/>
        <w:left w:val="none" w:sz="0" w:space="0" w:color="auto"/>
        <w:bottom w:val="none" w:sz="0" w:space="0" w:color="auto"/>
        <w:right w:val="none" w:sz="0" w:space="0" w:color="auto"/>
      </w:divBdr>
    </w:div>
    <w:div w:id="1363171480">
      <w:bodyDiv w:val="1"/>
      <w:marLeft w:val="0"/>
      <w:marRight w:val="0"/>
      <w:marTop w:val="0"/>
      <w:marBottom w:val="0"/>
      <w:divBdr>
        <w:top w:val="none" w:sz="0" w:space="0" w:color="auto"/>
        <w:left w:val="none" w:sz="0" w:space="0" w:color="auto"/>
        <w:bottom w:val="none" w:sz="0" w:space="0" w:color="auto"/>
        <w:right w:val="none" w:sz="0" w:space="0" w:color="auto"/>
      </w:divBdr>
    </w:div>
    <w:div w:id="1400900662">
      <w:bodyDiv w:val="1"/>
      <w:marLeft w:val="0"/>
      <w:marRight w:val="0"/>
      <w:marTop w:val="0"/>
      <w:marBottom w:val="0"/>
      <w:divBdr>
        <w:top w:val="none" w:sz="0" w:space="0" w:color="auto"/>
        <w:left w:val="none" w:sz="0" w:space="0" w:color="auto"/>
        <w:bottom w:val="none" w:sz="0" w:space="0" w:color="auto"/>
        <w:right w:val="none" w:sz="0" w:space="0" w:color="auto"/>
      </w:divBdr>
    </w:div>
    <w:div w:id="1410887276">
      <w:bodyDiv w:val="1"/>
      <w:marLeft w:val="0"/>
      <w:marRight w:val="0"/>
      <w:marTop w:val="0"/>
      <w:marBottom w:val="0"/>
      <w:divBdr>
        <w:top w:val="none" w:sz="0" w:space="0" w:color="auto"/>
        <w:left w:val="none" w:sz="0" w:space="0" w:color="auto"/>
        <w:bottom w:val="none" w:sz="0" w:space="0" w:color="auto"/>
        <w:right w:val="none" w:sz="0" w:space="0" w:color="auto"/>
      </w:divBdr>
    </w:div>
    <w:div w:id="1411734728">
      <w:bodyDiv w:val="1"/>
      <w:marLeft w:val="0"/>
      <w:marRight w:val="0"/>
      <w:marTop w:val="0"/>
      <w:marBottom w:val="0"/>
      <w:divBdr>
        <w:top w:val="none" w:sz="0" w:space="0" w:color="auto"/>
        <w:left w:val="none" w:sz="0" w:space="0" w:color="auto"/>
        <w:bottom w:val="none" w:sz="0" w:space="0" w:color="auto"/>
        <w:right w:val="none" w:sz="0" w:space="0" w:color="auto"/>
      </w:divBdr>
    </w:div>
    <w:div w:id="1444501187">
      <w:bodyDiv w:val="1"/>
      <w:marLeft w:val="0"/>
      <w:marRight w:val="0"/>
      <w:marTop w:val="0"/>
      <w:marBottom w:val="0"/>
      <w:divBdr>
        <w:top w:val="none" w:sz="0" w:space="0" w:color="auto"/>
        <w:left w:val="none" w:sz="0" w:space="0" w:color="auto"/>
        <w:bottom w:val="none" w:sz="0" w:space="0" w:color="auto"/>
        <w:right w:val="none" w:sz="0" w:space="0" w:color="auto"/>
      </w:divBdr>
    </w:div>
    <w:div w:id="1445269495">
      <w:bodyDiv w:val="1"/>
      <w:marLeft w:val="0"/>
      <w:marRight w:val="0"/>
      <w:marTop w:val="0"/>
      <w:marBottom w:val="0"/>
      <w:divBdr>
        <w:top w:val="none" w:sz="0" w:space="0" w:color="auto"/>
        <w:left w:val="none" w:sz="0" w:space="0" w:color="auto"/>
        <w:bottom w:val="none" w:sz="0" w:space="0" w:color="auto"/>
        <w:right w:val="none" w:sz="0" w:space="0" w:color="auto"/>
      </w:divBdr>
    </w:div>
    <w:div w:id="1466315668">
      <w:bodyDiv w:val="1"/>
      <w:marLeft w:val="0"/>
      <w:marRight w:val="0"/>
      <w:marTop w:val="0"/>
      <w:marBottom w:val="0"/>
      <w:divBdr>
        <w:top w:val="none" w:sz="0" w:space="0" w:color="auto"/>
        <w:left w:val="none" w:sz="0" w:space="0" w:color="auto"/>
        <w:bottom w:val="none" w:sz="0" w:space="0" w:color="auto"/>
        <w:right w:val="none" w:sz="0" w:space="0" w:color="auto"/>
      </w:divBdr>
    </w:div>
    <w:div w:id="1472594290">
      <w:bodyDiv w:val="1"/>
      <w:marLeft w:val="0"/>
      <w:marRight w:val="0"/>
      <w:marTop w:val="0"/>
      <w:marBottom w:val="0"/>
      <w:divBdr>
        <w:top w:val="none" w:sz="0" w:space="0" w:color="auto"/>
        <w:left w:val="none" w:sz="0" w:space="0" w:color="auto"/>
        <w:bottom w:val="none" w:sz="0" w:space="0" w:color="auto"/>
        <w:right w:val="none" w:sz="0" w:space="0" w:color="auto"/>
      </w:divBdr>
    </w:div>
    <w:div w:id="1550651523">
      <w:bodyDiv w:val="1"/>
      <w:marLeft w:val="0"/>
      <w:marRight w:val="0"/>
      <w:marTop w:val="0"/>
      <w:marBottom w:val="0"/>
      <w:divBdr>
        <w:top w:val="none" w:sz="0" w:space="0" w:color="auto"/>
        <w:left w:val="none" w:sz="0" w:space="0" w:color="auto"/>
        <w:bottom w:val="none" w:sz="0" w:space="0" w:color="auto"/>
        <w:right w:val="none" w:sz="0" w:space="0" w:color="auto"/>
      </w:divBdr>
    </w:div>
    <w:div w:id="1564952264">
      <w:bodyDiv w:val="1"/>
      <w:marLeft w:val="0"/>
      <w:marRight w:val="0"/>
      <w:marTop w:val="0"/>
      <w:marBottom w:val="0"/>
      <w:divBdr>
        <w:top w:val="none" w:sz="0" w:space="0" w:color="auto"/>
        <w:left w:val="none" w:sz="0" w:space="0" w:color="auto"/>
        <w:bottom w:val="none" w:sz="0" w:space="0" w:color="auto"/>
        <w:right w:val="none" w:sz="0" w:space="0" w:color="auto"/>
      </w:divBdr>
    </w:div>
    <w:div w:id="1567912465">
      <w:bodyDiv w:val="1"/>
      <w:marLeft w:val="0"/>
      <w:marRight w:val="0"/>
      <w:marTop w:val="0"/>
      <w:marBottom w:val="0"/>
      <w:divBdr>
        <w:top w:val="none" w:sz="0" w:space="0" w:color="auto"/>
        <w:left w:val="none" w:sz="0" w:space="0" w:color="auto"/>
        <w:bottom w:val="none" w:sz="0" w:space="0" w:color="auto"/>
        <w:right w:val="none" w:sz="0" w:space="0" w:color="auto"/>
      </w:divBdr>
      <w:divsChild>
        <w:div w:id="333382809">
          <w:marLeft w:val="0"/>
          <w:marRight w:val="0"/>
          <w:marTop w:val="0"/>
          <w:marBottom w:val="0"/>
          <w:divBdr>
            <w:top w:val="none" w:sz="0" w:space="0" w:color="auto"/>
            <w:left w:val="none" w:sz="0" w:space="0" w:color="auto"/>
            <w:bottom w:val="none" w:sz="0" w:space="0" w:color="auto"/>
            <w:right w:val="none" w:sz="0" w:space="0" w:color="auto"/>
          </w:divBdr>
          <w:divsChild>
            <w:div w:id="1177382480">
              <w:marLeft w:val="0"/>
              <w:marRight w:val="0"/>
              <w:marTop w:val="0"/>
              <w:marBottom w:val="0"/>
              <w:divBdr>
                <w:top w:val="none" w:sz="0" w:space="0" w:color="auto"/>
                <w:left w:val="none" w:sz="0" w:space="0" w:color="auto"/>
                <w:bottom w:val="none" w:sz="0" w:space="0" w:color="auto"/>
                <w:right w:val="none" w:sz="0" w:space="0" w:color="auto"/>
              </w:divBdr>
              <w:divsChild>
                <w:div w:id="2133551073">
                  <w:marLeft w:val="0"/>
                  <w:marRight w:val="0"/>
                  <w:marTop w:val="0"/>
                  <w:marBottom w:val="0"/>
                  <w:divBdr>
                    <w:top w:val="none" w:sz="0" w:space="0" w:color="auto"/>
                    <w:left w:val="none" w:sz="0" w:space="0" w:color="auto"/>
                    <w:bottom w:val="none" w:sz="0" w:space="0" w:color="auto"/>
                    <w:right w:val="none" w:sz="0" w:space="0" w:color="auto"/>
                  </w:divBdr>
                  <w:divsChild>
                    <w:div w:id="84366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064457">
      <w:bodyDiv w:val="1"/>
      <w:marLeft w:val="0"/>
      <w:marRight w:val="0"/>
      <w:marTop w:val="0"/>
      <w:marBottom w:val="0"/>
      <w:divBdr>
        <w:top w:val="none" w:sz="0" w:space="0" w:color="auto"/>
        <w:left w:val="none" w:sz="0" w:space="0" w:color="auto"/>
        <w:bottom w:val="none" w:sz="0" w:space="0" w:color="auto"/>
        <w:right w:val="none" w:sz="0" w:space="0" w:color="auto"/>
      </w:divBdr>
    </w:div>
    <w:div w:id="1586962371">
      <w:bodyDiv w:val="1"/>
      <w:marLeft w:val="0"/>
      <w:marRight w:val="0"/>
      <w:marTop w:val="0"/>
      <w:marBottom w:val="0"/>
      <w:divBdr>
        <w:top w:val="none" w:sz="0" w:space="0" w:color="auto"/>
        <w:left w:val="none" w:sz="0" w:space="0" w:color="auto"/>
        <w:bottom w:val="none" w:sz="0" w:space="0" w:color="auto"/>
        <w:right w:val="none" w:sz="0" w:space="0" w:color="auto"/>
      </w:divBdr>
    </w:div>
    <w:div w:id="1682661582">
      <w:bodyDiv w:val="1"/>
      <w:marLeft w:val="0"/>
      <w:marRight w:val="0"/>
      <w:marTop w:val="0"/>
      <w:marBottom w:val="0"/>
      <w:divBdr>
        <w:top w:val="none" w:sz="0" w:space="0" w:color="auto"/>
        <w:left w:val="none" w:sz="0" w:space="0" w:color="auto"/>
        <w:bottom w:val="none" w:sz="0" w:space="0" w:color="auto"/>
        <w:right w:val="none" w:sz="0" w:space="0" w:color="auto"/>
      </w:divBdr>
    </w:div>
    <w:div w:id="1696230888">
      <w:bodyDiv w:val="1"/>
      <w:marLeft w:val="0"/>
      <w:marRight w:val="0"/>
      <w:marTop w:val="0"/>
      <w:marBottom w:val="0"/>
      <w:divBdr>
        <w:top w:val="none" w:sz="0" w:space="0" w:color="auto"/>
        <w:left w:val="none" w:sz="0" w:space="0" w:color="auto"/>
        <w:bottom w:val="none" w:sz="0" w:space="0" w:color="auto"/>
        <w:right w:val="none" w:sz="0" w:space="0" w:color="auto"/>
      </w:divBdr>
    </w:div>
    <w:div w:id="1726485869">
      <w:bodyDiv w:val="1"/>
      <w:marLeft w:val="0"/>
      <w:marRight w:val="0"/>
      <w:marTop w:val="0"/>
      <w:marBottom w:val="0"/>
      <w:divBdr>
        <w:top w:val="none" w:sz="0" w:space="0" w:color="auto"/>
        <w:left w:val="none" w:sz="0" w:space="0" w:color="auto"/>
        <w:bottom w:val="none" w:sz="0" w:space="0" w:color="auto"/>
        <w:right w:val="none" w:sz="0" w:space="0" w:color="auto"/>
      </w:divBdr>
    </w:div>
    <w:div w:id="1744333778">
      <w:bodyDiv w:val="1"/>
      <w:marLeft w:val="0"/>
      <w:marRight w:val="0"/>
      <w:marTop w:val="0"/>
      <w:marBottom w:val="0"/>
      <w:divBdr>
        <w:top w:val="none" w:sz="0" w:space="0" w:color="auto"/>
        <w:left w:val="none" w:sz="0" w:space="0" w:color="auto"/>
        <w:bottom w:val="none" w:sz="0" w:space="0" w:color="auto"/>
        <w:right w:val="none" w:sz="0" w:space="0" w:color="auto"/>
      </w:divBdr>
      <w:divsChild>
        <w:div w:id="640576225">
          <w:marLeft w:val="0"/>
          <w:marRight w:val="0"/>
          <w:marTop w:val="0"/>
          <w:marBottom w:val="0"/>
          <w:divBdr>
            <w:top w:val="none" w:sz="0" w:space="0" w:color="auto"/>
            <w:left w:val="none" w:sz="0" w:space="0" w:color="auto"/>
            <w:bottom w:val="none" w:sz="0" w:space="0" w:color="auto"/>
            <w:right w:val="none" w:sz="0" w:space="0" w:color="auto"/>
          </w:divBdr>
        </w:div>
      </w:divsChild>
    </w:div>
    <w:div w:id="1747144096">
      <w:bodyDiv w:val="1"/>
      <w:marLeft w:val="0"/>
      <w:marRight w:val="0"/>
      <w:marTop w:val="0"/>
      <w:marBottom w:val="0"/>
      <w:divBdr>
        <w:top w:val="none" w:sz="0" w:space="0" w:color="auto"/>
        <w:left w:val="none" w:sz="0" w:space="0" w:color="auto"/>
        <w:bottom w:val="none" w:sz="0" w:space="0" w:color="auto"/>
        <w:right w:val="none" w:sz="0" w:space="0" w:color="auto"/>
      </w:divBdr>
    </w:div>
    <w:div w:id="1761439410">
      <w:bodyDiv w:val="1"/>
      <w:marLeft w:val="0"/>
      <w:marRight w:val="0"/>
      <w:marTop w:val="0"/>
      <w:marBottom w:val="0"/>
      <w:divBdr>
        <w:top w:val="none" w:sz="0" w:space="0" w:color="auto"/>
        <w:left w:val="none" w:sz="0" w:space="0" w:color="auto"/>
        <w:bottom w:val="none" w:sz="0" w:space="0" w:color="auto"/>
        <w:right w:val="none" w:sz="0" w:space="0" w:color="auto"/>
      </w:divBdr>
    </w:div>
    <w:div w:id="1768772208">
      <w:bodyDiv w:val="1"/>
      <w:marLeft w:val="0"/>
      <w:marRight w:val="0"/>
      <w:marTop w:val="0"/>
      <w:marBottom w:val="0"/>
      <w:divBdr>
        <w:top w:val="none" w:sz="0" w:space="0" w:color="auto"/>
        <w:left w:val="none" w:sz="0" w:space="0" w:color="auto"/>
        <w:bottom w:val="none" w:sz="0" w:space="0" w:color="auto"/>
        <w:right w:val="none" w:sz="0" w:space="0" w:color="auto"/>
      </w:divBdr>
    </w:div>
    <w:div w:id="1789814810">
      <w:bodyDiv w:val="1"/>
      <w:marLeft w:val="0"/>
      <w:marRight w:val="0"/>
      <w:marTop w:val="0"/>
      <w:marBottom w:val="0"/>
      <w:divBdr>
        <w:top w:val="none" w:sz="0" w:space="0" w:color="auto"/>
        <w:left w:val="none" w:sz="0" w:space="0" w:color="auto"/>
        <w:bottom w:val="none" w:sz="0" w:space="0" w:color="auto"/>
        <w:right w:val="none" w:sz="0" w:space="0" w:color="auto"/>
      </w:divBdr>
      <w:divsChild>
        <w:div w:id="360404807">
          <w:marLeft w:val="0"/>
          <w:marRight w:val="0"/>
          <w:marTop w:val="0"/>
          <w:marBottom w:val="0"/>
          <w:divBdr>
            <w:top w:val="none" w:sz="0" w:space="0" w:color="auto"/>
            <w:left w:val="none" w:sz="0" w:space="0" w:color="auto"/>
            <w:bottom w:val="none" w:sz="0" w:space="0" w:color="auto"/>
            <w:right w:val="none" w:sz="0" w:space="0" w:color="auto"/>
          </w:divBdr>
          <w:divsChild>
            <w:div w:id="1357269434">
              <w:marLeft w:val="0"/>
              <w:marRight w:val="0"/>
              <w:marTop w:val="0"/>
              <w:marBottom w:val="0"/>
              <w:divBdr>
                <w:top w:val="none" w:sz="0" w:space="0" w:color="auto"/>
                <w:left w:val="none" w:sz="0" w:space="0" w:color="auto"/>
                <w:bottom w:val="none" w:sz="0" w:space="0" w:color="auto"/>
                <w:right w:val="none" w:sz="0" w:space="0" w:color="auto"/>
              </w:divBdr>
              <w:divsChild>
                <w:div w:id="1383941037">
                  <w:marLeft w:val="0"/>
                  <w:marRight w:val="0"/>
                  <w:marTop w:val="0"/>
                  <w:marBottom w:val="0"/>
                  <w:divBdr>
                    <w:top w:val="none" w:sz="0" w:space="0" w:color="auto"/>
                    <w:left w:val="none" w:sz="0" w:space="0" w:color="auto"/>
                    <w:bottom w:val="none" w:sz="0" w:space="0" w:color="auto"/>
                    <w:right w:val="none" w:sz="0" w:space="0" w:color="auto"/>
                  </w:divBdr>
                  <w:divsChild>
                    <w:div w:id="1051073647">
                      <w:marLeft w:val="0"/>
                      <w:marRight w:val="0"/>
                      <w:marTop w:val="0"/>
                      <w:marBottom w:val="0"/>
                      <w:divBdr>
                        <w:top w:val="none" w:sz="0" w:space="0" w:color="auto"/>
                        <w:left w:val="none" w:sz="0" w:space="0" w:color="auto"/>
                        <w:bottom w:val="none" w:sz="0" w:space="0" w:color="auto"/>
                        <w:right w:val="none" w:sz="0" w:space="0" w:color="auto"/>
                      </w:divBdr>
                      <w:divsChild>
                        <w:div w:id="79180965">
                          <w:marLeft w:val="0"/>
                          <w:marRight w:val="0"/>
                          <w:marTop w:val="0"/>
                          <w:marBottom w:val="0"/>
                          <w:divBdr>
                            <w:top w:val="none" w:sz="0" w:space="0" w:color="auto"/>
                            <w:left w:val="none" w:sz="0" w:space="0" w:color="auto"/>
                            <w:bottom w:val="none" w:sz="0" w:space="0" w:color="auto"/>
                            <w:right w:val="none" w:sz="0" w:space="0" w:color="auto"/>
                          </w:divBdr>
                          <w:divsChild>
                            <w:div w:id="145844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352365">
      <w:bodyDiv w:val="1"/>
      <w:marLeft w:val="0"/>
      <w:marRight w:val="0"/>
      <w:marTop w:val="0"/>
      <w:marBottom w:val="0"/>
      <w:divBdr>
        <w:top w:val="none" w:sz="0" w:space="0" w:color="auto"/>
        <w:left w:val="none" w:sz="0" w:space="0" w:color="auto"/>
        <w:bottom w:val="none" w:sz="0" w:space="0" w:color="auto"/>
        <w:right w:val="none" w:sz="0" w:space="0" w:color="auto"/>
      </w:divBdr>
    </w:div>
    <w:div w:id="1807505875">
      <w:bodyDiv w:val="1"/>
      <w:marLeft w:val="0"/>
      <w:marRight w:val="0"/>
      <w:marTop w:val="0"/>
      <w:marBottom w:val="0"/>
      <w:divBdr>
        <w:top w:val="none" w:sz="0" w:space="0" w:color="auto"/>
        <w:left w:val="none" w:sz="0" w:space="0" w:color="auto"/>
        <w:bottom w:val="none" w:sz="0" w:space="0" w:color="auto"/>
        <w:right w:val="none" w:sz="0" w:space="0" w:color="auto"/>
      </w:divBdr>
    </w:div>
    <w:div w:id="1843348430">
      <w:bodyDiv w:val="1"/>
      <w:marLeft w:val="0"/>
      <w:marRight w:val="0"/>
      <w:marTop w:val="0"/>
      <w:marBottom w:val="0"/>
      <w:divBdr>
        <w:top w:val="none" w:sz="0" w:space="0" w:color="auto"/>
        <w:left w:val="none" w:sz="0" w:space="0" w:color="auto"/>
        <w:bottom w:val="none" w:sz="0" w:space="0" w:color="auto"/>
        <w:right w:val="none" w:sz="0" w:space="0" w:color="auto"/>
      </w:divBdr>
    </w:div>
    <w:div w:id="1864132565">
      <w:bodyDiv w:val="1"/>
      <w:marLeft w:val="0"/>
      <w:marRight w:val="0"/>
      <w:marTop w:val="0"/>
      <w:marBottom w:val="0"/>
      <w:divBdr>
        <w:top w:val="none" w:sz="0" w:space="0" w:color="auto"/>
        <w:left w:val="none" w:sz="0" w:space="0" w:color="auto"/>
        <w:bottom w:val="none" w:sz="0" w:space="0" w:color="auto"/>
        <w:right w:val="none" w:sz="0" w:space="0" w:color="auto"/>
      </w:divBdr>
    </w:div>
    <w:div w:id="1868175198">
      <w:bodyDiv w:val="1"/>
      <w:marLeft w:val="0"/>
      <w:marRight w:val="0"/>
      <w:marTop w:val="0"/>
      <w:marBottom w:val="0"/>
      <w:divBdr>
        <w:top w:val="none" w:sz="0" w:space="0" w:color="auto"/>
        <w:left w:val="none" w:sz="0" w:space="0" w:color="auto"/>
        <w:bottom w:val="none" w:sz="0" w:space="0" w:color="auto"/>
        <w:right w:val="none" w:sz="0" w:space="0" w:color="auto"/>
      </w:divBdr>
    </w:div>
    <w:div w:id="1937596128">
      <w:bodyDiv w:val="1"/>
      <w:marLeft w:val="0"/>
      <w:marRight w:val="0"/>
      <w:marTop w:val="0"/>
      <w:marBottom w:val="0"/>
      <w:divBdr>
        <w:top w:val="none" w:sz="0" w:space="0" w:color="auto"/>
        <w:left w:val="none" w:sz="0" w:space="0" w:color="auto"/>
        <w:bottom w:val="none" w:sz="0" w:space="0" w:color="auto"/>
        <w:right w:val="none" w:sz="0" w:space="0" w:color="auto"/>
      </w:divBdr>
    </w:div>
    <w:div w:id="1995791520">
      <w:bodyDiv w:val="1"/>
      <w:marLeft w:val="0"/>
      <w:marRight w:val="0"/>
      <w:marTop w:val="0"/>
      <w:marBottom w:val="0"/>
      <w:divBdr>
        <w:top w:val="none" w:sz="0" w:space="0" w:color="auto"/>
        <w:left w:val="none" w:sz="0" w:space="0" w:color="auto"/>
        <w:bottom w:val="none" w:sz="0" w:space="0" w:color="auto"/>
        <w:right w:val="none" w:sz="0" w:space="0" w:color="auto"/>
      </w:divBdr>
    </w:div>
    <w:div w:id="2014411471">
      <w:bodyDiv w:val="1"/>
      <w:marLeft w:val="0"/>
      <w:marRight w:val="0"/>
      <w:marTop w:val="0"/>
      <w:marBottom w:val="0"/>
      <w:divBdr>
        <w:top w:val="none" w:sz="0" w:space="0" w:color="auto"/>
        <w:left w:val="none" w:sz="0" w:space="0" w:color="auto"/>
        <w:bottom w:val="none" w:sz="0" w:space="0" w:color="auto"/>
        <w:right w:val="none" w:sz="0" w:space="0" w:color="auto"/>
      </w:divBdr>
    </w:div>
    <w:div w:id="2017027910">
      <w:bodyDiv w:val="1"/>
      <w:marLeft w:val="0"/>
      <w:marRight w:val="0"/>
      <w:marTop w:val="0"/>
      <w:marBottom w:val="0"/>
      <w:divBdr>
        <w:top w:val="none" w:sz="0" w:space="0" w:color="auto"/>
        <w:left w:val="none" w:sz="0" w:space="0" w:color="auto"/>
        <w:bottom w:val="none" w:sz="0" w:space="0" w:color="auto"/>
        <w:right w:val="none" w:sz="0" w:space="0" w:color="auto"/>
      </w:divBdr>
    </w:div>
    <w:div w:id="2025862288">
      <w:bodyDiv w:val="1"/>
      <w:marLeft w:val="0"/>
      <w:marRight w:val="0"/>
      <w:marTop w:val="0"/>
      <w:marBottom w:val="0"/>
      <w:divBdr>
        <w:top w:val="none" w:sz="0" w:space="0" w:color="auto"/>
        <w:left w:val="none" w:sz="0" w:space="0" w:color="auto"/>
        <w:bottom w:val="none" w:sz="0" w:space="0" w:color="auto"/>
        <w:right w:val="none" w:sz="0" w:space="0" w:color="auto"/>
      </w:divBdr>
      <w:divsChild>
        <w:div w:id="1322349746">
          <w:marLeft w:val="0"/>
          <w:marRight w:val="0"/>
          <w:marTop w:val="0"/>
          <w:marBottom w:val="0"/>
          <w:divBdr>
            <w:top w:val="none" w:sz="0" w:space="0" w:color="auto"/>
            <w:left w:val="none" w:sz="0" w:space="0" w:color="auto"/>
            <w:bottom w:val="none" w:sz="0" w:space="0" w:color="auto"/>
            <w:right w:val="none" w:sz="0" w:space="0" w:color="auto"/>
          </w:divBdr>
          <w:divsChild>
            <w:div w:id="1406955957">
              <w:marLeft w:val="0"/>
              <w:marRight w:val="0"/>
              <w:marTop w:val="0"/>
              <w:marBottom w:val="0"/>
              <w:divBdr>
                <w:top w:val="none" w:sz="0" w:space="0" w:color="auto"/>
                <w:left w:val="none" w:sz="0" w:space="0" w:color="auto"/>
                <w:bottom w:val="none" w:sz="0" w:space="0" w:color="auto"/>
                <w:right w:val="none" w:sz="0" w:space="0" w:color="auto"/>
              </w:divBdr>
              <w:divsChild>
                <w:div w:id="415202128">
                  <w:marLeft w:val="0"/>
                  <w:marRight w:val="0"/>
                  <w:marTop w:val="0"/>
                  <w:marBottom w:val="0"/>
                  <w:divBdr>
                    <w:top w:val="none" w:sz="0" w:space="0" w:color="auto"/>
                    <w:left w:val="none" w:sz="0" w:space="0" w:color="auto"/>
                    <w:bottom w:val="none" w:sz="0" w:space="0" w:color="auto"/>
                    <w:right w:val="none" w:sz="0" w:space="0" w:color="auto"/>
                  </w:divBdr>
                  <w:divsChild>
                    <w:div w:id="1515462155">
                      <w:marLeft w:val="0"/>
                      <w:marRight w:val="0"/>
                      <w:marTop w:val="0"/>
                      <w:marBottom w:val="0"/>
                      <w:divBdr>
                        <w:top w:val="none" w:sz="0" w:space="0" w:color="auto"/>
                        <w:left w:val="none" w:sz="0" w:space="0" w:color="auto"/>
                        <w:bottom w:val="none" w:sz="0" w:space="0" w:color="auto"/>
                        <w:right w:val="none" w:sz="0" w:space="0" w:color="auto"/>
                      </w:divBdr>
                      <w:divsChild>
                        <w:div w:id="1705517611">
                          <w:marLeft w:val="0"/>
                          <w:marRight w:val="0"/>
                          <w:marTop w:val="0"/>
                          <w:marBottom w:val="0"/>
                          <w:divBdr>
                            <w:top w:val="none" w:sz="0" w:space="0" w:color="auto"/>
                            <w:left w:val="none" w:sz="0" w:space="0" w:color="auto"/>
                            <w:bottom w:val="none" w:sz="0" w:space="0" w:color="auto"/>
                            <w:right w:val="none" w:sz="0" w:space="0" w:color="auto"/>
                          </w:divBdr>
                          <w:divsChild>
                            <w:div w:id="17905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752310">
      <w:bodyDiv w:val="1"/>
      <w:marLeft w:val="0"/>
      <w:marRight w:val="0"/>
      <w:marTop w:val="0"/>
      <w:marBottom w:val="0"/>
      <w:divBdr>
        <w:top w:val="none" w:sz="0" w:space="0" w:color="auto"/>
        <w:left w:val="none" w:sz="0" w:space="0" w:color="auto"/>
        <w:bottom w:val="none" w:sz="0" w:space="0" w:color="auto"/>
        <w:right w:val="none" w:sz="0" w:space="0" w:color="auto"/>
      </w:divBdr>
    </w:div>
    <w:div w:id="2035643329">
      <w:bodyDiv w:val="1"/>
      <w:marLeft w:val="0"/>
      <w:marRight w:val="0"/>
      <w:marTop w:val="0"/>
      <w:marBottom w:val="0"/>
      <w:divBdr>
        <w:top w:val="none" w:sz="0" w:space="0" w:color="auto"/>
        <w:left w:val="none" w:sz="0" w:space="0" w:color="auto"/>
        <w:bottom w:val="none" w:sz="0" w:space="0" w:color="auto"/>
        <w:right w:val="none" w:sz="0" w:space="0" w:color="auto"/>
      </w:divBdr>
    </w:div>
    <w:div w:id="211211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jure.org/" TargetMode="External"/><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jpeg"/><Relationship Id="rId28" Type="http://schemas.openxmlformats.org/officeDocument/2006/relationships/footer" Target="footer2.xml"/><Relationship Id="rId10" Type="http://schemas.openxmlformats.org/officeDocument/2006/relationships/hyperlink" Target="https://www.gesetze-im-internet.de" TargetMode="Externa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auckland.figshare.com/articles/journal_contribution/INFORMAS_Protocol_Public_Sector_Module_-_Annex_3_Up-to-date_list_of_the_good_practice_indicators_of_the_Food-EPI/5664841?file=9885751" TargetMode="External"/><Relationship Id="rId1" Type="http://schemas.openxmlformats.org/officeDocument/2006/relationships/hyperlink" Target="https://auckland.figshare.com/articles/journal_contribution/INFORMAS_Protocol_Public_Sector_Module_-_Annex_3_Up-to-date_list_of_the_good_practice_indicators_of_the_Food-EPI/5664841?file=9885751" TargetMode="External"/></Relationships>
</file>

<file path=word/theme/theme1.xml><?xml version="1.0" encoding="utf-8"?>
<a:theme xmlns:a="http://schemas.openxmlformats.org/drawingml/2006/main" name="White">
  <a:themeElements>
    <a:clrScheme name="Uni Paderborn">
      <a:dk1>
        <a:srgbClr val="181C62"/>
      </a:dk1>
      <a:lt1>
        <a:srgbClr val="FFFFFF"/>
      </a:lt1>
      <a:dk2>
        <a:srgbClr val="0025AA"/>
      </a:dk2>
      <a:lt2>
        <a:srgbClr val="EF3A84"/>
      </a:lt2>
      <a:accent1>
        <a:srgbClr val="7E3FA8"/>
      </a:accent1>
      <a:accent2>
        <a:srgbClr val="C138A0"/>
      </a:accent2>
      <a:accent3>
        <a:srgbClr val="0A75C4"/>
      </a:accent3>
      <a:accent4>
        <a:srgbClr val="23A9C9"/>
      </a:accent4>
      <a:accent5>
        <a:srgbClr val="50D1D1"/>
      </a:accent5>
      <a:accent6>
        <a:srgbClr val="ACEA3D"/>
      </a:accent6>
      <a:hlink>
        <a:srgbClr val="0A75C4"/>
      </a:hlink>
      <a:folHlink>
        <a:srgbClr val="ACEA3D"/>
      </a:folHlink>
    </a:clrScheme>
    <a:fontScheme name="Uni Paderborn">
      <a:majorFont>
        <a:latin typeface="Segoe UI"/>
        <a:ea typeface=""/>
        <a:cs typeface=""/>
      </a:majorFont>
      <a:minorFont>
        <a:latin typeface="Segoe U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w="6350" cap="sq">
          <a:noFill/>
          <a:miter lim="800000"/>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spcBef>
            <a:spcPts val="300"/>
          </a:spcBef>
          <a:spcAft>
            <a:spcPts val="300"/>
          </a:spcAft>
          <a:defRPr sz="1600" dirty="0" err="1">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6350" cap="flat">
          <a:solidFill>
            <a:schemeClr val="tx1"/>
          </a:solidFill>
          <a:miter lim="800000"/>
          <a:tailEnd type="none"/>
        </a:ln>
      </a:spPr>
      <a:bodyPr/>
      <a:lstStyle/>
      <a:style>
        <a:lnRef idx="1">
          <a:schemeClr val="accent1"/>
        </a:lnRef>
        <a:fillRef idx="0">
          <a:schemeClr val="accent1"/>
        </a:fillRef>
        <a:effectRef idx="0">
          <a:schemeClr val="accent1"/>
        </a:effectRef>
        <a:fontRef idx="minor">
          <a:schemeClr val="tx1"/>
        </a:fontRef>
      </a:style>
    </a:lnDef>
    <a:txDef>
      <a:spPr>
        <a:ln w="6350">
          <a:noFill/>
          <a:miter lim="800000"/>
        </a:ln>
      </a:spPr>
      <a:bodyPr vert="horz" wrap="square" lIns="0" tIns="0" rIns="0" bIns="0" rtlCol="0">
        <a:noAutofit/>
      </a:bodyPr>
      <a:lstStyle>
        <a:defPPr algn="l">
          <a:spcBef>
            <a:spcPts val="300"/>
          </a:spcBef>
          <a:spcAft>
            <a:spcPts val="300"/>
          </a:spcAft>
          <a:buNone/>
          <a:defRPr sz="1600" dirty="0" smtClean="0"/>
        </a:defPPr>
      </a:lstStyle>
    </a:txDef>
  </a:objectDefaults>
  <a:extraClrSchemeLst>
    <a:extraClrScheme>
      <a:clrScheme name="Scheme White">
        <a:dk1>
          <a:srgbClr val="000000"/>
        </a:dk1>
        <a:lt1>
          <a:srgbClr val="FFFFFF"/>
        </a:lt1>
        <a:dk2>
          <a:srgbClr val="FFFFFF"/>
        </a:dk2>
        <a:lt2>
          <a:srgbClr val="FFFFFF"/>
        </a:lt2>
        <a:accent1>
          <a:srgbClr val="061F79"/>
        </a:accent1>
        <a:accent2>
          <a:srgbClr val="00A9F4"/>
        </a:accent2>
        <a:accent3>
          <a:srgbClr val="2251FF"/>
        </a:accent3>
        <a:accent4>
          <a:srgbClr val="99E6FF"/>
        </a:accent4>
        <a:accent5>
          <a:srgbClr val="0679C3"/>
        </a:accent5>
        <a:accent6>
          <a:srgbClr val="75F0E7"/>
        </a:accent6>
        <a:hlink>
          <a:srgbClr val="1F40E6"/>
        </a:hlink>
        <a:folHlink>
          <a:srgbClr val="8C5AC8"/>
        </a:folHlink>
      </a:clrScheme>
    </a:extraClrScheme>
  </a:extraClrSchemeLst>
  <a:custClrLst>
    <a:custClr name="Electric Blue 900">
      <a:srgbClr val="061F79"/>
    </a:custClr>
    <a:custClr name="Electric Blue 700">
      <a:srgbClr val="1537BA"/>
    </a:custClr>
    <a:custClr name="Electric Blue 500">
      <a:srgbClr val="2251FF"/>
    </a:custClr>
    <a:custClr name="Electric Blue 300">
      <a:srgbClr val="5E9DFF"/>
    </a:custClr>
    <a:custClr name="Electric Blue 200">
      <a:srgbClr val="99C4FF"/>
    </a:custClr>
    <a:custClr name="Null">
      <a:srgbClr val="FEFFFF"/>
    </a:custClr>
    <a:custClr name="Null">
      <a:srgbClr val="FEFFFF"/>
    </a:custClr>
    <a:custClr name="Null">
      <a:srgbClr val="FEFFFF"/>
    </a:custClr>
    <a:custClr name="Null">
      <a:srgbClr val="FEFFFF"/>
    </a:custClr>
    <a:custClr name="Null">
      <a:srgbClr val="FEFFFF"/>
    </a:custClr>
    <a:custClr name="Deep Blue 900">
      <a:srgbClr val="051C2C"/>
    </a:custClr>
    <a:custClr name="Electric Blue 800">
      <a:srgbClr val="0E2B99"/>
    </a:custClr>
    <a:custClr name="Electric Blue 500">
      <a:srgbClr val="2251FF"/>
    </a:custClr>
    <a:custClr name="Electric Blue 200">
      <a:srgbClr val="99C4FF"/>
    </a:custClr>
    <a:custClr name="Gray 10%">
      <a:srgbClr val="E6E6E6"/>
    </a:custClr>
    <a:custClr name="Crimson Red 300">
      <a:srgbClr val="F17E7E"/>
    </a:custClr>
    <a:custClr name="Crimson Red 500">
      <a:srgbClr val="E33B3B"/>
    </a:custClr>
    <a:custClr name="Crimson Red 700">
      <a:srgbClr val="B82525"/>
    </a:custClr>
    <a:custClr name="Crimson Red 900">
      <a:srgbClr val="8E0B0B"/>
    </a:custClr>
    <a:custClr name="Null">
      <a:srgbClr val="FEFFFF"/>
    </a:custClr>
    <a:custClr name="Marine Green 900">
      <a:srgbClr val="108980"/>
    </a:custClr>
    <a:custClr name="Marine Green 700">
      <a:srgbClr val="14B8AB"/>
    </a:custClr>
    <a:custClr name="Marine Green 500">
      <a:srgbClr val="0BDACB"/>
    </a:custClr>
    <a:custClr name="Marine Green 300">
      <a:srgbClr val="75F0E7"/>
    </a:custClr>
    <a:custClr name="Sand Neutral 300">
      <a:srgbClr val="E6D7BC"/>
    </a:custClr>
    <a:custClr name="Crimson Red 300">
      <a:srgbClr val="F17E7E"/>
    </a:custClr>
    <a:custClr name="Crimson Red 500">
      <a:srgbClr val="E33B3B"/>
    </a:custClr>
    <a:custClr name="Crimson Red 700">
      <a:srgbClr val="B82525"/>
    </a:custClr>
    <a:custClr name="Crimson Red 900">
      <a:srgbClr val="8E0B0B"/>
    </a:custClr>
    <a:custClr name="Null">
      <a:srgbClr val="FEFFFF"/>
    </a:custClr>
    <a:custClr name="Gray 70%">
      <a:srgbClr val="4D4D4D"/>
    </a:custClr>
    <a:custClr name="Gray 54%">
      <a:srgbClr val="757575"/>
    </a:custClr>
    <a:custClr name="Gray 30%">
      <a:srgbClr val="B3B3B3"/>
    </a:custClr>
    <a:custClr name="Gray 20%">
      <a:srgbClr val="CCCCCC"/>
    </a:custClr>
    <a:custClr name="Gray 10%">
      <a:srgbClr val="E6E6E6"/>
    </a:custClr>
    <a:custClr name="Null">
      <a:srgbClr val="FEFFFF"/>
    </a:custClr>
    <a:custClr name="Null">
      <a:srgbClr val="FEFFFF"/>
    </a:custClr>
    <a:custClr name="Null">
      <a:srgbClr val="FEFFFF"/>
    </a:custClr>
    <a:custClr name="Null">
      <a:srgbClr val="FEFFFF"/>
    </a:custClr>
    <a:custClr name="Null">
      <a:srgbClr val="FEFFFF"/>
    </a:custClr>
    <a:custClr name="Marine Green 500">
      <a:srgbClr val="0BDACB"/>
    </a:custClr>
    <a:custClr name="Amber Yellow 500">
      <a:srgbClr val="FFA800"/>
    </a:custClr>
    <a:custClr name="Crimson Red 500">
      <a:srgbClr val="E33B3B"/>
    </a:custClr>
    <a:custClr name="Deep Blue 900">
      <a:srgbClr val="051C2C"/>
    </a:custClr>
    <a:custClr name="Null">
      <a:srgbClr val="FEFFFF"/>
    </a:custClr>
    <a:custClr name="Null">
      <a:srgbClr val="FEFFFF"/>
    </a:custClr>
    <a:custClr name="Null">
      <a:srgbClr val="FEFFFF"/>
    </a:custClr>
    <a:custClr name="Null">
      <a:srgbClr val="FEFFFF"/>
    </a:custClr>
    <a:custClr name="Null">
      <a:srgbClr val="FEFFFF"/>
    </a:custClr>
    <a:custClr name="Null">
      <a:srgbClr val="FEFFFF"/>
    </a:custClr>
  </a:custClrLst>
  <a:extLst>
    <a:ext uri="{05A4C25C-085E-4340-85A3-A5531E510DB2}">
      <thm15:themeFamily xmlns:thm15="http://schemas.microsoft.com/office/thememl/2012/main" name="20250313_Gesetzgebungskompetenz_DGE-Kongress_vf" id="{58BE2591-4017-C94C-9800-2C8D62982B56}" vid="{76F62F01-8856-BF49-B9E5-55FE97BC521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0D5E2-1918-41E1-8B8C-C0E9B9361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80</Pages>
  <Words>35197</Words>
  <Characters>221742</Characters>
  <Application>Microsoft Office Word</Application>
  <DocSecurity>0</DocSecurity>
  <Lines>1847</Lines>
  <Paragraphs>512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Franziska Wiebke</dc:creator>
  <cp:keywords/>
  <dc:description/>
  <cp:lastModifiedBy>Franziska Wiebke</cp:lastModifiedBy>
  <cp:revision>16</cp:revision>
  <dcterms:created xsi:type="dcterms:W3CDTF">2026-02-12T09:03:00Z</dcterms:created>
  <dcterms:modified xsi:type="dcterms:W3CDTF">2026-03-09T15:33:00Z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zotero-version="8.0.1"&gt;&lt;session id="49T2H3Bx"/&gt;&lt;style id="http://www.zotero.org/styles/implementation-science" hasBibliography="1" bibliographyStyleHasBeenSet="1"/&gt;&lt;prefs&gt;&lt;pref name="fieldType" value="Field"/&gt;&lt;pref name="delayCitati</vt:lpwstr>
  </property>
  <property fmtid="{D5CDD505-2E9C-101B-9397-08002B2CF9AE}" pid="3" name="ZOTERO_PREF_2">
    <vt:lpwstr>onUpdates" value="true"/&gt;&lt;pref name="dontAskDelayCitationUpdates" value="true"/&gt;&lt;/prefs&gt;&lt;/data&gt;</vt:lpwstr>
  </property>
</Properties>
</file>