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A3F55">
      <w:pPr>
        <w:pStyle w:val="6"/>
        <w:spacing w:before="0" w:beforeAutospacing="0" w:line="360" w:lineRule="auto"/>
        <w:jc w:val="left"/>
        <w:rPr>
          <w:b/>
        </w:rPr>
      </w:pPr>
      <w:r>
        <w:rPr>
          <w:rFonts w:hint="eastAsia"/>
          <w:b/>
          <w:lang w:val="en-US" w:eastAsia="zh-CN"/>
        </w:rPr>
        <w:t>Supplementary</w:t>
      </w:r>
      <w:r>
        <w:rPr>
          <w:b/>
        </w:rPr>
        <w:t xml:space="preserve"> </w:t>
      </w:r>
      <w:r>
        <w:rPr>
          <w:rFonts w:hint="eastAsia"/>
          <w:b/>
          <w:lang w:val="en-US" w:eastAsia="zh-CN"/>
        </w:rPr>
        <w:t xml:space="preserve">Table </w:t>
      </w:r>
      <w:r>
        <w:rPr>
          <w:b/>
        </w:rPr>
        <w:t>2</w:t>
      </w:r>
      <w:bookmarkStart w:id="0" w:name="_GoBack"/>
      <w:bookmarkEnd w:id="0"/>
    </w:p>
    <w:p w14:paraId="3D4C67E3">
      <w:pPr>
        <w:pStyle w:val="6"/>
        <w:spacing w:before="0" w:beforeAutospacing="0" w:line="360" w:lineRule="auto"/>
        <w:ind w:firstLine="422"/>
        <w:rPr>
          <w:b/>
        </w:rPr>
      </w:pPr>
      <w:r>
        <w:rPr>
          <w:b/>
        </w:rPr>
        <w:t xml:space="preserve">Table </w:t>
      </w:r>
      <w:r>
        <w:rPr>
          <w:rFonts w:hint="eastAsia"/>
          <w:b/>
          <w:lang w:val="en-US" w:eastAsia="zh-CN"/>
        </w:rPr>
        <w:t>2</w:t>
      </w:r>
      <w:r>
        <w:rPr>
          <w:b/>
        </w:rPr>
        <w:t xml:space="preserve"> Definition of variables</w:t>
      </w:r>
    </w:p>
    <w:tbl>
      <w:tblPr>
        <w:tblStyle w:val="5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2"/>
        <w:gridCol w:w="2181"/>
        <w:gridCol w:w="4158"/>
      </w:tblGrid>
      <w:tr w14:paraId="1A347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373A384C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Variable</w:t>
            </w:r>
          </w:p>
        </w:tc>
        <w:tc>
          <w:tcPr>
            <w:tcW w:w="128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4F8E845D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Meaning</w:t>
            </w:r>
          </w:p>
        </w:tc>
        <w:tc>
          <w:tcPr>
            <w:tcW w:w="244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978CBF0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Variable type and coding</w:t>
            </w:r>
          </w:p>
        </w:tc>
      </w:tr>
      <w:tr w14:paraId="7470E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9909D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gender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DC674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Gender</w:t>
            </w:r>
          </w:p>
        </w:tc>
        <w:tc>
          <w:tcPr>
            <w:tcW w:w="2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32DC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Classification variable, 0= male, 1= female.</w:t>
            </w:r>
          </w:p>
        </w:tc>
      </w:tr>
      <w:tr w14:paraId="5D877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4AEA6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age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E1FD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age</w:t>
            </w:r>
          </w:p>
        </w:tc>
        <w:tc>
          <w:tcPr>
            <w:tcW w:w="2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8796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Continuous variable</w:t>
            </w:r>
          </w:p>
        </w:tc>
      </w:tr>
      <w:tr w14:paraId="751B4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D1961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marital status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35ADB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marital status</w:t>
            </w:r>
          </w:p>
        </w:tc>
        <w:tc>
          <w:tcPr>
            <w:tcW w:w="2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15B5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Classified variables; 0= Unmarried, divorced or widowed, 1= in marriage.</w:t>
            </w:r>
          </w:p>
        </w:tc>
      </w:tr>
      <w:tr w14:paraId="004E1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804E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education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14945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Whether having an education level of college or above.</w:t>
            </w:r>
          </w:p>
        </w:tc>
        <w:tc>
          <w:tcPr>
            <w:tcW w:w="2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4A1C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Classified variables; 0= education below the college level, 1= education at or beyond the college level.</w:t>
            </w:r>
          </w:p>
        </w:tc>
      </w:tr>
      <w:tr w14:paraId="5A4256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E6371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residence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9C29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Whether living in regions with an annual GDP of more than 1 trillion dollars.</w:t>
            </w:r>
          </w:p>
        </w:tc>
        <w:tc>
          <w:tcPr>
            <w:tcW w:w="2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AE93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Classified variables; 0= living in regions with an annual GDP of less than 1 trillion dollars, 1= living in regions with an annual GDP of more than 1 trillion dollars.</w:t>
            </w:r>
          </w:p>
        </w:tc>
      </w:tr>
      <w:tr w14:paraId="6FB13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ECD5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insurance type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9240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Whether covered by the national basic medical insurance program for urban and rural residents.</w:t>
            </w:r>
          </w:p>
        </w:tc>
        <w:tc>
          <w:tcPr>
            <w:tcW w:w="2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8FA9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Classified variables; 0= greater than 60g/L, 1= covered by the national basic medical insurance program for urban and rural residents.</w:t>
            </w:r>
          </w:p>
        </w:tc>
      </w:tr>
      <w:tr w14:paraId="722D2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8B5F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family income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AD4C7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The annual per capita household income</w:t>
            </w:r>
          </w:p>
        </w:tc>
        <w:tc>
          <w:tcPr>
            <w:tcW w:w="2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1816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Continuous variable</w:t>
            </w:r>
          </w:p>
        </w:tc>
      </w:tr>
      <w:tr w14:paraId="0C5CF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CD5F2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disease morphology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87D8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Whether with MDS-IB.</w:t>
            </w:r>
          </w:p>
        </w:tc>
        <w:tc>
          <w:tcPr>
            <w:tcW w:w="2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585D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Classified variables; 0= without MDS-IB, 1= with MDS-IB.</w:t>
            </w:r>
          </w:p>
        </w:tc>
      </w:tr>
      <w:tr w14:paraId="0F4D3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C7A20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Hb level</w:t>
            </w: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5FB5C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Hb level</w:t>
            </w:r>
          </w:p>
        </w:tc>
        <w:tc>
          <w:tcPr>
            <w:tcW w:w="2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8DB2E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Classified variables; 0= greater than 60g/L, 1= less than 60g/L.</w:t>
            </w:r>
          </w:p>
        </w:tc>
      </w:tr>
      <w:tr w14:paraId="7C82E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28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20355378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clinical trial</w:t>
            </w:r>
          </w:p>
        </w:tc>
        <w:tc>
          <w:tcPr>
            <w:tcW w:w="128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8CFF70A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Whether experienced clinical trial.</w:t>
            </w:r>
          </w:p>
        </w:tc>
        <w:tc>
          <w:tcPr>
            <w:tcW w:w="2440" w:type="pct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1D45094F">
            <w:pPr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Classified variables; 0= not experienced clinical trial, 1= experienced clinical trial.</w:t>
            </w:r>
          </w:p>
        </w:tc>
      </w:tr>
    </w:tbl>
    <w:p w14:paraId="4E3494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2E"/>
    <w:rsid w:val="00286C70"/>
    <w:rsid w:val="0058755F"/>
    <w:rsid w:val="0064702E"/>
    <w:rsid w:val="2FAF4409"/>
    <w:rsid w:val="4EEF00E8"/>
    <w:rsid w:val="6CC1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Times New Roman"/>
      <w:kern w:val="0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目录111"/>
    <w:basedOn w:val="1"/>
    <w:qFormat/>
    <w:uiPriority w:val="0"/>
    <w:pPr>
      <w:widowControl/>
      <w:tabs>
        <w:tab w:val="left" w:pos="360"/>
      </w:tabs>
      <w:spacing w:before="60" w:after="60"/>
    </w:pPr>
    <w:rPr>
      <w:rFonts w:ascii="Times New Roman" w:hAnsi="Times New Roman" w:eastAsia="Times New Roman"/>
      <w:b/>
      <w:sz w:val="20"/>
      <w:lang w:eastAsia="en-US"/>
    </w:rPr>
  </w:style>
  <w:style w:type="table" w:customStyle="1" w:styleId="5">
    <w:name w:val="Table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表格名称"/>
    <w:basedOn w:val="1"/>
    <w:qFormat/>
    <w:uiPriority w:val="0"/>
    <w:pPr>
      <w:spacing w:before="100" w:beforeAutospacing="1" w:line="400" w:lineRule="exact"/>
      <w:jc w:val="center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1139</Characters>
  <Lines>9</Lines>
  <Paragraphs>2</Paragraphs>
  <TotalTime>0</TotalTime>
  <ScaleCrop>false</ScaleCrop>
  <LinksUpToDate>false</LinksUpToDate>
  <CharactersWithSpaces>1304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2025-12-05T09:01:00Z</dcterms:created>
  <dc:creator>Han Xinran</dc:creator>
  <cp:lastModifiedBy>H.</cp:lastModifiedBy>
  <dcterms:modified xsi:type="dcterms:W3CDTF">2026-03-20T06:47:06Z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eyJoZGlkIjoiMWFhODhjYjdhNzRjZTNmNGUzNDFmM2Y2M2U3OTgwM2MiLCJ1c2VySWQiOiI0MjM5MzI4MTAifQ==</vt:lpwstr>
  </property>
  <property fmtid="{D5CDD505-2E9C-101B-9397-08002B2CF9AE}" pid="3" name="KSOProductBuildVer">
    <vt:lpwstr>2052-12.1.0.24657</vt:lpwstr>
  </property>
  <property fmtid="{D5CDD505-2E9C-101B-9397-08002B2CF9AE}" pid="4" name="ICV">
    <vt:lpwstr>9A265DA9AB354B9C99A1053424A0006F_12</vt:lpwstr>
  </property>
</Properties>
</file>