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A904" w14:textId="77777777" w:rsidR="00822CFE" w:rsidRPr="009E5CCA" w:rsidRDefault="00000000" w:rsidP="00ED06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>Supplementary Methods</w:t>
      </w:r>
    </w:p>
    <w:p w14:paraId="0456DB4B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 xml:space="preserve">Short-read sequence data analysis for </w:t>
      </w:r>
      <w:r w:rsidRPr="00B81147">
        <w:rPr>
          <w:rFonts w:ascii="Times New Roman" w:hAnsi="Times New Roman" w:cs="Times New Roman"/>
          <w:b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b/>
          <w:sz w:val="24"/>
          <w:szCs w:val="24"/>
        </w:rPr>
        <w:t xml:space="preserve"> copy-number inference</w:t>
      </w:r>
    </w:p>
    <w:p w14:paraId="132781BF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>Cohort definition and population labels</w:t>
      </w:r>
    </w:p>
    <w:p w14:paraId="6DA94A62" w14:textId="77777777" w:rsidR="00822CFE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sz w:val="24"/>
          <w:szCs w:val="24"/>
        </w:rPr>
        <w:t xml:space="preserve">We analysed short-read whole-genome sequencing (srWGS) data from the 1000 Genomes Project (1kGP) Phase 3. All population-level analyses were restricted to 2,504 </w:t>
      </w:r>
      <w:proofErr w:type="gramStart"/>
      <w:r w:rsidRPr="009E5CCA"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 w:rsidRPr="009E5CCA">
        <w:rPr>
          <w:rFonts w:ascii="Times New Roman" w:hAnsi="Times New Roman" w:cs="Times New Roman"/>
          <w:sz w:val="24"/>
          <w:szCs w:val="24"/>
        </w:rPr>
        <w:t xml:space="preserve"> annotated as unrelated to avoid inflation of frequency estimates by family structure. Individuals were grouped into 26 populations and five superpopulations (AFR, AMR, EAS, EUR and SAS) using 1kGP metadata.</w:t>
      </w:r>
    </w:p>
    <w:p w14:paraId="00F3ED80" w14:textId="77777777" w:rsidR="00B81147" w:rsidRPr="009E5CCA" w:rsidRDefault="00B81147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7952E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 xml:space="preserve">NA19054-based validation of a diagnostic target for </w:t>
      </w:r>
      <w:r w:rsidRPr="00B81147">
        <w:rPr>
          <w:rFonts w:ascii="Times New Roman" w:hAnsi="Times New Roman" w:cs="Times New Roman"/>
          <w:b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b/>
          <w:sz w:val="24"/>
          <w:szCs w:val="24"/>
        </w:rPr>
        <w:t>-supporting short reads</w:t>
      </w:r>
    </w:p>
    <w:p w14:paraId="5C42B7B0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sz w:val="24"/>
          <w:szCs w:val="24"/>
        </w:rPr>
        <w:t xml:space="preserve">The leukocyte immunoglobulin-like receptor (LILR) cluster contains extensive sequence homology, which can complicate locus-resolved quantification from short reads. To empirically determine where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>-supporting srWGS reads map within the standard 1kGP alignment framework (GRCh38/hs38DH, including decoy/alt contigs), we performed a validation using NA19054, for which an assembled centromeric sequence spanning the RPS9–LAIR1 interval (“LILR_centro”) was available.</w:t>
      </w:r>
    </w:p>
    <w:p w14:paraId="068DBAB3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5CCA">
        <w:rPr>
          <w:rFonts w:ascii="Times New Roman" w:hAnsi="Times New Roman" w:cs="Times New Roman"/>
          <w:sz w:val="24"/>
          <w:szCs w:val="24"/>
        </w:rPr>
        <w:t>High-coverage</w:t>
      </w:r>
      <w:proofErr w:type="gramEnd"/>
      <w:r w:rsidRPr="009E5CCA">
        <w:rPr>
          <w:rFonts w:ascii="Times New Roman" w:hAnsi="Times New Roman" w:cs="Times New Roman"/>
          <w:sz w:val="24"/>
          <w:szCs w:val="24"/>
        </w:rPr>
        <w:t xml:space="preserve"> srWGS reads from NA19054 were aligned to the LILR_centro </w:t>
      </w:r>
      <w:proofErr w:type="gramStart"/>
      <w:r w:rsidRPr="009E5CCA">
        <w:rPr>
          <w:rFonts w:ascii="Times New Roman" w:hAnsi="Times New Roman" w:cs="Times New Roman"/>
          <w:sz w:val="24"/>
          <w:szCs w:val="24"/>
        </w:rPr>
        <w:t>assembly, and</w:t>
      </w:r>
      <w:proofErr w:type="gramEnd"/>
      <w:r w:rsidRPr="009E5CCA">
        <w:rPr>
          <w:rFonts w:ascii="Times New Roman" w:hAnsi="Times New Roman" w:cs="Times New Roman"/>
          <w:sz w:val="24"/>
          <w:szCs w:val="24"/>
        </w:rPr>
        <w:t xml:space="preserve"> read pairs overlapping predefined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 intervals were selected.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 windows on LILR_centro were defined as 102,000–107,500 and 108,000–113,500. To ensure high-confidence read selection, we retained only reads that were properly paired, had mapping quality (MAPQ) ≥60, and had template length ≤1,000 bp. Unique read names passing these filters were collected and recorded per sample.</w:t>
      </w:r>
    </w:p>
    <w:p w14:paraId="06401DC0" w14:textId="77777777" w:rsidR="00822CFE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sz w:val="24"/>
          <w:szCs w:val="24"/>
        </w:rPr>
        <w:t xml:space="preserve">To determine where these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-supporting reads align in the standard reference used by 1kGP, we extracted the corresponding read pairs from the original NA19054 alignment file (GRCh38/hs38DH), preserving the original alignment context including decoy and alternate contig mappings, and generated an indexed BAM for inspection. We then tallied the reference sequences to which the retrieved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-supporting reads aligned. This </w:t>
      </w:r>
      <w:r w:rsidRPr="009E5CCA">
        <w:rPr>
          <w:rFonts w:ascii="Times New Roman" w:hAnsi="Times New Roman" w:cs="Times New Roman"/>
          <w:sz w:val="24"/>
          <w:szCs w:val="24"/>
        </w:rPr>
        <w:lastRenderedPageBreak/>
        <w:t xml:space="preserve">tracing analysis showed that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-supporting reads were strongly enriched among mappings to the decoy contig chrUn_JTFH01000276v1_decoy. Based on this empirical enrichment, we adopted mapped read depth on chrUn_JTFH01000276v1_decoy as a robust locus-level proxy for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 gene content in cohort-scale analyses.</w:t>
      </w:r>
    </w:p>
    <w:p w14:paraId="586EE8B8" w14:textId="77777777" w:rsidR="00B81147" w:rsidRPr="009E5CCA" w:rsidRDefault="00B81147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2157B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>Cohort-wide read-count quantification on chrUn_JTFH01000276v1_decoy</w:t>
      </w:r>
    </w:p>
    <w:p w14:paraId="04BEFB82" w14:textId="77777777" w:rsidR="00822CFE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sz w:val="24"/>
          <w:szCs w:val="24"/>
        </w:rPr>
        <w:t xml:space="preserve">Guided by the NA19054 validation, we quantified, for each of the 2,504 unrelated 1kGP individuals, the number of reads mapping to chrUn_JTFH01000276v1_decoy in GRCh38/hs38DH alignments under the same stringent constraints used in validation: properly paired reads, MAPQ ≥60, and template length ≤1,000 bp. The resulting per-sample mapped read count served as the single locus-level statistic for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 copy-number inference.</w:t>
      </w:r>
    </w:p>
    <w:p w14:paraId="61D4385D" w14:textId="77777777" w:rsidR="00B81147" w:rsidRPr="009E5CCA" w:rsidRDefault="00B81147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6C51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>Diploid copy-number calling (CN0/CN1/CN2) from read counts</w:t>
      </w:r>
    </w:p>
    <w:p w14:paraId="65563A5E" w14:textId="579B476B" w:rsidR="009E5CCA" w:rsidRDefault="009E5CCA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sz w:val="24"/>
          <w:szCs w:val="24"/>
        </w:rPr>
        <w:t xml:space="preserve">We assigned diploid copy-number states for </w:t>
      </w:r>
      <w:r w:rsidRPr="00B81147">
        <w:rPr>
          <w:rFonts w:ascii="Times New Roman" w:hAnsi="Times New Roman" w:cs="Times New Roman"/>
          <w:i/>
          <w:iCs/>
          <w:sz w:val="24"/>
          <w:szCs w:val="24"/>
        </w:rPr>
        <w:t>LILRA7</w:t>
      </w:r>
      <w:r w:rsidRPr="009E5CCA">
        <w:rPr>
          <w:rFonts w:ascii="Times New Roman" w:hAnsi="Times New Roman" w:cs="Times New Roman"/>
          <w:sz w:val="24"/>
          <w:szCs w:val="24"/>
        </w:rPr>
        <w:t xml:space="preserve"> from per-sample mapped read counts using a three-component Gaussian likelihood model representing CN0, CN1 and CN2. Properly paired reads were counted after applying mapping filters (mapping quality ≥60; template length ≤1,000 bp). The CN0 distribution was estimated empirically from near-zero counts (read count ≤5). The CN1 distribution was estimated from samples with counts &gt;5 after trimming the upper 5% of values to reduce the influence of rare high-count outliers. The CN2 distribution was </w:t>
      </w:r>
      <w:proofErr w:type="spellStart"/>
      <w:r w:rsidRPr="009E5CCA">
        <w:rPr>
          <w:rFonts w:ascii="Times New Roman" w:hAnsi="Times New Roman" w:cs="Times New Roman"/>
          <w:sz w:val="24"/>
          <w:szCs w:val="24"/>
        </w:rPr>
        <w:t>parameterised</w:t>
      </w:r>
      <w:proofErr w:type="spellEnd"/>
      <w:r w:rsidRPr="009E5CCA">
        <w:rPr>
          <w:rFonts w:ascii="Times New Roman" w:hAnsi="Times New Roman" w:cs="Times New Roman"/>
          <w:sz w:val="24"/>
          <w:szCs w:val="24"/>
        </w:rPr>
        <w:t xml:space="preserve"> by fixing its </w:t>
      </w:r>
      <w:proofErr w:type="gramStart"/>
      <w:r w:rsidRPr="009E5CCA">
        <w:rPr>
          <w:rFonts w:ascii="Times New Roman" w:hAnsi="Times New Roman" w:cs="Times New Roman"/>
          <w:sz w:val="24"/>
          <w:szCs w:val="24"/>
        </w:rPr>
        <w:t>mean</w:t>
      </w:r>
      <w:proofErr w:type="gramEnd"/>
      <w:r w:rsidRPr="009E5CCA">
        <w:rPr>
          <w:rFonts w:ascii="Times New Roman" w:hAnsi="Times New Roman" w:cs="Times New Roman"/>
          <w:sz w:val="24"/>
          <w:szCs w:val="24"/>
        </w:rPr>
        <w:t xml:space="preserve"> to 2×</w:t>
      </w:r>
      <w:proofErr w:type="gramStart"/>
      <w:r w:rsidRPr="009E5CCA">
        <w:rPr>
          <w:rFonts w:ascii="Times New Roman" w:hAnsi="Times New Roman" w:cs="Times New Roman"/>
          <w:sz w:val="24"/>
          <w:szCs w:val="24"/>
        </w:rPr>
        <w:t>mean(</w:t>
      </w:r>
      <w:proofErr w:type="gramEnd"/>
      <w:r w:rsidRPr="009E5CCA">
        <w:rPr>
          <w:rFonts w:ascii="Times New Roman" w:hAnsi="Times New Roman" w:cs="Times New Roman"/>
          <w:sz w:val="24"/>
          <w:szCs w:val="24"/>
        </w:rPr>
        <w:t xml:space="preserve">CN1) and its standard deviation to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9E5CCA">
        <w:rPr>
          <w:rFonts w:ascii="Times New Roman" w:hAnsi="Times New Roman" w:cs="Times New Roman"/>
          <w:sz w:val="24"/>
          <w:szCs w:val="24"/>
        </w:rPr>
        <w:t>×SD(CN1), consistent with a CN2 state reflecting the sum of two independent CN1-like contributions. For each sample, likelihoods under CN0/CN1/CN2 were computed and the diploid CN state maximizing likelihood was assigned.</w:t>
      </w:r>
    </w:p>
    <w:p w14:paraId="349672D0" w14:textId="77777777" w:rsidR="00B81147" w:rsidRPr="009E5CCA" w:rsidRDefault="00B81147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5ABE1" w14:textId="380A0B94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>Haplotype-level (haploid) summaries derived from diploid calls</w:t>
      </w:r>
    </w:p>
    <w:p w14:paraId="0AAFC7A9" w14:textId="77777777" w:rsidR="00822CFE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sz w:val="24"/>
          <w:szCs w:val="24"/>
        </w:rPr>
        <w:lastRenderedPageBreak/>
        <w:t>To summarise allele-level (haplotype-level) presence/absence, diploid calls were decomposed into haploid counts under a biallelic gene-content model (absence versus presence of one copy per haplotype): CN0 → (CN</w:t>
      </w:r>
      <w:proofErr w:type="gramStart"/>
      <w:r w:rsidRPr="009E5CCA">
        <w:rPr>
          <w:rFonts w:ascii="Times New Roman" w:hAnsi="Times New Roman" w:cs="Times New Roman"/>
          <w:sz w:val="24"/>
          <w:szCs w:val="24"/>
        </w:rPr>
        <w:t>0,CN</w:t>
      </w:r>
      <w:proofErr w:type="gramEnd"/>
      <w:r w:rsidRPr="009E5CCA">
        <w:rPr>
          <w:rFonts w:ascii="Times New Roman" w:hAnsi="Times New Roman" w:cs="Times New Roman"/>
          <w:sz w:val="24"/>
          <w:szCs w:val="24"/>
        </w:rPr>
        <w:t>1) = (2,0), CN1 → (1,1), and CN2 → (0,2). Haploid fractions were then aggregated by population and by superpopulation (AFR, AMR, EAS, EUR, SAS) for visualization and downstream comparisons.</w:t>
      </w:r>
    </w:p>
    <w:p w14:paraId="6B8F2631" w14:textId="77777777" w:rsidR="00B81147" w:rsidRPr="009E5CCA" w:rsidRDefault="00B81147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B47AF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b/>
          <w:sz w:val="24"/>
          <w:szCs w:val="24"/>
        </w:rPr>
        <w:t>Visualization</w:t>
      </w:r>
    </w:p>
    <w:p w14:paraId="3E49BB46" w14:textId="77777777" w:rsidR="00822CFE" w:rsidRPr="009E5CCA" w:rsidRDefault="00000000" w:rsidP="00B8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CA">
        <w:rPr>
          <w:rFonts w:ascii="Times New Roman" w:hAnsi="Times New Roman" w:cs="Times New Roman"/>
          <w:sz w:val="24"/>
          <w:szCs w:val="24"/>
        </w:rPr>
        <w:t>Five plots were generated for the main text in the following order: (i) the distribution of mapped read counts coloured by diploid CN call, (ii–iii) stacked-bar summaries of diploid CN fractions by superpopulation and by population, and (iv–v) stacked-bar summaries of haploid absence/presence fractions by superpopulation and by population.</w:t>
      </w:r>
    </w:p>
    <w:p w14:paraId="431E7161" w14:textId="69298F79" w:rsidR="00822CFE" w:rsidRDefault="00822CFE">
      <w:pPr>
        <w:jc w:val="center"/>
      </w:pPr>
    </w:p>
    <w:sectPr w:rsidR="00822C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BDFB" w14:textId="77777777" w:rsidR="004166F5" w:rsidRDefault="004166F5" w:rsidP="00ED0637">
      <w:pPr>
        <w:spacing w:after="0" w:line="240" w:lineRule="auto"/>
      </w:pPr>
      <w:r>
        <w:separator/>
      </w:r>
    </w:p>
  </w:endnote>
  <w:endnote w:type="continuationSeparator" w:id="0">
    <w:p w14:paraId="245138C2" w14:textId="77777777" w:rsidR="004166F5" w:rsidRDefault="004166F5" w:rsidP="00ED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3C03" w14:textId="77777777" w:rsidR="004166F5" w:rsidRDefault="004166F5" w:rsidP="00ED0637">
      <w:pPr>
        <w:spacing w:after="0" w:line="240" w:lineRule="auto"/>
      </w:pPr>
      <w:r>
        <w:separator/>
      </w:r>
    </w:p>
  </w:footnote>
  <w:footnote w:type="continuationSeparator" w:id="0">
    <w:p w14:paraId="20BEE21E" w14:textId="77777777" w:rsidR="004166F5" w:rsidRDefault="004166F5" w:rsidP="00ED0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773752">
    <w:abstractNumId w:val="8"/>
  </w:num>
  <w:num w:numId="2" w16cid:durableId="707729363">
    <w:abstractNumId w:val="6"/>
  </w:num>
  <w:num w:numId="3" w16cid:durableId="2112235469">
    <w:abstractNumId w:val="5"/>
  </w:num>
  <w:num w:numId="4" w16cid:durableId="1208179883">
    <w:abstractNumId w:val="4"/>
  </w:num>
  <w:num w:numId="5" w16cid:durableId="1872916711">
    <w:abstractNumId w:val="7"/>
  </w:num>
  <w:num w:numId="6" w16cid:durableId="1002860028">
    <w:abstractNumId w:val="3"/>
  </w:num>
  <w:num w:numId="7" w16cid:durableId="878514616">
    <w:abstractNumId w:val="2"/>
  </w:num>
  <w:num w:numId="8" w16cid:durableId="1561399772">
    <w:abstractNumId w:val="1"/>
  </w:num>
  <w:num w:numId="9" w16cid:durableId="44403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E17"/>
    <w:rsid w:val="0029639D"/>
    <w:rsid w:val="00326F90"/>
    <w:rsid w:val="004166F5"/>
    <w:rsid w:val="007C176C"/>
    <w:rsid w:val="00822CFE"/>
    <w:rsid w:val="008A5A7B"/>
    <w:rsid w:val="009E5CCA"/>
    <w:rsid w:val="00AA1D8D"/>
    <w:rsid w:val="00AC67B3"/>
    <w:rsid w:val="00B47730"/>
    <w:rsid w:val="00B81147"/>
    <w:rsid w:val="00CB0664"/>
    <w:rsid w:val="00E26CFA"/>
    <w:rsid w:val="00ED0637"/>
    <w:rsid w:val="00F205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65589"/>
  <w14:defaultImageDpi w14:val="300"/>
  <w15:docId w15:val="{74B7780E-D55D-40A1-8FC4-7A5B9A3C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平安 恒幸</cp:lastModifiedBy>
  <cp:revision>3</cp:revision>
  <dcterms:created xsi:type="dcterms:W3CDTF">2026-02-19T04:39:00Z</dcterms:created>
  <dcterms:modified xsi:type="dcterms:W3CDTF">2026-02-19T04:42:00Z</dcterms:modified>
  <cp:category/>
</cp:coreProperties>
</file>