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77AC3" w14:textId="77777777" w:rsidR="003F5CC5" w:rsidRDefault="003F5CC5" w:rsidP="003F5CC5">
      <w:pPr>
        <w:spacing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15C890" wp14:editId="0ABC085E">
            <wp:extent cx="5731510" cy="4620895"/>
            <wp:effectExtent l="0" t="0" r="2540" b="82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2A63" w14:textId="77777777" w:rsidR="003F5CC5" w:rsidRDefault="003F5CC5">
      <w:pPr>
        <w:spacing w:after="160" w:line="240" w:lineRule="auto"/>
        <w:rPr>
          <w:b/>
          <w:bCs/>
        </w:rPr>
      </w:pPr>
      <w:r>
        <w:rPr>
          <w:b/>
          <w:bCs/>
        </w:rPr>
        <w:br w:type="page"/>
      </w:r>
    </w:p>
    <w:p w14:paraId="43AD54DE" w14:textId="5B499669" w:rsidR="003F5CC5" w:rsidRPr="00FD41A8" w:rsidRDefault="003F5CC5" w:rsidP="003F5CC5">
      <w:pPr>
        <w:spacing w:line="360" w:lineRule="auto"/>
      </w:pPr>
      <w:r w:rsidRPr="00FD41A8">
        <w:rPr>
          <w:b/>
          <w:bCs/>
        </w:rPr>
        <w:lastRenderedPageBreak/>
        <w:t xml:space="preserve">Figure S1. </w:t>
      </w:r>
      <w:proofErr w:type="spellStart"/>
      <w:r w:rsidRPr="00FB1454">
        <w:rPr>
          <w:b/>
          <w:bCs/>
        </w:rPr>
        <w:t>CosMx</w:t>
      </w:r>
      <w:proofErr w:type="spellEnd"/>
      <w:r w:rsidRPr="00FB1454">
        <w:rPr>
          <w:b/>
          <w:bCs/>
        </w:rPr>
        <w:t xml:space="preserve"> spatial transcriptomics across young and aged mouse brains.</w:t>
      </w:r>
      <w:r>
        <w:t xml:space="preserve"> </w:t>
      </w:r>
      <w:r w:rsidRPr="00FD41A8">
        <w:rPr>
          <w:b/>
          <w:bCs/>
          <w:szCs w:val="20"/>
        </w:rPr>
        <w:t>A)</w:t>
      </w:r>
      <w:r w:rsidRPr="00FD41A8">
        <w:rPr>
          <w:szCs w:val="20"/>
        </w:rPr>
        <w:t xml:space="preserve"> </w:t>
      </w:r>
      <w:r w:rsidRPr="00FD41A8">
        <w:t xml:space="preserve">Whole-slide preview scans of brain sections from young and aged mice processed using </w:t>
      </w:r>
      <w:proofErr w:type="spellStart"/>
      <w:r w:rsidRPr="00FD41A8">
        <w:t>CosMx</w:t>
      </w:r>
      <w:proofErr w:type="spellEnd"/>
      <w:r w:rsidRPr="00FD41A8">
        <w:t xml:space="preserve"> SMI. Regions of interest (ROIs) were selected from the frontal cortex (FOV345 for young, FOV139 for aged). Representative high-resolution segmentation and cell-type annotation images are shown for each FOV. Cell types were classified based on marker and color-coded as indicated in the legend. B) UMAP clustering by Leiden algorithm.</w:t>
      </w:r>
      <w:r>
        <w:t xml:space="preserve"> </w:t>
      </w:r>
      <w:r w:rsidRPr="00FD41A8">
        <w:t xml:space="preserve">C) Cell type classification using </w:t>
      </w:r>
      <w:proofErr w:type="spellStart"/>
      <w:r w:rsidRPr="00FD41A8">
        <w:t>NanoString’s</w:t>
      </w:r>
      <w:proofErr w:type="spellEnd"/>
      <w:r w:rsidRPr="00FD41A8">
        <w:t xml:space="preserve"> </w:t>
      </w:r>
      <w:proofErr w:type="spellStart"/>
      <w:r w:rsidRPr="00FD41A8">
        <w:t>AtoMx</w:t>
      </w:r>
      <w:proofErr w:type="spellEnd"/>
      <w:r w:rsidRPr="00FD41A8">
        <w:t xml:space="preserve"> platform. </w:t>
      </w:r>
      <w:r>
        <w:t>C</w:t>
      </w:r>
      <w:r w:rsidRPr="00FD41A8">
        <w:t>olor-coded as indicated in the legend</w:t>
      </w:r>
      <w:r>
        <w:t xml:space="preserve">; </w:t>
      </w:r>
      <w:r w:rsidRPr="00FD41A8">
        <w:t>astrocytes (Astro), endothelial cells (Endo), GABAergic neurons (GABA), glutamatergic neurons (Glut), microglia (MG), oligodendrocytes (ODC), smooth muscle cells and pericytes (</w:t>
      </w:r>
      <w:proofErr w:type="spellStart"/>
      <w:r w:rsidRPr="00FD41A8">
        <w:t>SMC.Peri</w:t>
      </w:r>
      <w:proofErr w:type="spellEnd"/>
      <w:r w:rsidRPr="00FD41A8">
        <w:t>), and vascular leptomeningeal cells (VLMC), annotated by comparison to the Allen Brain Atlas reference.</w:t>
      </w:r>
    </w:p>
    <w:p w14:paraId="6B9DB42B" w14:textId="77777777" w:rsidR="003F5CC5" w:rsidRDefault="003F5CC5" w:rsidP="003F5CC5">
      <w:pPr>
        <w:rPr>
          <w:iCs/>
          <w:color w:val="222222"/>
        </w:rPr>
      </w:pPr>
      <w:r>
        <w:rPr>
          <w:iCs/>
          <w:color w:val="222222"/>
        </w:rPr>
        <w:br w:type="page"/>
      </w:r>
    </w:p>
    <w:p w14:paraId="03D4CCF0" w14:textId="77777777" w:rsidR="003F5CC5" w:rsidRDefault="003F5CC5" w:rsidP="003F5CC5">
      <w:pPr>
        <w:jc w:val="center"/>
      </w:pPr>
      <w:r>
        <w:rPr>
          <w:noProof/>
        </w:rPr>
        <w:lastRenderedPageBreak/>
        <w:drawing>
          <wp:inline distT="0" distB="0" distL="0" distR="0" wp14:anchorId="05FC96B8" wp14:editId="3A596B77">
            <wp:extent cx="5731510" cy="7927975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C83D" w14:textId="77777777" w:rsidR="003F5CC5" w:rsidRDefault="003F5CC5" w:rsidP="003F5CC5">
      <w:pPr>
        <w:spacing w:line="360" w:lineRule="auto"/>
      </w:pPr>
      <w:r>
        <w:rPr>
          <w:b/>
          <w:bCs/>
        </w:rPr>
        <w:br w:type="page"/>
      </w:r>
      <w:r w:rsidRPr="00FD41A8">
        <w:rPr>
          <w:b/>
          <w:bCs/>
        </w:rPr>
        <w:lastRenderedPageBreak/>
        <w:t xml:space="preserve">Figure S2. </w:t>
      </w:r>
      <w:r w:rsidRPr="00FD41A8">
        <w:rPr>
          <w:b/>
          <w:bCs/>
          <w:szCs w:val="20"/>
        </w:rPr>
        <w:t>A)</w:t>
      </w:r>
      <w:r w:rsidRPr="00FD41A8">
        <w:rPr>
          <w:szCs w:val="20"/>
        </w:rPr>
        <w:t xml:space="preserve"> </w:t>
      </w:r>
      <w:r w:rsidRPr="00FD41A8">
        <w:t xml:space="preserve">Violin plots of </w:t>
      </w:r>
      <w:proofErr w:type="spellStart"/>
      <w:r w:rsidRPr="00FD41A8">
        <w:t>SCTransform</w:t>
      </w:r>
      <w:proofErr w:type="spellEnd"/>
      <w:r w:rsidRPr="00FD41A8">
        <w:t xml:space="preserve"> normalized </w:t>
      </w:r>
      <w:proofErr w:type="spellStart"/>
      <w:r w:rsidRPr="00FD41A8">
        <w:t>scRNA-seq</w:t>
      </w:r>
      <w:proofErr w:type="spellEnd"/>
      <w:r w:rsidRPr="00FD41A8">
        <w:t xml:space="preserve"> and snRNA-</w:t>
      </w:r>
      <w:proofErr w:type="spellStart"/>
      <w:r w:rsidRPr="00FD41A8">
        <w:t>seq</w:t>
      </w:r>
      <w:proofErr w:type="spellEnd"/>
      <w:r w:rsidRPr="00FD41A8">
        <w:t xml:space="preserve"> datasets, depicting QC metrics</w:t>
      </w:r>
      <w:r w:rsidRPr="00FB1454">
        <w:rPr>
          <w:b/>
          <w:bCs/>
        </w:rPr>
        <w:t>. B-E)</w:t>
      </w:r>
      <w:r w:rsidRPr="00FD41A8">
        <w:t xml:space="preserve"> UMAP clustering of two brains from young and old mouse based on </w:t>
      </w:r>
      <w:proofErr w:type="spellStart"/>
      <w:r w:rsidRPr="00FD41A8">
        <w:t>scRNA-seq</w:t>
      </w:r>
      <w:proofErr w:type="spellEnd"/>
      <w:r w:rsidRPr="00FD41A8">
        <w:t xml:space="preserve"> data (B) and two brains based on snRNA-</w:t>
      </w:r>
      <w:proofErr w:type="spellStart"/>
      <w:r w:rsidRPr="00FD41A8">
        <w:t>seq</w:t>
      </w:r>
      <w:proofErr w:type="spellEnd"/>
      <w:r w:rsidRPr="00FD41A8">
        <w:t xml:space="preserve"> data (E). RNA expression levels of canonical marker genes in each cluster of the integrated </w:t>
      </w:r>
      <w:proofErr w:type="spellStart"/>
      <w:r w:rsidRPr="00FD41A8">
        <w:t>scRNA-seq</w:t>
      </w:r>
      <w:proofErr w:type="spellEnd"/>
      <w:r w:rsidRPr="00FD41A8">
        <w:t xml:space="preserve"> dataset (C) and the integrated snRNA-</w:t>
      </w:r>
      <w:proofErr w:type="spellStart"/>
      <w:r w:rsidRPr="00FD41A8">
        <w:t>seq</w:t>
      </w:r>
      <w:proofErr w:type="spellEnd"/>
      <w:r w:rsidRPr="00FD41A8">
        <w:t xml:space="preserve"> dataset (E).</w:t>
      </w:r>
    </w:p>
    <w:p w14:paraId="2788F73E" w14:textId="57263C3B" w:rsidR="003F5CC5" w:rsidRDefault="003F5CC5">
      <w:pPr>
        <w:spacing w:after="160" w:line="240" w:lineRule="auto"/>
      </w:pPr>
      <w:r>
        <w:br w:type="page"/>
      </w:r>
    </w:p>
    <w:p w14:paraId="19F96547" w14:textId="77777777" w:rsidR="003F5CC5" w:rsidRDefault="003F5CC5" w:rsidP="003F5CC5">
      <w:r>
        <w:rPr>
          <w:noProof/>
        </w:rPr>
        <w:lastRenderedPageBreak/>
        <w:drawing>
          <wp:inline distT="0" distB="0" distL="0" distR="0" wp14:anchorId="78C3C8C0" wp14:editId="61ACB99B">
            <wp:extent cx="5727192" cy="5193792"/>
            <wp:effectExtent l="0" t="0" r="6985" b="698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92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F70B" w14:textId="77777777" w:rsidR="003F5CC5" w:rsidRDefault="003F5CC5">
      <w:pPr>
        <w:spacing w:after="160" w:line="240" w:lineRule="auto"/>
        <w:rPr>
          <w:b/>
          <w:bCs/>
        </w:rPr>
      </w:pPr>
      <w:r>
        <w:rPr>
          <w:b/>
          <w:bCs/>
        </w:rPr>
        <w:br w:type="page"/>
      </w:r>
    </w:p>
    <w:p w14:paraId="0FAF25F2" w14:textId="2092F58D" w:rsidR="003F5CC5" w:rsidRPr="00FB1454" w:rsidRDefault="003F5CC5" w:rsidP="003F5CC5">
      <w:pPr>
        <w:spacing w:line="360" w:lineRule="auto"/>
        <w:rPr>
          <w:b/>
          <w:bCs/>
        </w:rPr>
      </w:pPr>
      <w:r w:rsidRPr="00FB1454">
        <w:rPr>
          <w:b/>
          <w:bCs/>
        </w:rPr>
        <w:lastRenderedPageBreak/>
        <w:t xml:space="preserve">Figure S3. A UMAP dimensional reduction of </w:t>
      </w:r>
      <w:proofErr w:type="spellStart"/>
      <w:r w:rsidRPr="00FB1454">
        <w:rPr>
          <w:b/>
          <w:bCs/>
        </w:rPr>
        <w:t>snATAC-seq</w:t>
      </w:r>
      <w:proofErr w:type="spellEnd"/>
      <w:r w:rsidRPr="00FB1454">
        <w:rPr>
          <w:b/>
          <w:bCs/>
        </w:rPr>
        <w:t xml:space="preserve"> datasets. </w:t>
      </w:r>
    </w:p>
    <w:p w14:paraId="4D4F5D86" w14:textId="77777777" w:rsidR="003F5CC5" w:rsidRPr="00FB1454" w:rsidRDefault="003F5CC5" w:rsidP="003F5CC5">
      <w:pPr>
        <w:spacing w:line="360" w:lineRule="auto"/>
        <w:rPr>
          <w:sz w:val="16"/>
          <w:szCs w:val="16"/>
        </w:rPr>
      </w:pPr>
      <w:r w:rsidRPr="00FB1454">
        <w:rPr>
          <w:b/>
          <w:bCs/>
          <w:szCs w:val="20"/>
        </w:rPr>
        <w:t>A)</w:t>
      </w:r>
      <w:r w:rsidRPr="00FB1454">
        <w:rPr>
          <w:szCs w:val="20"/>
        </w:rPr>
        <w:t xml:space="preserve"> </w:t>
      </w:r>
      <w:r w:rsidRPr="00FB1454">
        <w:t xml:space="preserve">UMAP clustering of two brains from young and old mouse based on </w:t>
      </w:r>
      <w:proofErr w:type="spellStart"/>
      <w:r w:rsidRPr="00FB1454">
        <w:t>snATAC-seq</w:t>
      </w:r>
      <w:proofErr w:type="spellEnd"/>
      <w:r w:rsidRPr="00FB1454">
        <w:t xml:space="preserve"> datasets, which of </w:t>
      </w:r>
      <w:proofErr w:type="spellStart"/>
      <w:r w:rsidRPr="00FB1454">
        <w:t>colors</w:t>
      </w:r>
      <w:proofErr w:type="spellEnd"/>
      <w:r w:rsidRPr="00FB1454">
        <w:t xml:space="preserve"> represents different cell types. </w:t>
      </w:r>
      <w:r w:rsidRPr="00FB1454">
        <w:rPr>
          <w:b/>
          <w:bCs/>
        </w:rPr>
        <w:t>B)</w:t>
      </w:r>
      <w:r w:rsidRPr="00FB1454">
        <w:t xml:space="preserve"> UMAP clustering distributed across young (pink) and old (blue) group based on A). </w:t>
      </w:r>
      <w:proofErr w:type="spellStart"/>
      <w:r w:rsidRPr="00FB1454">
        <w:t>Color</w:t>
      </w:r>
      <w:proofErr w:type="spellEnd"/>
      <w:r w:rsidRPr="00FB1454">
        <w:t xml:space="preserve"> schemes for A-B) are shown in the key at the bottom of the figures. Astro-</w:t>
      </w:r>
      <w:proofErr w:type="spellStart"/>
      <w:r w:rsidRPr="00FB1454">
        <w:t>Epen</w:t>
      </w:r>
      <w:proofErr w:type="spellEnd"/>
      <w:r w:rsidRPr="00FB1454">
        <w:t>: Astrocyte-Ependymal cells; CB: cerebellum </w:t>
      </w:r>
      <w:proofErr w:type="spellStart"/>
      <w:r w:rsidRPr="00FB1454">
        <w:t>gabaergic</w:t>
      </w:r>
      <w:proofErr w:type="spellEnd"/>
      <w:r w:rsidRPr="00FB1454">
        <w:t xml:space="preserve">/glutamatergic neurons; CPEC: choroid plexus epithelial cells; CNU: cerebral nuclei; </w:t>
      </w:r>
      <w:proofErr w:type="spellStart"/>
      <w:r w:rsidRPr="00FB1454">
        <w:t>HYa</w:t>
      </w:r>
      <w:proofErr w:type="spellEnd"/>
      <w:r w:rsidRPr="00FB1454">
        <w:t xml:space="preserve">: anterior hypothalamic; LGE: lateral ganglionic eminence; MGE: medial ganglionic eminence; CTX: cerebral cortex; CGE: caudal cortex; DG: dentate gyrus; IMN: immature neurons; ENDO: endothelial cells; HY: hypothalamus; IT-ET: </w:t>
      </w:r>
      <w:proofErr w:type="spellStart"/>
      <w:r w:rsidRPr="00FB1454">
        <w:t>intratelencephalic-extratelencephalic</w:t>
      </w:r>
      <w:proofErr w:type="spellEnd"/>
      <w:r w:rsidRPr="00FB1454">
        <w:t xml:space="preserve">; LSX: lateral septal complex; MB: midbrain; MY: medulla; NP: near-projecting; CT: corticothalamic; L6b: layer 6b; OB: olfactory bulb; CR: </w:t>
      </w:r>
      <w:proofErr w:type="spellStart"/>
      <w:r w:rsidRPr="00FB1454">
        <w:t>Cajal-Retzius</w:t>
      </w:r>
      <w:proofErr w:type="spellEnd"/>
      <w:r w:rsidRPr="00FB1454">
        <w:t>; OEC: olfactory ensheathing cells; OPC: oligodendrocyte precursor cells; P: pons; TH: thalamus; VSMC: vascular smooth muscle cells.</w:t>
      </w:r>
      <w:r w:rsidRPr="00FB1454">
        <w:rPr>
          <w:sz w:val="16"/>
          <w:szCs w:val="16"/>
        </w:rPr>
        <w:br w:type="page"/>
      </w:r>
    </w:p>
    <w:p w14:paraId="32C0CF24" w14:textId="77777777" w:rsidR="003F5CC5" w:rsidRDefault="003F5CC5" w:rsidP="003F5CC5">
      <w:pPr>
        <w:tabs>
          <w:tab w:val="left" w:pos="2292"/>
        </w:tabs>
        <w:spacing w:line="240" w:lineRule="auto"/>
      </w:pPr>
      <w:r>
        <w:rPr>
          <w:noProof/>
        </w:rPr>
        <w:lastRenderedPageBreak/>
        <w:drawing>
          <wp:inline distT="0" distB="0" distL="0" distR="0" wp14:anchorId="0DA5420F" wp14:editId="3455FBE1">
            <wp:extent cx="5623560" cy="2426208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8EC3" w14:textId="77777777" w:rsidR="003F5CC5" w:rsidRDefault="003F5CC5">
      <w:pPr>
        <w:spacing w:after="160" w:line="240" w:lineRule="auto"/>
        <w:rPr>
          <w:b/>
          <w:bCs/>
        </w:rPr>
      </w:pPr>
      <w:r>
        <w:rPr>
          <w:b/>
          <w:bCs/>
        </w:rPr>
        <w:br w:type="page"/>
      </w:r>
    </w:p>
    <w:p w14:paraId="29D76D59" w14:textId="5E2C2C26" w:rsidR="003F5CC5" w:rsidRDefault="003F5CC5" w:rsidP="003F5CC5">
      <w:pPr>
        <w:spacing w:line="360" w:lineRule="auto"/>
        <w:rPr>
          <w:sz w:val="16"/>
          <w:szCs w:val="16"/>
        </w:rPr>
      </w:pPr>
      <w:r w:rsidRPr="00FB1454">
        <w:rPr>
          <w:b/>
          <w:bCs/>
        </w:rPr>
        <w:lastRenderedPageBreak/>
        <w:t xml:space="preserve">Figure S4. Cell type composition comparison between four datasets of one young and one old mouse brains both in </w:t>
      </w:r>
      <w:proofErr w:type="spellStart"/>
      <w:r w:rsidRPr="00FB1454">
        <w:rPr>
          <w:b/>
          <w:bCs/>
        </w:rPr>
        <w:t>scRNA-seq</w:t>
      </w:r>
      <w:proofErr w:type="spellEnd"/>
      <w:r w:rsidRPr="00FB1454">
        <w:rPr>
          <w:b/>
          <w:bCs/>
        </w:rPr>
        <w:t xml:space="preserve"> and snRNA-seq. A) </w:t>
      </w:r>
      <w:r w:rsidRPr="00FB1454">
        <w:t xml:space="preserve">Percentage of each cell type for the 4 brains (one young and one old brain in </w:t>
      </w:r>
      <w:proofErr w:type="spellStart"/>
      <w:r w:rsidRPr="00FB1454">
        <w:t>scRNA-seq</w:t>
      </w:r>
      <w:proofErr w:type="spellEnd"/>
      <w:r w:rsidRPr="00FB1454">
        <w:t>; one young and one old brain in snRNA-</w:t>
      </w:r>
      <w:proofErr w:type="spellStart"/>
      <w:r w:rsidRPr="00FB1454">
        <w:t>seq</w:t>
      </w:r>
      <w:proofErr w:type="spellEnd"/>
      <w:r w:rsidRPr="00FB1454">
        <w:t>).</w:t>
      </w:r>
      <w:r w:rsidRPr="00FB1454">
        <w:rPr>
          <w:sz w:val="16"/>
          <w:szCs w:val="16"/>
        </w:rPr>
        <w:t xml:space="preserve"> </w:t>
      </w:r>
    </w:p>
    <w:p w14:paraId="488ABDEE" w14:textId="77777777" w:rsidR="003F5CC5" w:rsidRDefault="003F5CC5" w:rsidP="003F5CC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FF9D7CE" w14:textId="77777777" w:rsidR="003F5CC5" w:rsidRDefault="003F5CC5" w:rsidP="003F5CC5">
      <w:pPr>
        <w:tabs>
          <w:tab w:val="left" w:pos="2292"/>
        </w:tabs>
        <w:spacing w:line="240" w:lineRule="auto"/>
      </w:pPr>
      <w:r>
        <w:rPr>
          <w:noProof/>
        </w:rPr>
        <w:lastRenderedPageBreak/>
        <w:drawing>
          <wp:inline distT="0" distB="0" distL="0" distR="0" wp14:anchorId="54A6E188" wp14:editId="30C94482">
            <wp:extent cx="5731510" cy="8242300"/>
            <wp:effectExtent l="0" t="0" r="2540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B4F5" w14:textId="77777777" w:rsidR="003F5CC5" w:rsidRDefault="003F5CC5" w:rsidP="003F5CC5">
      <w:pPr>
        <w:rPr>
          <w:b/>
          <w:bCs/>
        </w:rPr>
      </w:pPr>
      <w:r>
        <w:rPr>
          <w:b/>
          <w:bCs/>
        </w:rPr>
        <w:br w:type="page"/>
      </w:r>
    </w:p>
    <w:p w14:paraId="7AA2DA8A" w14:textId="77777777" w:rsidR="003F5CC5" w:rsidRDefault="003F5CC5" w:rsidP="003F5CC5">
      <w:pPr>
        <w:spacing w:line="360" w:lineRule="auto"/>
      </w:pPr>
      <w:r w:rsidRPr="00FB1454">
        <w:rPr>
          <w:b/>
          <w:bCs/>
        </w:rPr>
        <w:lastRenderedPageBreak/>
        <w:t xml:space="preserve">Figure S5. Visualization of aging-related differentially expressed genes (DEGs). A-B) </w:t>
      </w:r>
      <w:r w:rsidRPr="00FB1454">
        <w:t xml:space="preserve">Scatter plots showing significant age-related DEGs </w:t>
      </w:r>
      <w:r>
        <w:t>of</w:t>
      </w:r>
      <w:r w:rsidRPr="00FB1454">
        <w:t xml:space="preserve"> (A) </w:t>
      </w:r>
      <w:proofErr w:type="spellStart"/>
      <w:r w:rsidRPr="00FB1454">
        <w:t>scRNA-seq</w:t>
      </w:r>
      <w:proofErr w:type="spellEnd"/>
      <w:r w:rsidRPr="00FB1454">
        <w:t xml:space="preserve"> and (B) snRNA-</w:t>
      </w:r>
      <w:proofErr w:type="spellStart"/>
      <w:r w:rsidRPr="00FB1454">
        <w:t>seq</w:t>
      </w:r>
      <w:proofErr w:type="spellEnd"/>
      <w:r w:rsidRPr="00FB1454">
        <w:t xml:space="preserve"> datasets across major cell types. </w:t>
      </w:r>
      <w:proofErr w:type="spellStart"/>
      <w:r w:rsidRPr="00FB1454">
        <w:t>Colored</w:t>
      </w:r>
      <w:proofErr w:type="spellEnd"/>
      <w:r w:rsidRPr="00FB1454">
        <w:t xml:space="preserve"> dots represent significantly differentially expressed genes, and labels indicate selected top DEGs. C) Scatter plots visualization of significant neuronal subtype aging related from neuron-subclustered snRNA-</w:t>
      </w:r>
      <w:proofErr w:type="spellStart"/>
      <w:r w:rsidRPr="00FB1454">
        <w:t>seq</w:t>
      </w:r>
      <w:proofErr w:type="spellEnd"/>
      <w:r w:rsidRPr="00FB1454">
        <w:t xml:space="preserve"> data. </w:t>
      </w:r>
      <w:proofErr w:type="spellStart"/>
      <w:r w:rsidRPr="00FB1454">
        <w:t>Colored</w:t>
      </w:r>
      <w:proofErr w:type="spellEnd"/>
      <w:r w:rsidRPr="00FB1454">
        <w:t xml:space="preserve"> dots represent significantly differentially expressed genes, and labels indicate selected representative DEGs. Cell-type abbreviations correspond to those described in Figure S2. </w:t>
      </w:r>
    </w:p>
    <w:p w14:paraId="70E19AB7" w14:textId="543B1398" w:rsidR="003F5CC5" w:rsidRDefault="003F5CC5">
      <w:pPr>
        <w:spacing w:after="160" w:line="240" w:lineRule="auto"/>
      </w:pPr>
      <w:r>
        <w:br w:type="page"/>
      </w:r>
    </w:p>
    <w:p w14:paraId="3099B33B" w14:textId="77777777" w:rsidR="003F5CC5" w:rsidRDefault="003F5CC5" w:rsidP="003F5CC5">
      <w:pPr>
        <w:spacing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75CD2AE" wp14:editId="6F0B4655">
            <wp:extent cx="5731510" cy="5055235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A5B2" w14:textId="77777777" w:rsidR="003F5CC5" w:rsidRDefault="003F5CC5" w:rsidP="003F5CC5">
      <w:pPr>
        <w:spacing w:line="360" w:lineRule="auto"/>
        <w:jc w:val="both"/>
        <w:rPr>
          <w:b/>
          <w:bCs/>
          <w:szCs w:val="20"/>
        </w:rPr>
      </w:pPr>
    </w:p>
    <w:p w14:paraId="3AF62A0A" w14:textId="77777777" w:rsidR="003F5CC5" w:rsidRDefault="003F5CC5">
      <w:pPr>
        <w:spacing w:after="160" w:line="240" w:lineRule="auto"/>
        <w:rPr>
          <w:b/>
          <w:bCs/>
          <w:szCs w:val="20"/>
        </w:rPr>
      </w:pPr>
      <w:r>
        <w:rPr>
          <w:b/>
          <w:bCs/>
          <w:szCs w:val="20"/>
        </w:rPr>
        <w:br w:type="page"/>
      </w:r>
    </w:p>
    <w:p w14:paraId="564A472C" w14:textId="13BFAA55" w:rsidR="003F5CC5" w:rsidRPr="00196AD2" w:rsidRDefault="003F5CC5" w:rsidP="003F5CC5">
      <w:pPr>
        <w:spacing w:line="360" w:lineRule="auto"/>
        <w:jc w:val="both"/>
        <w:rPr>
          <w:b/>
        </w:rPr>
      </w:pPr>
      <w:r w:rsidRPr="00FB1454">
        <w:rPr>
          <w:b/>
          <w:bCs/>
          <w:szCs w:val="20"/>
        </w:rPr>
        <w:lastRenderedPageBreak/>
        <w:t xml:space="preserve">Figure S6. Aging-associated pathway enrichment and microglial reprogramming. A) </w:t>
      </w:r>
      <w:r w:rsidRPr="00FB1454">
        <w:t>Gene Ontology (GO) enrichment analysis of cell-type-specific differentially expressed genes (DEGs) in major brain cell types. The heatmap shows significantly enriched biological processes (p &lt; 0.05, gene count ≥ 6), with normalized enrichment scores (NES) indicating directionality (red: upregulated, blue: downregulated).</w:t>
      </w:r>
      <w:r>
        <w:t xml:space="preserve"> </w:t>
      </w:r>
      <w:r w:rsidRPr="00FB1454">
        <w:rPr>
          <w:b/>
          <w:bCs/>
          <w:szCs w:val="20"/>
        </w:rPr>
        <w:t>B)</w:t>
      </w:r>
      <w:r>
        <w:rPr>
          <w:b/>
          <w:bCs/>
          <w:szCs w:val="20"/>
        </w:rPr>
        <w:t xml:space="preserve"> </w:t>
      </w:r>
      <w:proofErr w:type="spellStart"/>
      <w:r>
        <w:rPr>
          <w:szCs w:val="20"/>
        </w:rPr>
        <w:t>CosMx</w:t>
      </w:r>
      <w:proofErr w:type="spellEnd"/>
      <w:r>
        <w:rPr>
          <w:szCs w:val="20"/>
        </w:rPr>
        <w:t xml:space="preserve"> spatial transcriptomic visualization of representative aging-associated pathways including oxidative stress, senescence, apoptosis, MAPK </w:t>
      </w:r>
      <w:proofErr w:type="spellStart"/>
      <w:r>
        <w:rPr>
          <w:szCs w:val="20"/>
        </w:rPr>
        <w:t>signaling</w:t>
      </w:r>
      <w:proofErr w:type="spellEnd"/>
      <w:r>
        <w:rPr>
          <w:szCs w:val="20"/>
        </w:rPr>
        <w:t xml:space="preserve">, and neuronal system in young (top) and aged (bottom) brains. </w:t>
      </w:r>
      <w:r>
        <w:rPr>
          <w:b/>
          <w:bCs/>
          <w:szCs w:val="20"/>
        </w:rPr>
        <w:t xml:space="preserve">C) </w:t>
      </w:r>
      <w:r>
        <w:rPr>
          <w:szCs w:val="20"/>
        </w:rPr>
        <w:t xml:space="preserve">Microglial </w:t>
      </w:r>
      <w:proofErr w:type="spellStart"/>
      <w:r>
        <w:rPr>
          <w:szCs w:val="20"/>
        </w:rPr>
        <w:t>subclustering</w:t>
      </w:r>
      <w:proofErr w:type="spellEnd"/>
      <w:r>
        <w:rPr>
          <w:szCs w:val="20"/>
        </w:rPr>
        <w:t xml:space="preserve"> using UMAP and proportional analysis between young and aged brains. </w:t>
      </w:r>
      <w:r>
        <w:rPr>
          <w:b/>
          <w:bCs/>
          <w:szCs w:val="20"/>
        </w:rPr>
        <w:t xml:space="preserve">D) </w:t>
      </w:r>
      <w:r>
        <w:rPr>
          <w:szCs w:val="20"/>
        </w:rPr>
        <w:t>High-resolution WGCNA (</w:t>
      </w:r>
      <w:proofErr w:type="spellStart"/>
      <w:r>
        <w:rPr>
          <w:szCs w:val="20"/>
        </w:rPr>
        <w:t>hdWGCNA</w:t>
      </w:r>
      <w:proofErr w:type="spellEnd"/>
      <w:r>
        <w:rPr>
          <w:szCs w:val="20"/>
        </w:rPr>
        <w:t xml:space="preserve">) analysis showing a co-expression network (brown module) enriched in Micro-3, and dot plot showing expression of selected module genes across microglial subclusters. </w:t>
      </w:r>
      <w:r>
        <w:rPr>
          <w:b/>
          <w:bCs/>
          <w:szCs w:val="20"/>
        </w:rPr>
        <w:t xml:space="preserve">E) </w:t>
      </w:r>
      <w:r>
        <w:rPr>
          <w:szCs w:val="20"/>
        </w:rPr>
        <w:t xml:space="preserve">Spatial transcriptomic images showing increased </w:t>
      </w:r>
      <w:proofErr w:type="spellStart"/>
      <w:r>
        <w:rPr>
          <w:i/>
          <w:iCs/>
          <w:szCs w:val="20"/>
        </w:rPr>
        <w:t>Apoe</w:t>
      </w:r>
      <w:proofErr w:type="spellEnd"/>
      <w:r>
        <w:rPr>
          <w:i/>
          <w:iCs/>
          <w:szCs w:val="20"/>
        </w:rPr>
        <w:t xml:space="preserve"> </w:t>
      </w:r>
      <w:r>
        <w:rPr>
          <w:szCs w:val="20"/>
        </w:rPr>
        <w:t>expression in aged frontal cortex.</w:t>
      </w:r>
    </w:p>
    <w:p w14:paraId="7A9954F2" w14:textId="77777777" w:rsidR="003F5CC5" w:rsidRDefault="003F5CC5" w:rsidP="003F5CC5">
      <w:pPr>
        <w:rPr>
          <w:b/>
        </w:rPr>
      </w:pPr>
      <w:r>
        <w:rPr>
          <w:b/>
        </w:rPr>
        <w:br w:type="page"/>
      </w:r>
    </w:p>
    <w:p w14:paraId="05F9ABFD" w14:textId="77777777" w:rsidR="003F5CC5" w:rsidRDefault="003F5CC5" w:rsidP="003F5CC5">
      <w:pPr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3BBC8FCC" wp14:editId="4BE56192">
            <wp:extent cx="5731510" cy="5121275"/>
            <wp:effectExtent l="0" t="0" r="2540" b="317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CBAC" w14:textId="77777777" w:rsidR="003F5CC5" w:rsidRDefault="003F5CC5" w:rsidP="003F5CC5">
      <w:pPr>
        <w:spacing w:line="240" w:lineRule="auto"/>
        <w:rPr>
          <w:sz w:val="16"/>
          <w:szCs w:val="16"/>
        </w:rPr>
      </w:pPr>
      <w:r>
        <w:rPr>
          <w:rFonts w:hint="eastAsia"/>
          <w:noProof/>
          <w:sz w:val="16"/>
          <w:szCs w:val="16"/>
        </w:rPr>
        <w:lastRenderedPageBreak/>
        <w:drawing>
          <wp:inline distT="0" distB="0" distL="0" distR="0" wp14:anchorId="39DCFD6C" wp14:editId="6DF2FAD6">
            <wp:extent cx="5731510" cy="5046980"/>
            <wp:effectExtent l="0" t="0" r="2540" b="127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5942" w14:textId="77777777" w:rsidR="003F5CC5" w:rsidRDefault="003F5CC5" w:rsidP="003F5CC5">
      <w:pPr>
        <w:spacing w:line="240" w:lineRule="auto"/>
        <w:rPr>
          <w:b/>
          <w:bCs/>
        </w:rPr>
      </w:pPr>
    </w:p>
    <w:p w14:paraId="6CAC5B75" w14:textId="77777777" w:rsidR="003F5CC5" w:rsidRDefault="003F5CC5">
      <w:pPr>
        <w:spacing w:after="160" w:line="240" w:lineRule="auto"/>
        <w:rPr>
          <w:b/>
          <w:bCs/>
          <w:szCs w:val="20"/>
        </w:rPr>
      </w:pPr>
      <w:r>
        <w:rPr>
          <w:b/>
          <w:bCs/>
          <w:szCs w:val="20"/>
        </w:rPr>
        <w:br w:type="page"/>
      </w:r>
    </w:p>
    <w:p w14:paraId="6735EF4C" w14:textId="10B78D17" w:rsidR="003F5CC5" w:rsidRPr="00F441B0" w:rsidRDefault="003F5CC5" w:rsidP="003F5CC5">
      <w:pPr>
        <w:spacing w:line="360" w:lineRule="auto"/>
        <w:rPr>
          <w:szCs w:val="20"/>
        </w:rPr>
      </w:pPr>
      <w:r w:rsidRPr="00F441B0">
        <w:rPr>
          <w:b/>
          <w:bCs/>
          <w:szCs w:val="20"/>
        </w:rPr>
        <w:lastRenderedPageBreak/>
        <w:t xml:space="preserve">Figure S7. Transcription factor (TF) motif enrichment analysis for neuronal cell types based on integrated </w:t>
      </w:r>
      <w:proofErr w:type="spellStart"/>
      <w:r w:rsidRPr="00F441B0">
        <w:rPr>
          <w:b/>
          <w:bCs/>
          <w:szCs w:val="20"/>
        </w:rPr>
        <w:t>snATAC-seq</w:t>
      </w:r>
      <w:proofErr w:type="spellEnd"/>
      <w:r w:rsidRPr="00F441B0">
        <w:rPr>
          <w:b/>
          <w:bCs/>
          <w:szCs w:val="20"/>
        </w:rPr>
        <w:t xml:space="preserve"> data. </w:t>
      </w:r>
      <w:r>
        <w:rPr>
          <w:b/>
          <w:bCs/>
          <w:szCs w:val="20"/>
        </w:rPr>
        <w:t xml:space="preserve">A-B) </w:t>
      </w:r>
      <w:r w:rsidRPr="00F441B0">
        <w:rPr>
          <w:szCs w:val="20"/>
        </w:rPr>
        <w:t xml:space="preserve">Heatmap showing enrichment of TF motifs derived from the JASPAR core database across neuronal cell types, (A) GABAergic neurons and (B) Glutamatergic neurons. The </w:t>
      </w:r>
      <w:proofErr w:type="spellStart"/>
      <w:r w:rsidRPr="00F441B0">
        <w:rPr>
          <w:szCs w:val="20"/>
        </w:rPr>
        <w:t>color</w:t>
      </w:r>
      <w:proofErr w:type="spellEnd"/>
      <w:r w:rsidRPr="00F441B0">
        <w:rPr>
          <w:szCs w:val="20"/>
        </w:rPr>
        <w:t xml:space="preserve"> gradient (purple to yellow) indicates scaled motif expression scores, reflecting relative enrichment of TF binding motifs within chromatin accessibility peaks. A higher motif expression score (yellow) denotes stronger enrichment, suggesting active binding of the respective transcription factors. Cell-type abbreviations correspond to those described in Figure S2. </w:t>
      </w:r>
    </w:p>
    <w:p w14:paraId="1B2A2AE7" w14:textId="53F5A7E4" w:rsidR="003F5CC5" w:rsidRDefault="003F5CC5">
      <w:pPr>
        <w:spacing w:after="160" w:line="240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1D3B0BB" w14:textId="77777777" w:rsidR="003F5CC5" w:rsidRDefault="003F5CC5" w:rsidP="003F5CC5">
      <w:pPr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17030D58" wp14:editId="6B23B578">
            <wp:extent cx="5731510" cy="821690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C50E" w14:textId="77777777" w:rsidR="003F5CC5" w:rsidRDefault="003F5CC5" w:rsidP="003F5CC5">
      <w:pPr>
        <w:rPr>
          <w:b/>
          <w:bCs/>
        </w:rPr>
      </w:pPr>
      <w:r>
        <w:rPr>
          <w:b/>
          <w:bCs/>
        </w:rPr>
        <w:br w:type="page"/>
      </w:r>
    </w:p>
    <w:p w14:paraId="50A7A318" w14:textId="77777777" w:rsidR="003F5CC5" w:rsidRPr="00F441B0" w:rsidRDefault="003F5CC5" w:rsidP="003F5CC5">
      <w:pPr>
        <w:spacing w:line="360" w:lineRule="auto"/>
        <w:rPr>
          <w:szCs w:val="20"/>
        </w:rPr>
      </w:pPr>
      <w:r w:rsidRPr="00F441B0">
        <w:rPr>
          <w:b/>
          <w:bCs/>
          <w:szCs w:val="20"/>
        </w:rPr>
        <w:lastRenderedPageBreak/>
        <w:t xml:space="preserve">Figure S8. Footprint analysis illustrating motif activities across selected neuronal cell types in </w:t>
      </w:r>
      <w:proofErr w:type="spellStart"/>
      <w:r w:rsidRPr="00F441B0">
        <w:rPr>
          <w:b/>
          <w:bCs/>
          <w:szCs w:val="20"/>
        </w:rPr>
        <w:t>snATAC-seq</w:t>
      </w:r>
      <w:proofErr w:type="spellEnd"/>
      <w:r w:rsidRPr="00F441B0">
        <w:rPr>
          <w:b/>
          <w:bCs/>
          <w:szCs w:val="20"/>
        </w:rPr>
        <w:t xml:space="preserve"> data. </w:t>
      </w:r>
      <w:r>
        <w:rPr>
          <w:b/>
          <w:bCs/>
          <w:szCs w:val="20"/>
        </w:rPr>
        <w:t xml:space="preserve">A) </w:t>
      </w:r>
      <w:r w:rsidRPr="00F441B0">
        <w:rPr>
          <w:szCs w:val="20"/>
        </w:rPr>
        <w:t xml:space="preserve">The transcription factor (TF) footprints for </w:t>
      </w:r>
      <w:proofErr w:type="gramStart"/>
      <w:r w:rsidRPr="00F441B0">
        <w:rPr>
          <w:szCs w:val="20"/>
        </w:rPr>
        <w:t>FOS::</w:t>
      </w:r>
      <w:proofErr w:type="gramEnd"/>
      <w:r w:rsidRPr="00F441B0">
        <w:rPr>
          <w:szCs w:val="20"/>
        </w:rPr>
        <w:t>JUN, RFX5, RORA, and NEUROD1 motifs are shown across different neuronal cell populations (CB GABA, CB Glut, CNU-</w:t>
      </w:r>
      <w:proofErr w:type="spellStart"/>
      <w:r w:rsidRPr="00F441B0">
        <w:rPr>
          <w:szCs w:val="20"/>
        </w:rPr>
        <w:t>HYa</w:t>
      </w:r>
      <w:proofErr w:type="spellEnd"/>
      <w:r w:rsidRPr="00F441B0">
        <w:rPr>
          <w:szCs w:val="20"/>
        </w:rPr>
        <w:t xml:space="preserve"> GABA, CNU-</w:t>
      </w:r>
      <w:proofErr w:type="spellStart"/>
      <w:r w:rsidRPr="00F441B0">
        <w:rPr>
          <w:szCs w:val="20"/>
        </w:rPr>
        <w:t>HYa</w:t>
      </w:r>
      <w:proofErr w:type="spellEnd"/>
      <w:r w:rsidRPr="00F441B0">
        <w:rPr>
          <w:szCs w:val="20"/>
        </w:rPr>
        <w:t xml:space="preserve"> Glut, CNU-LGE GABA, OB-IMN GABA, HY GABA, HY Glut, MB Glut, IT-ET Glut, CTX-MGE GABA, TH Glut). For each TF, the corresponding motif logo is displayed at the top-left corner of each panel. The x-axis represents the distance from the motif </w:t>
      </w:r>
      <w:proofErr w:type="spellStart"/>
      <w:r w:rsidRPr="00F441B0">
        <w:rPr>
          <w:szCs w:val="20"/>
        </w:rPr>
        <w:t>center</w:t>
      </w:r>
      <w:proofErr w:type="spellEnd"/>
      <w:r w:rsidRPr="00F441B0">
        <w:rPr>
          <w:szCs w:val="20"/>
        </w:rPr>
        <w:t xml:space="preserve"> (base pairs), and the y-axis indicates the average Tn5 insertion enrichment, corresponding to chromatin accessibility at motif regions bound by transcription factors. Higher enrichment signals around the motif </w:t>
      </w:r>
      <w:proofErr w:type="spellStart"/>
      <w:r w:rsidRPr="00F441B0">
        <w:rPr>
          <w:szCs w:val="20"/>
        </w:rPr>
        <w:t>center</w:t>
      </w:r>
      <w:proofErr w:type="spellEnd"/>
      <w:r w:rsidRPr="00F441B0">
        <w:rPr>
          <w:szCs w:val="20"/>
        </w:rPr>
        <w:t xml:space="preserve"> reflect active transcription factor binding and increased chromatin openness.</w:t>
      </w:r>
    </w:p>
    <w:p w14:paraId="4A28B70B" w14:textId="77777777" w:rsidR="003F5CC5" w:rsidRDefault="003F5CC5" w:rsidP="003F5CC5">
      <w:pPr>
        <w:rPr>
          <w:b/>
        </w:rPr>
      </w:pPr>
      <w:r>
        <w:rPr>
          <w:b/>
        </w:rPr>
        <w:br w:type="page"/>
      </w:r>
    </w:p>
    <w:p w14:paraId="23681D75" w14:textId="77777777" w:rsidR="003F5CC5" w:rsidRPr="004431CD" w:rsidRDefault="003F5CC5" w:rsidP="003F5CC5">
      <w:pPr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3AD327B" wp14:editId="72B8A61B">
            <wp:extent cx="5731510" cy="8089265"/>
            <wp:effectExtent l="0" t="0" r="2540" b="698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CD25" w14:textId="77777777" w:rsidR="003F5CC5" w:rsidRDefault="003F5CC5" w:rsidP="003F5CC5">
      <w:pPr>
        <w:rPr>
          <w:b/>
          <w:bCs/>
          <w:szCs w:val="20"/>
        </w:rPr>
      </w:pPr>
      <w:r>
        <w:rPr>
          <w:b/>
          <w:bCs/>
          <w:szCs w:val="20"/>
        </w:rPr>
        <w:br w:type="page"/>
      </w:r>
    </w:p>
    <w:p w14:paraId="4050F4C2" w14:textId="77777777" w:rsidR="003F5CC5" w:rsidRPr="00F441B0" w:rsidRDefault="003F5CC5" w:rsidP="003F5CC5">
      <w:pPr>
        <w:spacing w:line="360" w:lineRule="auto"/>
        <w:rPr>
          <w:szCs w:val="20"/>
        </w:rPr>
      </w:pPr>
      <w:r w:rsidRPr="00F441B0">
        <w:rPr>
          <w:b/>
          <w:bCs/>
          <w:szCs w:val="20"/>
        </w:rPr>
        <w:lastRenderedPageBreak/>
        <w:t>Figure S</w:t>
      </w:r>
      <w:r>
        <w:rPr>
          <w:b/>
          <w:bCs/>
          <w:szCs w:val="20"/>
        </w:rPr>
        <w:t>9</w:t>
      </w:r>
      <w:r w:rsidRPr="00F441B0">
        <w:rPr>
          <w:b/>
          <w:bCs/>
          <w:szCs w:val="20"/>
        </w:rPr>
        <w:t xml:space="preserve">. Comparison of overall cell-cell interaction patterns between young and old mouse brains in the integrated transcriptomic data. A) </w:t>
      </w:r>
      <w:r w:rsidRPr="00F441B0">
        <w:rPr>
          <w:szCs w:val="20"/>
        </w:rPr>
        <w:t xml:space="preserve">Heatmap showing overall outgoing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 (ligand expression) of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pathways across each cell population from young (left) and old (right) mouse whole brains. </w:t>
      </w:r>
      <w:r w:rsidRPr="00F441B0">
        <w:rPr>
          <w:b/>
          <w:bCs/>
          <w:szCs w:val="20"/>
        </w:rPr>
        <w:t xml:space="preserve">B) </w:t>
      </w:r>
      <w:r w:rsidRPr="00F441B0">
        <w:rPr>
          <w:szCs w:val="20"/>
        </w:rPr>
        <w:t xml:space="preserve">Heatmap illustrating overall incoming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 (receptor expression) of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pathways across each cell population from young (left) and old (right) mouse whole brain. The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 values (relative strength) are normalized and indicated by the intensity of green </w:t>
      </w:r>
      <w:proofErr w:type="spellStart"/>
      <w:r w:rsidRPr="00F441B0">
        <w:rPr>
          <w:szCs w:val="20"/>
        </w:rPr>
        <w:t>color</w:t>
      </w:r>
      <w:proofErr w:type="spellEnd"/>
      <w:r w:rsidRPr="00F441B0">
        <w:rPr>
          <w:szCs w:val="20"/>
        </w:rPr>
        <w:t xml:space="preserve"> (from white indicating low/no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strength, to dark green indicating high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strength). GRN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pathways are highlighted with red boxes, and cell populations participating in GRN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are indicated by red text. Cell populations </w:t>
      </w:r>
      <w:proofErr w:type="spellStart"/>
      <w:r w:rsidRPr="00F441B0">
        <w:rPr>
          <w:szCs w:val="20"/>
        </w:rPr>
        <w:t>analyzed</w:t>
      </w:r>
      <w:proofErr w:type="spellEnd"/>
      <w:r w:rsidRPr="00F441B0">
        <w:rPr>
          <w:szCs w:val="20"/>
        </w:rPr>
        <w:t xml:space="preserve"> include neuronal (GABA, Glut), oligodendrocyte precursor cells (OPC), immune cells, microglia, oligodendrocytes (ODC), astrocytes, ependymal cells (</w:t>
      </w:r>
      <w:proofErr w:type="spellStart"/>
      <w:r w:rsidRPr="00F441B0">
        <w:rPr>
          <w:szCs w:val="20"/>
        </w:rPr>
        <w:t>Epen</w:t>
      </w:r>
      <w:proofErr w:type="spellEnd"/>
      <w:r w:rsidRPr="00F441B0">
        <w:rPr>
          <w:szCs w:val="20"/>
        </w:rPr>
        <w:t xml:space="preserve">), oligodendrocyte progenitor cells (OPC), endothelial cells (ENDO), vascular smooth muscle cells (VSMC), pericytes (PERI), and others as </w:t>
      </w:r>
      <w:proofErr w:type="spellStart"/>
      <w:r w:rsidRPr="00F441B0">
        <w:rPr>
          <w:szCs w:val="20"/>
        </w:rPr>
        <w:t>labeled</w:t>
      </w:r>
      <w:proofErr w:type="spellEnd"/>
      <w:r w:rsidRPr="00F441B0">
        <w:rPr>
          <w:szCs w:val="20"/>
        </w:rPr>
        <w:t xml:space="preserve">. Pathways are ranked by overall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strength, as indicated by bar graphs alongside each heatmap.</w:t>
      </w:r>
    </w:p>
    <w:p w14:paraId="7CCA9B1A" w14:textId="77777777" w:rsidR="003F5CC5" w:rsidRPr="00F441B0" w:rsidRDefault="003F5CC5" w:rsidP="003F5CC5">
      <w:pPr>
        <w:spacing w:line="240" w:lineRule="auto"/>
        <w:rPr>
          <w:szCs w:val="20"/>
        </w:rPr>
      </w:pPr>
      <w:r w:rsidRPr="00F441B0">
        <w:rPr>
          <w:szCs w:val="20"/>
        </w:rPr>
        <w:br w:type="page"/>
      </w:r>
    </w:p>
    <w:p w14:paraId="5F5E7BD8" w14:textId="77777777" w:rsidR="003F5CC5" w:rsidRDefault="003F5CC5" w:rsidP="003F5CC5">
      <w:pPr>
        <w:spacing w:line="360" w:lineRule="auto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3310EA60" wp14:editId="2B3D88DF">
            <wp:extent cx="5731510" cy="8451215"/>
            <wp:effectExtent l="0" t="0" r="2540" b="698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24CF">
        <w:rPr>
          <w:rFonts w:hint="eastAsia"/>
          <w:b/>
          <w:bCs/>
        </w:rPr>
        <w:t xml:space="preserve"> </w:t>
      </w:r>
    </w:p>
    <w:p w14:paraId="17F331F4" w14:textId="77777777" w:rsidR="003F5CC5" w:rsidRPr="00F441B0" w:rsidRDefault="003F5CC5" w:rsidP="003F5CC5">
      <w:pPr>
        <w:spacing w:line="360" w:lineRule="auto"/>
        <w:rPr>
          <w:szCs w:val="20"/>
        </w:rPr>
      </w:pPr>
      <w:r w:rsidRPr="00F441B0">
        <w:rPr>
          <w:b/>
          <w:bCs/>
          <w:szCs w:val="20"/>
        </w:rPr>
        <w:lastRenderedPageBreak/>
        <w:t>Figure S</w:t>
      </w:r>
      <w:r>
        <w:rPr>
          <w:b/>
          <w:bCs/>
          <w:szCs w:val="20"/>
        </w:rPr>
        <w:t>10</w:t>
      </w:r>
      <w:r w:rsidRPr="00F441B0">
        <w:rPr>
          <w:b/>
          <w:bCs/>
          <w:szCs w:val="20"/>
        </w:rPr>
        <w:t xml:space="preserve">. Comparison of overall cell-cell interaction patterns between young and old mouse brains in the integrated transcriptomic data, with subclustered neuronal cell types. A) </w:t>
      </w:r>
      <w:r w:rsidRPr="00F441B0">
        <w:rPr>
          <w:szCs w:val="20"/>
        </w:rPr>
        <w:t xml:space="preserve">Heatmap showing overall outgoing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 (ligand expression) of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pathways across detailed neuronal subclusters and non-neuronal cell populations from young (left) and old (right) mouse whole brains. </w:t>
      </w:r>
      <w:r w:rsidRPr="00F441B0">
        <w:rPr>
          <w:b/>
          <w:bCs/>
          <w:szCs w:val="20"/>
        </w:rPr>
        <w:t xml:space="preserve">B) </w:t>
      </w:r>
      <w:r w:rsidRPr="00F441B0">
        <w:rPr>
          <w:szCs w:val="20"/>
        </w:rPr>
        <w:t xml:space="preserve">Heatmap depicting overall incoming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 (receptor expression) of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pathways across detailed neuronal subclusters and non-neuronal cell populations from young (left) and old (right) mouse whole brains. GRN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is highlighted with red boxes and the GRN-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participating cell types are highlighted in red. Pathways are ranked based on overall </w:t>
      </w:r>
      <w:proofErr w:type="spellStart"/>
      <w:r w:rsidRPr="00F441B0">
        <w:rPr>
          <w:szCs w:val="20"/>
        </w:rPr>
        <w:t>signaling</w:t>
      </w:r>
      <w:proofErr w:type="spellEnd"/>
      <w:r w:rsidRPr="00F441B0">
        <w:rPr>
          <w:szCs w:val="20"/>
        </w:rPr>
        <w:t xml:space="preserve"> strength, shown in the adjacent bar plots. Cell-type abbreviations correspond to those described in Figure S2.</w:t>
      </w:r>
    </w:p>
    <w:p w14:paraId="67D009B2" w14:textId="77777777" w:rsidR="003F5CC5" w:rsidRDefault="003F5CC5" w:rsidP="003F5CC5">
      <w:pPr>
        <w:rPr>
          <w:color w:val="222222"/>
        </w:rPr>
      </w:pPr>
      <w:r>
        <w:rPr>
          <w:color w:val="222222"/>
        </w:rPr>
        <w:br w:type="page"/>
      </w:r>
    </w:p>
    <w:p w14:paraId="62A07C76" w14:textId="77777777" w:rsidR="003F5CC5" w:rsidRPr="003F5CC5" w:rsidRDefault="003F5CC5" w:rsidP="003F5CC5">
      <w:pPr>
        <w:spacing w:line="360" w:lineRule="auto"/>
        <w:rPr>
          <w:sz w:val="16"/>
          <w:szCs w:val="16"/>
        </w:rPr>
      </w:pPr>
    </w:p>
    <w:p w14:paraId="796B9E02" w14:textId="77777777" w:rsidR="00FA23BB" w:rsidRPr="003F5CC5" w:rsidRDefault="00FA23BB"/>
    <w:sectPr w:rsidR="00FA23BB" w:rsidRPr="003F5CC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C5"/>
    <w:rsid w:val="003F5CC5"/>
    <w:rsid w:val="00531829"/>
    <w:rsid w:val="00CE1122"/>
    <w:rsid w:val="00F454EC"/>
    <w:rsid w:val="00FA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54DDA"/>
  <w15:chartTrackingRefBased/>
  <w15:docId w15:val="{4CDA0765-4691-4A9B-9705-FD9646357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CC5"/>
    <w:pPr>
      <w:spacing w:after="0" w:line="276" w:lineRule="auto"/>
    </w:pPr>
    <w:rPr>
      <w:rFonts w:ascii="Arial" w:hAnsi="Arial" w:cs="Arial"/>
      <w:kern w:val="0"/>
      <w:szCs w:val="22"/>
      <w:lang w:val="en-GB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3F5CC5"/>
    <w:pPr>
      <w:keepNext/>
      <w:keepLines/>
      <w:widowControl w:val="0"/>
      <w:wordWrap w:val="0"/>
      <w:autoSpaceDE w:val="0"/>
      <w:autoSpaceDN w:val="0"/>
      <w:spacing w:before="280" w:after="80" w:line="240" w:lineRule="auto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  <w:lang w:val="en-US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F5CC5"/>
    <w:pPr>
      <w:keepNext/>
      <w:keepLines/>
      <w:widowControl w:val="0"/>
      <w:wordWrap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  <w:lang w:val="en-US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F5CC5"/>
    <w:pPr>
      <w:keepNext/>
      <w:keepLines/>
      <w:widowControl w:val="0"/>
      <w:wordWrap w:val="0"/>
      <w:autoSpaceDE w:val="0"/>
      <w:autoSpaceDN w:val="0"/>
      <w:spacing w:before="160" w:after="80" w:line="240" w:lineRule="auto"/>
      <w:outlineLvl w:val="2"/>
    </w:pPr>
    <w:rPr>
      <w:rFonts w:asciiTheme="majorHAnsi" w:eastAsiaTheme="majorEastAsia" w:hAnsiTheme="majorHAnsi" w:cstheme="majorBidi"/>
      <w:color w:val="000000" w:themeColor="text1"/>
      <w:kern w:val="2"/>
      <w:sz w:val="24"/>
      <w:szCs w:val="24"/>
      <w:lang w:val="en-US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F5CC5"/>
    <w:pPr>
      <w:keepNext/>
      <w:keepLines/>
      <w:widowControl w:val="0"/>
      <w:wordWrap w:val="0"/>
      <w:autoSpaceDE w:val="0"/>
      <w:autoSpaceDN w:val="0"/>
      <w:spacing w:before="80" w:after="40" w:line="240" w:lineRule="auto"/>
      <w:outlineLvl w:val="3"/>
    </w:pPr>
    <w:rPr>
      <w:rFonts w:asciiTheme="majorHAnsi" w:eastAsiaTheme="majorEastAsia" w:hAnsiTheme="majorHAnsi" w:cstheme="majorBidi"/>
      <w:color w:val="000000" w:themeColor="text1"/>
      <w:kern w:val="2"/>
      <w:szCs w:val="24"/>
      <w:lang w:val="en-US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F5CC5"/>
    <w:pPr>
      <w:keepNext/>
      <w:keepLines/>
      <w:widowControl w:val="0"/>
      <w:wordWrap w:val="0"/>
      <w:autoSpaceDE w:val="0"/>
      <w:autoSpaceDN w:val="0"/>
      <w:spacing w:before="80" w:after="40" w:line="240" w:lineRule="auto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kern w:val="2"/>
      <w:szCs w:val="24"/>
      <w:lang w:val="en-US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F5CC5"/>
    <w:pPr>
      <w:keepNext/>
      <w:keepLines/>
      <w:widowControl w:val="0"/>
      <w:wordWrap w:val="0"/>
      <w:autoSpaceDE w:val="0"/>
      <w:autoSpaceDN w:val="0"/>
      <w:spacing w:before="80" w:after="40" w:line="240" w:lineRule="auto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kern w:val="2"/>
      <w:szCs w:val="24"/>
      <w:lang w:val="en-US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F5CC5"/>
    <w:pPr>
      <w:keepNext/>
      <w:keepLines/>
      <w:widowControl w:val="0"/>
      <w:wordWrap w:val="0"/>
      <w:autoSpaceDE w:val="0"/>
      <w:autoSpaceDN w:val="0"/>
      <w:spacing w:before="80" w:after="40" w:line="240" w:lineRule="auto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kern w:val="2"/>
      <w:szCs w:val="24"/>
      <w:lang w:val="en-US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F5CC5"/>
    <w:pPr>
      <w:keepNext/>
      <w:keepLines/>
      <w:widowControl w:val="0"/>
      <w:wordWrap w:val="0"/>
      <w:autoSpaceDE w:val="0"/>
      <w:autoSpaceDN w:val="0"/>
      <w:spacing w:before="80" w:after="40" w:line="240" w:lineRule="auto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kern w:val="2"/>
      <w:szCs w:val="24"/>
      <w:lang w:val="en-US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F5CC5"/>
    <w:pPr>
      <w:keepNext/>
      <w:keepLines/>
      <w:widowControl w:val="0"/>
      <w:wordWrap w:val="0"/>
      <w:autoSpaceDE w:val="0"/>
      <w:autoSpaceDN w:val="0"/>
      <w:spacing w:before="80" w:after="40" w:line="240" w:lineRule="auto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kern w:val="2"/>
      <w:szCs w:val="24"/>
      <w:lang w:val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F5CC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3F5CC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3F5CC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3F5C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3F5C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3F5C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3F5C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3F5C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3F5CC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3F5CC5"/>
    <w:pPr>
      <w:widowControl w:val="0"/>
      <w:wordWrap w:val="0"/>
      <w:autoSpaceDE w:val="0"/>
      <w:autoSpaceDN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3F5C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F5CC5"/>
    <w:pPr>
      <w:widowControl w:val="0"/>
      <w:numPr>
        <w:ilvl w:val="1"/>
      </w:numPr>
      <w:wordWrap w:val="0"/>
      <w:autoSpaceDE w:val="0"/>
      <w:autoSpaceDN w:val="0"/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3F5CC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F5CC5"/>
    <w:pPr>
      <w:widowControl w:val="0"/>
      <w:wordWrap w:val="0"/>
      <w:autoSpaceDE w:val="0"/>
      <w:autoSpaceDN w:val="0"/>
      <w:spacing w:before="160" w:after="160" w:line="240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Cs w:val="24"/>
      <w:lang w:val="en-US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3F5CC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F5CC5"/>
    <w:pPr>
      <w:widowControl w:val="0"/>
      <w:wordWrap w:val="0"/>
      <w:autoSpaceDE w:val="0"/>
      <w:autoSpaceDN w:val="0"/>
      <w:spacing w:after="160" w:line="240" w:lineRule="auto"/>
      <w:ind w:left="720"/>
      <w:contextualSpacing/>
    </w:pPr>
    <w:rPr>
      <w:rFonts w:asciiTheme="minorHAnsi" w:hAnsiTheme="minorHAnsi" w:cstheme="minorBidi"/>
      <w:kern w:val="2"/>
      <w:szCs w:val="24"/>
      <w:lang w:val="en-US"/>
      <w14:ligatures w14:val="standardContextual"/>
    </w:rPr>
  </w:style>
  <w:style w:type="character" w:styleId="a7">
    <w:name w:val="Intense Emphasis"/>
    <w:basedOn w:val="a0"/>
    <w:uiPriority w:val="21"/>
    <w:qFormat/>
    <w:rsid w:val="003F5CC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F5CC5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wordWrap w:val="0"/>
      <w:autoSpaceDE w:val="0"/>
      <w:autoSpaceDN w:val="0"/>
      <w:spacing w:before="360" w:after="360" w:line="240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Cs w:val="24"/>
      <w:lang w:val="en-US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3F5CC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F5C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1192</Words>
  <Characters>6795</Characters>
  <Application>Microsoft Office Word</Application>
  <DocSecurity>0</DocSecurity>
  <Lines>56</Lines>
  <Paragraphs>15</Paragraphs>
  <ScaleCrop>false</ScaleCrop>
  <Company/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 HAN</dc:creator>
  <cp:keywords/>
  <dc:description/>
  <cp:lastModifiedBy>SEN HAN</cp:lastModifiedBy>
  <cp:revision>1</cp:revision>
  <dcterms:created xsi:type="dcterms:W3CDTF">2026-03-17T23:51:00Z</dcterms:created>
  <dcterms:modified xsi:type="dcterms:W3CDTF">2026-03-17T23:54:00Z</dcterms:modified>
</cp:coreProperties>
</file>