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EB2F9" w14:textId="794A9EAC" w:rsidR="004F1E93" w:rsidRPr="00A95CF1" w:rsidRDefault="004F1E93" w:rsidP="00BD264E">
      <w:pPr>
        <w:spacing w:line="480" w:lineRule="auto"/>
        <w:rPr>
          <w:rFonts w:ascii="Arial" w:hAnsi="Arial" w:cs="Arial"/>
          <w:b/>
          <w:bCs/>
          <w:sz w:val="22"/>
          <w:szCs w:val="22"/>
        </w:rPr>
      </w:pPr>
      <w:r w:rsidRPr="00A95CF1">
        <w:rPr>
          <w:rFonts w:ascii="Arial" w:hAnsi="Arial" w:cs="Arial"/>
          <w:b/>
          <w:bCs/>
          <w:sz w:val="22"/>
          <w:szCs w:val="22"/>
        </w:rPr>
        <w:t xml:space="preserve">Additional </w:t>
      </w:r>
      <w:r w:rsidR="00BD264E" w:rsidRPr="00A95CF1">
        <w:rPr>
          <w:rFonts w:ascii="Arial" w:hAnsi="Arial" w:cs="Arial"/>
          <w:b/>
          <w:bCs/>
          <w:sz w:val="22"/>
          <w:szCs w:val="22"/>
        </w:rPr>
        <w:t>file 1.</w:t>
      </w:r>
      <w:r w:rsidR="00A95CF1" w:rsidRPr="00A95CF1">
        <w:rPr>
          <w:rFonts w:ascii="Arial" w:hAnsi="Arial" w:cs="Arial"/>
          <w:b/>
          <w:bCs/>
          <w:sz w:val="22"/>
          <w:szCs w:val="22"/>
        </w:rPr>
        <w:t xml:space="preserve"> </w:t>
      </w:r>
      <w:r w:rsidRPr="00A95CF1">
        <w:rPr>
          <w:rFonts w:ascii="Arial" w:hAnsi="Arial" w:cs="Arial"/>
          <w:b/>
          <w:bCs/>
          <w:sz w:val="22"/>
          <w:szCs w:val="22"/>
        </w:rPr>
        <w:t>Framework Method: Analytical Development</w:t>
      </w:r>
    </w:p>
    <w:p w14:paraId="3D34C53C" w14:textId="14D5A144" w:rsidR="004F1E93" w:rsidRPr="00BD264E" w:rsidRDefault="004F1E93" w:rsidP="00BD264E">
      <w:pPr>
        <w:spacing w:line="480" w:lineRule="auto"/>
        <w:rPr>
          <w:rFonts w:ascii="Arial" w:hAnsi="Arial" w:cs="Arial"/>
          <w:sz w:val="22"/>
          <w:szCs w:val="22"/>
        </w:rPr>
      </w:pPr>
      <w:r w:rsidRPr="00BD264E">
        <w:rPr>
          <w:rFonts w:ascii="Arial" w:hAnsi="Arial" w:cs="Arial"/>
          <w:sz w:val="22"/>
          <w:szCs w:val="22"/>
        </w:rPr>
        <w:t xml:space="preserve">The Framework Method was used to structure the thematic analysis across four focus groups (two </w:t>
      </w:r>
      <w:r w:rsidR="00A95CF1">
        <w:rPr>
          <w:rFonts w:ascii="Arial" w:hAnsi="Arial" w:cs="Arial"/>
          <w:sz w:val="22"/>
          <w:szCs w:val="22"/>
        </w:rPr>
        <w:t xml:space="preserve">with </w:t>
      </w:r>
      <w:r w:rsidRPr="00BD264E">
        <w:rPr>
          <w:rFonts w:ascii="Arial" w:hAnsi="Arial" w:cs="Arial"/>
          <w:sz w:val="22"/>
          <w:szCs w:val="22"/>
        </w:rPr>
        <w:t>adult and two</w:t>
      </w:r>
      <w:r w:rsidR="00A95CF1">
        <w:rPr>
          <w:rFonts w:ascii="Arial" w:hAnsi="Arial" w:cs="Arial"/>
          <w:sz w:val="22"/>
          <w:szCs w:val="22"/>
        </w:rPr>
        <w:t xml:space="preserve"> with</w:t>
      </w:r>
      <w:r w:rsidRPr="00BD264E">
        <w:rPr>
          <w:rFonts w:ascii="Arial" w:hAnsi="Arial" w:cs="Arial"/>
          <w:sz w:val="22"/>
          <w:szCs w:val="22"/>
        </w:rPr>
        <w:t xml:space="preserve"> you</w:t>
      </w:r>
      <w:r w:rsidR="00A95CF1">
        <w:rPr>
          <w:rFonts w:ascii="Arial" w:hAnsi="Arial" w:cs="Arial"/>
          <w:sz w:val="22"/>
          <w:szCs w:val="22"/>
        </w:rPr>
        <w:t>ng people</w:t>
      </w:r>
      <w:r w:rsidRPr="00BD264E">
        <w:rPr>
          <w:rFonts w:ascii="Arial" w:hAnsi="Arial" w:cs="Arial"/>
          <w:sz w:val="22"/>
          <w:szCs w:val="22"/>
        </w:rPr>
        <w:t>). This approach was selected for its transparency and systematic organisation of qualitative data, allowing comparison both within and across participant groups. The analytic process combined deductive and inductive strategies: deductive coding provided an initial structure informed by the research questions and relevant literature, while inductive coding allowed new, data-driven insights to emerge from participants’ accounts. All transcripts were imported into NVivo</w:t>
      </w:r>
      <w:r w:rsidR="00A95CF1">
        <w:rPr>
          <w:rFonts w:ascii="Arial" w:hAnsi="Arial" w:cs="Arial"/>
          <w:sz w:val="22"/>
          <w:szCs w:val="22"/>
        </w:rPr>
        <w:t xml:space="preserve"> </w:t>
      </w:r>
      <w:r w:rsidRPr="00BD264E">
        <w:rPr>
          <w:rFonts w:ascii="Arial" w:hAnsi="Arial" w:cs="Arial"/>
          <w:sz w:val="22"/>
          <w:szCs w:val="22"/>
        </w:rPr>
        <w:t>15 to support data management, coding, and framework charting.</w:t>
      </w:r>
    </w:p>
    <w:p w14:paraId="1EC99D6D" w14:textId="516A8493" w:rsidR="004F1E93" w:rsidRPr="00BD264E" w:rsidRDefault="004F1E93" w:rsidP="00BD264E">
      <w:pPr>
        <w:spacing w:line="480" w:lineRule="auto"/>
        <w:rPr>
          <w:rFonts w:ascii="Arial" w:hAnsi="Arial" w:cs="Arial"/>
          <w:sz w:val="22"/>
          <w:szCs w:val="22"/>
        </w:rPr>
      </w:pPr>
      <w:r w:rsidRPr="00BD264E">
        <w:rPr>
          <w:rFonts w:ascii="Arial" w:hAnsi="Arial" w:cs="Arial"/>
          <w:sz w:val="22"/>
          <w:szCs w:val="22"/>
        </w:rPr>
        <w:t xml:space="preserve">The analysis proceeded through iterative stages—beginning with familiarisation and initial coding, followed by framework development, application, and interpretation—ensuring that findings remained both theoretically informed and grounded in </w:t>
      </w:r>
      <w:proofErr w:type="gramStart"/>
      <w:r w:rsidRPr="00BD264E">
        <w:rPr>
          <w:rFonts w:ascii="Arial" w:hAnsi="Arial" w:cs="Arial"/>
          <w:sz w:val="22"/>
          <w:szCs w:val="22"/>
        </w:rPr>
        <w:t>participants’</w:t>
      </w:r>
      <w:proofErr w:type="gramEnd"/>
      <w:r w:rsidRPr="00BD264E">
        <w:rPr>
          <w:rFonts w:ascii="Arial" w:hAnsi="Arial" w:cs="Arial"/>
          <w:sz w:val="22"/>
          <w:szCs w:val="22"/>
        </w:rPr>
        <w:t xml:space="preserve"> lived experiences.</w:t>
      </w:r>
    </w:p>
    <w:p w14:paraId="30763486" w14:textId="77777777" w:rsidR="004F1E93" w:rsidRPr="00BD264E" w:rsidRDefault="004F1E93" w:rsidP="00BD264E">
      <w:pPr>
        <w:spacing w:line="480" w:lineRule="auto"/>
        <w:rPr>
          <w:rFonts w:ascii="Arial" w:hAnsi="Arial" w:cs="Arial"/>
          <w:sz w:val="22"/>
          <w:szCs w:val="22"/>
        </w:rPr>
      </w:pPr>
      <w:r w:rsidRPr="00BD264E">
        <w:rPr>
          <w:rFonts w:ascii="Arial" w:hAnsi="Arial" w:cs="Arial"/>
          <w:sz w:val="22"/>
          <w:szCs w:val="22"/>
        </w:rPr>
        <w:t>Step 1. Developing the Initial (Deductive) Framework</w:t>
      </w:r>
    </w:p>
    <w:p w14:paraId="41C9C854" w14:textId="77777777" w:rsidR="004F1E93" w:rsidRPr="00BD264E" w:rsidRDefault="004F1E93" w:rsidP="00BD264E">
      <w:pPr>
        <w:spacing w:line="480" w:lineRule="auto"/>
        <w:rPr>
          <w:rFonts w:ascii="Arial" w:hAnsi="Arial" w:cs="Arial"/>
          <w:sz w:val="22"/>
          <w:szCs w:val="22"/>
        </w:rPr>
      </w:pPr>
      <w:r w:rsidRPr="00BD264E">
        <w:rPr>
          <w:rFonts w:ascii="Arial" w:hAnsi="Arial" w:cs="Arial"/>
          <w:sz w:val="22"/>
          <w:szCs w:val="22"/>
        </w:rPr>
        <w:t>The initial framework was informed by:</w:t>
      </w:r>
    </w:p>
    <w:p w14:paraId="75171B93" w14:textId="749A65EA" w:rsidR="004F1E93" w:rsidRPr="00BD264E" w:rsidRDefault="004F1E93" w:rsidP="00BD264E">
      <w:pPr>
        <w:numPr>
          <w:ilvl w:val="0"/>
          <w:numId w:val="1"/>
        </w:numPr>
        <w:spacing w:after="160" w:line="480" w:lineRule="auto"/>
        <w:rPr>
          <w:rFonts w:ascii="Arial" w:hAnsi="Arial" w:cs="Arial"/>
          <w:sz w:val="22"/>
          <w:szCs w:val="22"/>
        </w:rPr>
      </w:pPr>
      <w:r w:rsidRPr="00BD264E">
        <w:rPr>
          <w:rFonts w:ascii="Arial" w:hAnsi="Arial" w:cs="Arial"/>
          <w:sz w:val="22"/>
          <w:szCs w:val="22"/>
        </w:rPr>
        <w:t>Research questions and topic guide</w:t>
      </w:r>
    </w:p>
    <w:p w14:paraId="1289C72C" w14:textId="6CD216D9" w:rsidR="004F1E93" w:rsidRPr="00BD264E" w:rsidRDefault="004F1E93" w:rsidP="00BD264E">
      <w:pPr>
        <w:numPr>
          <w:ilvl w:val="0"/>
          <w:numId w:val="1"/>
        </w:numPr>
        <w:spacing w:after="160" w:line="480" w:lineRule="auto"/>
        <w:rPr>
          <w:rFonts w:ascii="Arial" w:hAnsi="Arial" w:cs="Arial"/>
          <w:sz w:val="22"/>
          <w:szCs w:val="22"/>
        </w:rPr>
      </w:pPr>
      <w:r w:rsidRPr="00BD264E">
        <w:rPr>
          <w:rFonts w:ascii="Arial" w:hAnsi="Arial" w:cs="Arial"/>
          <w:sz w:val="22"/>
          <w:szCs w:val="22"/>
        </w:rPr>
        <w:t xml:space="preserve">Empirical and theoretical literature on gambling harm and prevention </w:t>
      </w:r>
    </w:p>
    <w:p w14:paraId="4AAAA4B2" w14:textId="52C37193" w:rsidR="004F1E93" w:rsidRPr="00BD264E" w:rsidRDefault="004F1E93" w:rsidP="00BD264E">
      <w:pPr>
        <w:numPr>
          <w:ilvl w:val="0"/>
          <w:numId w:val="1"/>
        </w:numPr>
        <w:spacing w:after="160" w:line="480" w:lineRule="auto"/>
        <w:rPr>
          <w:rFonts w:ascii="Arial" w:hAnsi="Arial" w:cs="Arial"/>
          <w:sz w:val="22"/>
          <w:szCs w:val="22"/>
        </w:rPr>
      </w:pPr>
      <w:r w:rsidRPr="00BD264E">
        <w:rPr>
          <w:rFonts w:ascii="Arial" w:hAnsi="Arial" w:cs="Arial"/>
          <w:sz w:val="22"/>
          <w:szCs w:val="22"/>
        </w:rPr>
        <w:t>Public health models of risk communication</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550"/>
        <w:gridCol w:w="3398"/>
        <w:gridCol w:w="3068"/>
      </w:tblGrid>
      <w:tr w:rsidR="004F1E93" w:rsidRPr="00BD264E" w14:paraId="3D427725" w14:textId="77777777" w:rsidTr="00A95CF1">
        <w:trPr>
          <w:tblHeader/>
          <w:tblCellSpacing w:w="15" w:type="dxa"/>
        </w:trPr>
        <w:tc>
          <w:tcPr>
            <w:tcW w:w="2507" w:type="dxa"/>
            <w:hideMark/>
          </w:tcPr>
          <w:p w14:paraId="0F7D25F8" w14:textId="77777777" w:rsidR="004F1E93" w:rsidRPr="00BD264E" w:rsidRDefault="004F1E93" w:rsidP="00BD264E">
            <w:pPr>
              <w:spacing w:line="360" w:lineRule="auto"/>
              <w:rPr>
                <w:rFonts w:ascii="Arial" w:hAnsi="Arial" w:cs="Arial"/>
                <w:b/>
                <w:bCs/>
                <w:sz w:val="22"/>
                <w:szCs w:val="22"/>
              </w:rPr>
            </w:pPr>
            <w:r w:rsidRPr="00BD264E">
              <w:rPr>
                <w:rFonts w:ascii="Arial" w:hAnsi="Arial" w:cs="Arial"/>
                <w:b/>
                <w:bCs/>
                <w:sz w:val="22"/>
                <w:szCs w:val="22"/>
              </w:rPr>
              <w:t>Preliminary Category</w:t>
            </w:r>
          </w:p>
        </w:tc>
        <w:tc>
          <w:tcPr>
            <w:tcW w:w="3372" w:type="dxa"/>
            <w:hideMark/>
          </w:tcPr>
          <w:p w14:paraId="4F2664BF" w14:textId="77777777" w:rsidR="004F1E93" w:rsidRPr="00BD264E" w:rsidRDefault="004F1E93" w:rsidP="00BD264E">
            <w:pPr>
              <w:spacing w:line="360" w:lineRule="auto"/>
              <w:rPr>
                <w:rFonts w:ascii="Arial" w:hAnsi="Arial" w:cs="Arial"/>
                <w:b/>
                <w:bCs/>
                <w:sz w:val="22"/>
                <w:szCs w:val="22"/>
              </w:rPr>
            </w:pPr>
            <w:r w:rsidRPr="00BD264E">
              <w:rPr>
                <w:rFonts w:ascii="Arial" w:hAnsi="Arial" w:cs="Arial"/>
                <w:b/>
                <w:bCs/>
                <w:sz w:val="22"/>
                <w:szCs w:val="22"/>
              </w:rPr>
              <w:t>Rationale / Source</w:t>
            </w:r>
          </w:p>
        </w:tc>
        <w:tc>
          <w:tcPr>
            <w:tcW w:w="3027" w:type="dxa"/>
            <w:hideMark/>
          </w:tcPr>
          <w:p w14:paraId="0EF3E26F" w14:textId="77777777" w:rsidR="004F1E93" w:rsidRPr="00BD264E" w:rsidRDefault="004F1E93" w:rsidP="00BD264E">
            <w:pPr>
              <w:spacing w:line="360" w:lineRule="auto"/>
              <w:rPr>
                <w:rFonts w:ascii="Arial" w:hAnsi="Arial" w:cs="Arial"/>
                <w:b/>
                <w:bCs/>
                <w:sz w:val="22"/>
                <w:szCs w:val="22"/>
              </w:rPr>
            </w:pPr>
            <w:r w:rsidRPr="00BD264E">
              <w:rPr>
                <w:rFonts w:ascii="Arial" w:hAnsi="Arial" w:cs="Arial"/>
                <w:b/>
                <w:bCs/>
                <w:sz w:val="22"/>
                <w:szCs w:val="22"/>
              </w:rPr>
              <w:t>Example Focus</w:t>
            </w:r>
          </w:p>
        </w:tc>
      </w:tr>
      <w:tr w:rsidR="004F1E93" w:rsidRPr="00BD264E" w14:paraId="003F823A" w14:textId="77777777" w:rsidTr="00A95CF1">
        <w:trPr>
          <w:tblCellSpacing w:w="15" w:type="dxa"/>
        </w:trPr>
        <w:tc>
          <w:tcPr>
            <w:tcW w:w="2507" w:type="dxa"/>
            <w:hideMark/>
          </w:tcPr>
          <w:p w14:paraId="39E19079" w14:textId="77777777" w:rsidR="004F1E93" w:rsidRPr="00BD264E" w:rsidRDefault="004F1E93" w:rsidP="00BD264E">
            <w:pPr>
              <w:spacing w:line="360" w:lineRule="auto"/>
              <w:rPr>
                <w:rFonts w:ascii="Arial" w:hAnsi="Arial" w:cs="Arial"/>
                <w:sz w:val="22"/>
                <w:szCs w:val="22"/>
              </w:rPr>
            </w:pPr>
            <w:r w:rsidRPr="00BD264E">
              <w:rPr>
                <w:rFonts w:ascii="Arial" w:hAnsi="Arial" w:cs="Arial"/>
                <w:sz w:val="22"/>
                <w:szCs w:val="22"/>
              </w:rPr>
              <w:t>Perceived harms</w:t>
            </w:r>
          </w:p>
        </w:tc>
        <w:tc>
          <w:tcPr>
            <w:tcW w:w="3372" w:type="dxa"/>
            <w:hideMark/>
          </w:tcPr>
          <w:p w14:paraId="1D70371E" w14:textId="77777777" w:rsidR="004F1E93" w:rsidRPr="00BD264E" w:rsidRDefault="004F1E93" w:rsidP="00BD264E">
            <w:pPr>
              <w:spacing w:line="360" w:lineRule="auto"/>
              <w:rPr>
                <w:rFonts w:ascii="Arial" w:hAnsi="Arial" w:cs="Arial"/>
                <w:sz w:val="22"/>
                <w:szCs w:val="22"/>
              </w:rPr>
            </w:pPr>
            <w:r w:rsidRPr="00BD264E">
              <w:rPr>
                <w:rFonts w:ascii="Arial" w:hAnsi="Arial" w:cs="Arial"/>
                <w:sz w:val="22"/>
                <w:szCs w:val="22"/>
              </w:rPr>
              <w:t>Derived from literature on gambling impacts</w:t>
            </w:r>
          </w:p>
        </w:tc>
        <w:tc>
          <w:tcPr>
            <w:tcW w:w="3027" w:type="dxa"/>
            <w:hideMark/>
          </w:tcPr>
          <w:p w14:paraId="74FF4679" w14:textId="77777777" w:rsidR="004F1E93" w:rsidRPr="00BD264E" w:rsidRDefault="004F1E93" w:rsidP="00BD264E">
            <w:pPr>
              <w:spacing w:line="360" w:lineRule="auto"/>
              <w:rPr>
                <w:rFonts w:ascii="Arial" w:hAnsi="Arial" w:cs="Arial"/>
                <w:sz w:val="22"/>
                <w:szCs w:val="22"/>
              </w:rPr>
            </w:pPr>
            <w:r w:rsidRPr="00BD264E">
              <w:rPr>
                <w:rFonts w:ascii="Arial" w:hAnsi="Arial" w:cs="Arial"/>
                <w:sz w:val="22"/>
                <w:szCs w:val="22"/>
              </w:rPr>
              <w:t>Financial, relational, and mental health harms</w:t>
            </w:r>
          </w:p>
        </w:tc>
      </w:tr>
      <w:tr w:rsidR="004F1E93" w:rsidRPr="00BD264E" w14:paraId="0D713BEA" w14:textId="77777777" w:rsidTr="00A95CF1">
        <w:trPr>
          <w:tblCellSpacing w:w="15" w:type="dxa"/>
        </w:trPr>
        <w:tc>
          <w:tcPr>
            <w:tcW w:w="2507" w:type="dxa"/>
            <w:hideMark/>
          </w:tcPr>
          <w:p w14:paraId="1F739EB3" w14:textId="77777777" w:rsidR="004F1E93" w:rsidRPr="00BD264E" w:rsidRDefault="004F1E93" w:rsidP="00BD264E">
            <w:pPr>
              <w:spacing w:line="360" w:lineRule="auto"/>
              <w:rPr>
                <w:rFonts w:ascii="Arial" w:hAnsi="Arial" w:cs="Arial"/>
                <w:sz w:val="22"/>
                <w:szCs w:val="22"/>
              </w:rPr>
            </w:pPr>
            <w:r w:rsidRPr="00BD264E">
              <w:rPr>
                <w:rFonts w:ascii="Arial" w:hAnsi="Arial" w:cs="Arial"/>
                <w:sz w:val="22"/>
                <w:szCs w:val="22"/>
              </w:rPr>
              <w:t>Message credibility</w:t>
            </w:r>
          </w:p>
        </w:tc>
        <w:tc>
          <w:tcPr>
            <w:tcW w:w="3372" w:type="dxa"/>
            <w:hideMark/>
          </w:tcPr>
          <w:p w14:paraId="319BF246" w14:textId="77777777" w:rsidR="004F1E93" w:rsidRPr="00BD264E" w:rsidRDefault="004F1E93" w:rsidP="00BD264E">
            <w:pPr>
              <w:spacing w:line="360" w:lineRule="auto"/>
              <w:rPr>
                <w:rFonts w:ascii="Arial" w:hAnsi="Arial" w:cs="Arial"/>
                <w:sz w:val="22"/>
                <w:szCs w:val="22"/>
              </w:rPr>
            </w:pPr>
            <w:r w:rsidRPr="00BD264E">
              <w:rPr>
                <w:rFonts w:ascii="Arial" w:hAnsi="Arial" w:cs="Arial"/>
                <w:sz w:val="22"/>
                <w:szCs w:val="22"/>
              </w:rPr>
              <w:t>Guided by communication theory and prior studies</w:t>
            </w:r>
          </w:p>
        </w:tc>
        <w:tc>
          <w:tcPr>
            <w:tcW w:w="3027" w:type="dxa"/>
            <w:hideMark/>
          </w:tcPr>
          <w:p w14:paraId="46AA46F7" w14:textId="77777777" w:rsidR="004F1E93" w:rsidRPr="00BD264E" w:rsidRDefault="004F1E93" w:rsidP="00BD264E">
            <w:pPr>
              <w:spacing w:line="360" w:lineRule="auto"/>
              <w:rPr>
                <w:rFonts w:ascii="Arial" w:hAnsi="Arial" w:cs="Arial"/>
                <w:sz w:val="22"/>
                <w:szCs w:val="22"/>
              </w:rPr>
            </w:pPr>
            <w:r w:rsidRPr="00BD264E">
              <w:rPr>
                <w:rFonts w:ascii="Arial" w:hAnsi="Arial" w:cs="Arial"/>
                <w:sz w:val="22"/>
                <w:szCs w:val="22"/>
              </w:rPr>
              <w:t>Trust, realism, and authenticity of messaging</w:t>
            </w:r>
          </w:p>
        </w:tc>
      </w:tr>
      <w:tr w:rsidR="004F1E93" w:rsidRPr="00BD264E" w14:paraId="312AEAC6" w14:textId="77777777" w:rsidTr="00A95CF1">
        <w:trPr>
          <w:tblCellSpacing w:w="15" w:type="dxa"/>
        </w:trPr>
        <w:tc>
          <w:tcPr>
            <w:tcW w:w="2507" w:type="dxa"/>
            <w:hideMark/>
          </w:tcPr>
          <w:p w14:paraId="4C142CBD" w14:textId="77777777" w:rsidR="004F1E93" w:rsidRPr="00BD264E" w:rsidRDefault="004F1E93" w:rsidP="00BD264E">
            <w:pPr>
              <w:spacing w:line="360" w:lineRule="auto"/>
              <w:rPr>
                <w:rFonts w:ascii="Arial" w:hAnsi="Arial" w:cs="Arial"/>
                <w:sz w:val="22"/>
                <w:szCs w:val="22"/>
              </w:rPr>
            </w:pPr>
            <w:r w:rsidRPr="00BD264E">
              <w:rPr>
                <w:rFonts w:ascii="Arial" w:hAnsi="Arial" w:cs="Arial"/>
                <w:sz w:val="22"/>
                <w:szCs w:val="22"/>
              </w:rPr>
              <w:t>Structural determinants</w:t>
            </w:r>
          </w:p>
        </w:tc>
        <w:tc>
          <w:tcPr>
            <w:tcW w:w="3372" w:type="dxa"/>
            <w:hideMark/>
          </w:tcPr>
          <w:p w14:paraId="3D05395C" w14:textId="77777777" w:rsidR="004F1E93" w:rsidRPr="00BD264E" w:rsidRDefault="004F1E93" w:rsidP="00BD264E">
            <w:pPr>
              <w:spacing w:line="360" w:lineRule="auto"/>
              <w:rPr>
                <w:rFonts w:ascii="Arial" w:hAnsi="Arial" w:cs="Arial"/>
                <w:sz w:val="22"/>
                <w:szCs w:val="22"/>
              </w:rPr>
            </w:pPr>
            <w:r w:rsidRPr="00BD264E">
              <w:rPr>
                <w:rFonts w:ascii="Arial" w:hAnsi="Arial" w:cs="Arial"/>
                <w:sz w:val="22"/>
                <w:szCs w:val="22"/>
              </w:rPr>
              <w:t>Informed by public health frameworks</w:t>
            </w:r>
          </w:p>
        </w:tc>
        <w:tc>
          <w:tcPr>
            <w:tcW w:w="3027" w:type="dxa"/>
            <w:hideMark/>
          </w:tcPr>
          <w:p w14:paraId="0C764B14" w14:textId="77777777" w:rsidR="004F1E93" w:rsidRPr="00BD264E" w:rsidRDefault="004F1E93" w:rsidP="00BD264E">
            <w:pPr>
              <w:spacing w:line="360" w:lineRule="auto"/>
              <w:rPr>
                <w:rFonts w:ascii="Arial" w:hAnsi="Arial" w:cs="Arial"/>
                <w:sz w:val="22"/>
                <w:szCs w:val="22"/>
              </w:rPr>
            </w:pPr>
            <w:r w:rsidRPr="00BD264E">
              <w:rPr>
                <w:rFonts w:ascii="Arial" w:hAnsi="Arial" w:cs="Arial"/>
                <w:sz w:val="22"/>
                <w:szCs w:val="22"/>
              </w:rPr>
              <w:t>Industry influence and policy regulation</w:t>
            </w:r>
          </w:p>
        </w:tc>
      </w:tr>
    </w:tbl>
    <w:p w14:paraId="6B9EC234" w14:textId="77777777" w:rsidR="00BD264E" w:rsidRDefault="00BD264E" w:rsidP="00BD264E">
      <w:pPr>
        <w:spacing w:line="480" w:lineRule="auto"/>
        <w:rPr>
          <w:rFonts w:ascii="Arial" w:hAnsi="Arial" w:cs="Arial"/>
          <w:sz w:val="22"/>
          <w:szCs w:val="22"/>
        </w:rPr>
      </w:pPr>
    </w:p>
    <w:p w14:paraId="1E40711B" w14:textId="77777777" w:rsidR="00A95CF1" w:rsidRDefault="00A95CF1" w:rsidP="00BD264E">
      <w:pPr>
        <w:spacing w:line="480" w:lineRule="auto"/>
        <w:rPr>
          <w:rFonts w:ascii="Arial" w:hAnsi="Arial" w:cs="Arial"/>
          <w:sz w:val="22"/>
          <w:szCs w:val="22"/>
        </w:rPr>
      </w:pPr>
    </w:p>
    <w:p w14:paraId="118107B1" w14:textId="77777777" w:rsidR="00A95CF1" w:rsidRPr="00BD264E" w:rsidRDefault="00A95CF1" w:rsidP="00BD264E">
      <w:pPr>
        <w:spacing w:line="480" w:lineRule="auto"/>
        <w:rPr>
          <w:rFonts w:ascii="Arial" w:hAnsi="Arial" w:cs="Arial"/>
          <w:sz w:val="22"/>
          <w:szCs w:val="22"/>
        </w:rPr>
      </w:pPr>
    </w:p>
    <w:p w14:paraId="28332939" w14:textId="77777777" w:rsidR="004F1E93" w:rsidRPr="00BD264E" w:rsidRDefault="004F1E93" w:rsidP="00BD264E">
      <w:pPr>
        <w:spacing w:line="480" w:lineRule="auto"/>
        <w:rPr>
          <w:rFonts w:ascii="Arial" w:hAnsi="Arial" w:cs="Arial"/>
          <w:sz w:val="22"/>
          <w:szCs w:val="22"/>
        </w:rPr>
      </w:pPr>
      <w:r w:rsidRPr="00BD264E">
        <w:rPr>
          <w:rFonts w:ascii="Arial" w:hAnsi="Arial" w:cs="Arial"/>
          <w:sz w:val="22"/>
          <w:szCs w:val="22"/>
        </w:rPr>
        <w:lastRenderedPageBreak/>
        <w:t>Step 2. Identifying Initial Codes and Integrating Inductive Insights</w:t>
      </w:r>
    </w:p>
    <w:p w14:paraId="4DC14174" w14:textId="77777777" w:rsidR="004F1E93" w:rsidRPr="00BD264E" w:rsidRDefault="004F1E93" w:rsidP="00BD264E">
      <w:pPr>
        <w:spacing w:line="480" w:lineRule="auto"/>
        <w:rPr>
          <w:rFonts w:ascii="Arial" w:hAnsi="Arial" w:cs="Arial"/>
          <w:sz w:val="22"/>
          <w:szCs w:val="22"/>
        </w:rPr>
      </w:pPr>
      <w:r w:rsidRPr="00BD264E">
        <w:rPr>
          <w:rFonts w:ascii="Arial" w:hAnsi="Arial" w:cs="Arial"/>
          <w:sz w:val="22"/>
          <w:szCs w:val="22"/>
        </w:rPr>
        <w:t xml:space="preserve">Open coding was undertaken systematically across all four focus group transcripts. Each data segment was coded to one or more categories from the </w:t>
      </w:r>
      <w:r w:rsidRPr="00BD264E">
        <w:rPr>
          <w:rFonts w:ascii="Arial" w:hAnsi="Arial" w:cs="Arial"/>
          <w:b/>
          <w:bCs/>
          <w:sz w:val="22"/>
          <w:szCs w:val="22"/>
        </w:rPr>
        <w:t>i</w:t>
      </w:r>
      <w:r w:rsidRPr="00BD264E">
        <w:rPr>
          <w:rFonts w:ascii="Arial" w:hAnsi="Arial" w:cs="Arial"/>
          <w:sz w:val="22"/>
          <w:szCs w:val="22"/>
        </w:rPr>
        <w:t>nitial deductive framework, with new inductive codes added whenever participants’ language or ideas did not fit the predefined categories.</w:t>
      </w:r>
    </w:p>
    <w:p w14:paraId="09F8DF81" w14:textId="77777777" w:rsidR="004F1E93" w:rsidRPr="00BD264E" w:rsidRDefault="004F1E93" w:rsidP="00BD264E">
      <w:pPr>
        <w:spacing w:line="480" w:lineRule="auto"/>
        <w:rPr>
          <w:rFonts w:ascii="Arial" w:hAnsi="Arial" w:cs="Arial"/>
          <w:sz w:val="22"/>
          <w:szCs w:val="22"/>
        </w:rPr>
      </w:pPr>
      <w:r w:rsidRPr="00BD264E">
        <w:rPr>
          <w:rFonts w:ascii="Arial" w:hAnsi="Arial" w:cs="Arial"/>
          <w:sz w:val="22"/>
          <w:szCs w:val="22"/>
        </w:rPr>
        <w:t xml:space="preserve">Codes were labelled </w:t>
      </w:r>
      <w:r w:rsidRPr="00BD264E">
        <w:rPr>
          <w:rFonts w:ascii="Arial" w:hAnsi="Arial" w:cs="Arial"/>
          <w:i/>
          <w:iCs/>
          <w:sz w:val="22"/>
          <w:szCs w:val="22"/>
        </w:rPr>
        <w:t>deductive</w:t>
      </w:r>
      <w:r w:rsidRPr="00BD264E">
        <w:rPr>
          <w:rFonts w:ascii="Arial" w:hAnsi="Arial" w:cs="Arial"/>
          <w:sz w:val="22"/>
          <w:szCs w:val="22"/>
        </w:rPr>
        <w:t xml:space="preserve"> when they directly reflected concepts derived from the study’s research questions, topic guide, or prior literature (e.g., </w:t>
      </w:r>
      <w:r w:rsidRPr="00BD264E">
        <w:rPr>
          <w:rFonts w:ascii="Arial" w:hAnsi="Arial" w:cs="Arial"/>
          <w:i/>
          <w:iCs/>
          <w:sz w:val="22"/>
          <w:szCs w:val="22"/>
        </w:rPr>
        <w:t>perceived harms</w:t>
      </w:r>
      <w:r w:rsidRPr="00BD264E">
        <w:rPr>
          <w:rFonts w:ascii="Arial" w:hAnsi="Arial" w:cs="Arial"/>
          <w:sz w:val="22"/>
          <w:szCs w:val="22"/>
        </w:rPr>
        <w:t xml:space="preserve">, </w:t>
      </w:r>
      <w:r w:rsidRPr="00BD264E">
        <w:rPr>
          <w:rFonts w:ascii="Arial" w:hAnsi="Arial" w:cs="Arial"/>
          <w:i/>
          <w:iCs/>
          <w:sz w:val="22"/>
          <w:szCs w:val="22"/>
        </w:rPr>
        <w:t>message credibility</w:t>
      </w:r>
      <w:r w:rsidRPr="00BD264E">
        <w:rPr>
          <w:rFonts w:ascii="Arial" w:hAnsi="Arial" w:cs="Arial"/>
          <w:sz w:val="22"/>
          <w:szCs w:val="22"/>
        </w:rPr>
        <w:t xml:space="preserve">). Codes were labelled </w:t>
      </w:r>
      <w:r w:rsidRPr="00BD264E">
        <w:rPr>
          <w:rFonts w:ascii="Arial" w:hAnsi="Arial" w:cs="Arial"/>
          <w:i/>
          <w:iCs/>
          <w:sz w:val="22"/>
          <w:szCs w:val="22"/>
        </w:rPr>
        <w:t>inductive</w:t>
      </w:r>
      <w:r w:rsidRPr="00BD264E">
        <w:rPr>
          <w:rFonts w:ascii="Arial" w:hAnsi="Arial" w:cs="Arial"/>
          <w:sz w:val="22"/>
          <w:szCs w:val="22"/>
        </w:rPr>
        <w:t xml:space="preserve"> when they captured new or unanticipated concepts emerging from the data itself (e.g., </w:t>
      </w:r>
      <w:r w:rsidRPr="00BD264E">
        <w:rPr>
          <w:rFonts w:ascii="Arial" w:hAnsi="Arial" w:cs="Arial"/>
          <w:i/>
          <w:iCs/>
          <w:sz w:val="22"/>
          <w:szCs w:val="22"/>
        </w:rPr>
        <w:t>moral framings of harm</w:t>
      </w:r>
      <w:r w:rsidRPr="00BD264E">
        <w:rPr>
          <w:rFonts w:ascii="Arial" w:hAnsi="Arial" w:cs="Arial"/>
          <w:sz w:val="22"/>
          <w:szCs w:val="22"/>
        </w:rPr>
        <w:t xml:space="preserve">, </w:t>
      </w:r>
      <w:r w:rsidRPr="00BD264E">
        <w:rPr>
          <w:rFonts w:ascii="Arial" w:hAnsi="Arial" w:cs="Arial"/>
          <w:i/>
          <w:iCs/>
          <w:sz w:val="22"/>
          <w:szCs w:val="22"/>
        </w:rPr>
        <w:t>peer-led prevention</w:t>
      </w:r>
      <w:r w:rsidRPr="00BD264E">
        <w:rPr>
          <w:rFonts w:ascii="Arial" w:hAnsi="Arial" w:cs="Arial"/>
          <w:sz w:val="22"/>
          <w:szCs w:val="22"/>
        </w:rPr>
        <w:t>).</w:t>
      </w:r>
    </w:p>
    <w:p w14:paraId="2BA2FB9B" w14:textId="77777777" w:rsidR="004F1E93" w:rsidRPr="00BD264E" w:rsidRDefault="004F1E93" w:rsidP="00BD264E">
      <w:pPr>
        <w:spacing w:line="480" w:lineRule="auto"/>
        <w:rPr>
          <w:rFonts w:ascii="Arial" w:hAnsi="Arial" w:cs="Arial"/>
          <w:sz w:val="22"/>
          <w:szCs w:val="22"/>
        </w:rPr>
      </w:pPr>
      <w:r w:rsidRPr="00BD264E">
        <w:rPr>
          <w:rFonts w:ascii="Arial" w:hAnsi="Arial" w:cs="Arial"/>
          <w:sz w:val="22"/>
          <w:szCs w:val="22"/>
        </w:rPr>
        <w:t>Team members discussed and compared coding throughout this stage to ensure shared understanding of how each code type was applied. This iterative process allowed inductive insights to expand, refine, or reshape the original framework rather than sit separately from it.</w:t>
      </w:r>
    </w:p>
    <w:p w14:paraId="269B3570" w14:textId="77777777" w:rsidR="004F1E93" w:rsidRPr="00BD264E" w:rsidRDefault="004F1E93" w:rsidP="00BD264E">
      <w:pPr>
        <w:spacing w:line="480" w:lineRule="auto"/>
        <w:rPr>
          <w:rFonts w:ascii="Arial" w:hAnsi="Arial" w:cs="Arial"/>
          <w:sz w:val="22"/>
          <w:szCs w:val="22"/>
        </w:rPr>
      </w:pPr>
      <w:r w:rsidRPr="00BD264E">
        <w:rPr>
          <w:rFonts w:ascii="Arial" w:hAnsi="Arial" w:cs="Arial"/>
          <w:sz w:val="22"/>
          <w:szCs w:val="22"/>
        </w:rPr>
        <w:t>Examples of inductive codes emerging during this stage included:</w:t>
      </w:r>
    </w:p>
    <w:p w14:paraId="2B5DD225" w14:textId="77777777" w:rsidR="004F1E93" w:rsidRPr="00BD264E" w:rsidRDefault="004F1E93" w:rsidP="00BD264E">
      <w:pPr>
        <w:numPr>
          <w:ilvl w:val="0"/>
          <w:numId w:val="2"/>
        </w:numPr>
        <w:spacing w:line="480" w:lineRule="auto"/>
        <w:rPr>
          <w:rFonts w:ascii="Arial" w:hAnsi="Arial" w:cs="Arial"/>
          <w:sz w:val="22"/>
          <w:szCs w:val="22"/>
        </w:rPr>
      </w:pPr>
      <w:r w:rsidRPr="00BD264E">
        <w:rPr>
          <w:rFonts w:ascii="Arial" w:hAnsi="Arial" w:cs="Arial"/>
          <w:sz w:val="22"/>
          <w:szCs w:val="22"/>
        </w:rPr>
        <w:t>Moral framings of harm, where participants described gambling as “betrayal” or “moral corruption”.</w:t>
      </w:r>
    </w:p>
    <w:p w14:paraId="4953A1B8" w14:textId="77777777" w:rsidR="004F1E93" w:rsidRPr="00BD264E" w:rsidRDefault="004F1E93" w:rsidP="00BD264E">
      <w:pPr>
        <w:numPr>
          <w:ilvl w:val="0"/>
          <w:numId w:val="2"/>
        </w:numPr>
        <w:spacing w:line="480" w:lineRule="auto"/>
        <w:rPr>
          <w:rFonts w:ascii="Arial" w:hAnsi="Arial" w:cs="Arial"/>
          <w:sz w:val="22"/>
          <w:szCs w:val="22"/>
        </w:rPr>
      </w:pPr>
      <w:r w:rsidRPr="00BD264E">
        <w:rPr>
          <w:rFonts w:ascii="Arial" w:hAnsi="Arial" w:cs="Arial"/>
          <w:sz w:val="22"/>
          <w:szCs w:val="22"/>
        </w:rPr>
        <w:t>Hidden and intergenerational harms, referring to effects on children and family relationships.</w:t>
      </w:r>
    </w:p>
    <w:p w14:paraId="286FE63D" w14:textId="77777777" w:rsidR="004F1E93" w:rsidRPr="00BD264E" w:rsidRDefault="004F1E93" w:rsidP="00BD264E">
      <w:pPr>
        <w:numPr>
          <w:ilvl w:val="0"/>
          <w:numId w:val="2"/>
        </w:numPr>
        <w:spacing w:line="480" w:lineRule="auto"/>
        <w:rPr>
          <w:rFonts w:ascii="Arial" w:hAnsi="Arial" w:cs="Arial"/>
          <w:sz w:val="22"/>
          <w:szCs w:val="22"/>
        </w:rPr>
      </w:pPr>
      <w:r w:rsidRPr="00BD264E">
        <w:rPr>
          <w:rFonts w:ascii="Arial" w:hAnsi="Arial" w:cs="Arial"/>
          <w:sz w:val="22"/>
          <w:szCs w:val="22"/>
        </w:rPr>
        <w:t>Digital and cultural normalisation, through gaming, social media, and celebrity influence.</w:t>
      </w:r>
    </w:p>
    <w:p w14:paraId="67E07631" w14:textId="77777777" w:rsidR="004F1E93" w:rsidRPr="00BD264E" w:rsidRDefault="004F1E93" w:rsidP="00BD264E">
      <w:pPr>
        <w:numPr>
          <w:ilvl w:val="0"/>
          <w:numId w:val="2"/>
        </w:numPr>
        <w:spacing w:line="480" w:lineRule="auto"/>
        <w:rPr>
          <w:rFonts w:ascii="Arial" w:hAnsi="Arial" w:cs="Arial"/>
          <w:sz w:val="22"/>
          <w:szCs w:val="22"/>
        </w:rPr>
      </w:pPr>
      <w:r w:rsidRPr="00BD264E">
        <w:rPr>
          <w:rFonts w:ascii="Arial" w:hAnsi="Arial" w:cs="Arial"/>
          <w:sz w:val="22"/>
          <w:szCs w:val="22"/>
        </w:rPr>
        <w:t>Peer-led and lived-experience prevention, particularly among youth participants.</w:t>
      </w:r>
    </w:p>
    <w:p w14:paraId="2923334F" w14:textId="77777777" w:rsidR="004F1E93" w:rsidRPr="00BD264E" w:rsidRDefault="004F1E93" w:rsidP="00BD264E">
      <w:pPr>
        <w:spacing w:line="480" w:lineRule="auto"/>
        <w:ind w:left="720"/>
        <w:rPr>
          <w:rFonts w:ascii="Arial" w:hAnsi="Arial" w:cs="Arial"/>
          <w:sz w:val="22"/>
          <w:szCs w:val="22"/>
        </w:rPr>
      </w:pPr>
    </w:p>
    <w:p w14:paraId="46741AB1" w14:textId="77777777" w:rsidR="004F1E93" w:rsidRPr="00BD264E" w:rsidRDefault="004F1E93" w:rsidP="00BD264E">
      <w:pPr>
        <w:spacing w:line="480" w:lineRule="auto"/>
        <w:rPr>
          <w:rFonts w:ascii="Arial" w:hAnsi="Arial" w:cs="Arial"/>
          <w:sz w:val="22"/>
          <w:szCs w:val="22"/>
        </w:rPr>
      </w:pPr>
      <w:r w:rsidRPr="00BD264E">
        <w:rPr>
          <w:rFonts w:ascii="Arial" w:hAnsi="Arial" w:cs="Arial"/>
          <w:sz w:val="22"/>
          <w:szCs w:val="22"/>
        </w:rPr>
        <w:t>Step 3. Final Analytical Framework</w:t>
      </w:r>
    </w:p>
    <w:p w14:paraId="6F30CC98" w14:textId="77777777" w:rsidR="004F1E93" w:rsidRPr="00BD264E" w:rsidRDefault="004F1E93" w:rsidP="00BD264E">
      <w:pPr>
        <w:spacing w:line="480" w:lineRule="auto"/>
        <w:rPr>
          <w:rFonts w:ascii="Arial" w:hAnsi="Arial" w:cs="Arial"/>
          <w:sz w:val="22"/>
          <w:szCs w:val="22"/>
        </w:rPr>
      </w:pPr>
      <w:r w:rsidRPr="00BD264E">
        <w:rPr>
          <w:rFonts w:ascii="Arial" w:hAnsi="Arial" w:cs="Arial"/>
          <w:sz w:val="22"/>
          <w:szCs w:val="22"/>
        </w:rPr>
        <w:t>The final framework consisted of three overarching themes encompassing both deductive foundations and inductively derived subthemes:</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447"/>
        <w:gridCol w:w="3501"/>
        <w:gridCol w:w="3068"/>
      </w:tblGrid>
      <w:tr w:rsidR="004F1E93" w:rsidRPr="00BD264E" w14:paraId="57BE18C8" w14:textId="77777777" w:rsidTr="00A95CF1">
        <w:trPr>
          <w:tblHeader/>
          <w:tblCellSpacing w:w="15" w:type="dxa"/>
        </w:trPr>
        <w:tc>
          <w:tcPr>
            <w:tcW w:w="2404" w:type="dxa"/>
            <w:vAlign w:val="center"/>
            <w:hideMark/>
          </w:tcPr>
          <w:p w14:paraId="3E25CA52" w14:textId="77777777" w:rsidR="004F1E93" w:rsidRPr="00BD264E" w:rsidRDefault="004F1E93" w:rsidP="00BD264E">
            <w:pPr>
              <w:spacing w:line="480" w:lineRule="auto"/>
              <w:rPr>
                <w:rFonts w:ascii="Arial" w:hAnsi="Arial" w:cs="Arial"/>
                <w:sz w:val="22"/>
                <w:szCs w:val="22"/>
              </w:rPr>
            </w:pPr>
            <w:r w:rsidRPr="00BD264E">
              <w:rPr>
                <w:rFonts w:ascii="Arial" w:hAnsi="Arial" w:cs="Arial"/>
                <w:sz w:val="22"/>
                <w:szCs w:val="22"/>
              </w:rPr>
              <w:lastRenderedPageBreak/>
              <w:t>Theme</w:t>
            </w:r>
          </w:p>
        </w:tc>
        <w:tc>
          <w:tcPr>
            <w:tcW w:w="3475" w:type="dxa"/>
            <w:vAlign w:val="center"/>
            <w:hideMark/>
          </w:tcPr>
          <w:p w14:paraId="4ACF833B" w14:textId="77777777" w:rsidR="004F1E93" w:rsidRPr="00BD264E" w:rsidRDefault="004F1E93" w:rsidP="00BD264E">
            <w:pPr>
              <w:spacing w:line="480" w:lineRule="auto"/>
              <w:rPr>
                <w:rFonts w:ascii="Arial" w:hAnsi="Arial" w:cs="Arial"/>
                <w:sz w:val="22"/>
                <w:szCs w:val="22"/>
              </w:rPr>
            </w:pPr>
            <w:r w:rsidRPr="00BD264E">
              <w:rPr>
                <w:rFonts w:ascii="Arial" w:hAnsi="Arial" w:cs="Arial"/>
                <w:sz w:val="22"/>
                <w:szCs w:val="22"/>
              </w:rPr>
              <w:t>Shared Subthemes</w:t>
            </w:r>
          </w:p>
        </w:tc>
        <w:tc>
          <w:tcPr>
            <w:tcW w:w="3027" w:type="dxa"/>
            <w:vAlign w:val="center"/>
            <w:hideMark/>
          </w:tcPr>
          <w:p w14:paraId="15EA474D" w14:textId="77777777" w:rsidR="004F1E93" w:rsidRPr="00BD264E" w:rsidRDefault="004F1E93" w:rsidP="00BD264E">
            <w:pPr>
              <w:spacing w:line="480" w:lineRule="auto"/>
              <w:rPr>
                <w:rFonts w:ascii="Arial" w:hAnsi="Arial" w:cs="Arial"/>
                <w:sz w:val="22"/>
                <w:szCs w:val="22"/>
              </w:rPr>
            </w:pPr>
            <w:r w:rsidRPr="00BD264E">
              <w:rPr>
                <w:rFonts w:ascii="Arial" w:hAnsi="Arial" w:cs="Arial"/>
                <w:sz w:val="22"/>
                <w:szCs w:val="22"/>
              </w:rPr>
              <w:t>Group-specific Subthemes</w:t>
            </w:r>
          </w:p>
        </w:tc>
      </w:tr>
      <w:tr w:rsidR="004F1E93" w:rsidRPr="00BD264E" w14:paraId="6CB6E02C" w14:textId="77777777" w:rsidTr="00A95CF1">
        <w:trPr>
          <w:tblCellSpacing w:w="15" w:type="dxa"/>
        </w:trPr>
        <w:tc>
          <w:tcPr>
            <w:tcW w:w="2404" w:type="dxa"/>
            <w:hideMark/>
          </w:tcPr>
          <w:p w14:paraId="32C99942" w14:textId="77777777" w:rsidR="004F1E93" w:rsidRPr="00BD264E" w:rsidRDefault="004F1E93" w:rsidP="00BD264E">
            <w:pPr>
              <w:spacing w:line="480" w:lineRule="auto"/>
              <w:rPr>
                <w:rFonts w:ascii="Arial" w:hAnsi="Arial" w:cs="Arial"/>
                <w:sz w:val="22"/>
                <w:szCs w:val="22"/>
              </w:rPr>
            </w:pPr>
            <w:r w:rsidRPr="00BD264E">
              <w:rPr>
                <w:rFonts w:ascii="Arial" w:hAnsi="Arial" w:cs="Arial"/>
                <w:sz w:val="22"/>
                <w:szCs w:val="22"/>
              </w:rPr>
              <w:t>1. Gambling-related harms are multifaceted and often hidden</w:t>
            </w:r>
          </w:p>
        </w:tc>
        <w:tc>
          <w:tcPr>
            <w:tcW w:w="3475" w:type="dxa"/>
            <w:hideMark/>
          </w:tcPr>
          <w:p w14:paraId="7B094254" w14:textId="77777777" w:rsidR="004F1E93" w:rsidRPr="00BD264E" w:rsidRDefault="004F1E93" w:rsidP="00BD264E">
            <w:pPr>
              <w:spacing w:line="480" w:lineRule="auto"/>
              <w:rPr>
                <w:rFonts w:ascii="Arial" w:hAnsi="Arial" w:cs="Arial"/>
                <w:sz w:val="22"/>
                <w:szCs w:val="22"/>
              </w:rPr>
            </w:pPr>
            <w:r w:rsidRPr="00BD264E">
              <w:rPr>
                <w:rFonts w:ascii="Arial" w:hAnsi="Arial" w:cs="Arial"/>
                <w:sz w:val="22"/>
                <w:szCs w:val="22"/>
              </w:rPr>
              <w:t>Emotional and mental health harms; Stigma and secrecy; Financial and relational consequences</w:t>
            </w:r>
          </w:p>
        </w:tc>
        <w:tc>
          <w:tcPr>
            <w:tcW w:w="3027" w:type="dxa"/>
            <w:hideMark/>
          </w:tcPr>
          <w:p w14:paraId="2D428A0D" w14:textId="48F8D8AB" w:rsidR="004F1E93" w:rsidRPr="00BD264E" w:rsidRDefault="004F1E93" w:rsidP="00BD264E">
            <w:pPr>
              <w:spacing w:line="480" w:lineRule="auto"/>
              <w:rPr>
                <w:rFonts w:ascii="Arial" w:hAnsi="Arial" w:cs="Arial"/>
                <w:sz w:val="22"/>
                <w:szCs w:val="22"/>
              </w:rPr>
            </w:pPr>
            <w:r w:rsidRPr="00BD264E">
              <w:rPr>
                <w:rFonts w:ascii="Arial" w:hAnsi="Arial" w:cs="Arial"/>
                <w:sz w:val="22"/>
                <w:szCs w:val="22"/>
              </w:rPr>
              <w:t>Delayed recognition (adults); Erosion of trust (you</w:t>
            </w:r>
            <w:r w:rsidR="00A95CF1">
              <w:rPr>
                <w:rFonts w:ascii="Arial" w:hAnsi="Arial" w:cs="Arial"/>
                <w:sz w:val="22"/>
                <w:szCs w:val="22"/>
              </w:rPr>
              <w:t>ng people</w:t>
            </w:r>
            <w:r w:rsidRPr="00BD264E">
              <w:rPr>
                <w:rFonts w:ascii="Arial" w:hAnsi="Arial" w:cs="Arial"/>
                <w:sz w:val="22"/>
                <w:szCs w:val="22"/>
              </w:rPr>
              <w:t>)</w:t>
            </w:r>
          </w:p>
        </w:tc>
      </w:tr>
      <w:tr w:rsidR="004F1E93" w:rsidRPr="00BD264E" w14:paraId="79944F31" w14:textId="77777777" w:rsidTr="00A95CF1">
        <w:trPr>
          <w:tblCellSpacing w:w="15" w:type="dxa"/>
        </w:trPr>
        <w:tc>
          <w:tcPr>
            <w:tcW w:w="2404" w:type="dxa"/>
            <w:hideMark/>
          </w:tcPr>
          <w:p w14:paraId="3EC2F4D1" w14:textId="77777777" w:rsidR="004F1E93" w:rsidRPr="00BD264E" w:rsidRDefault="004F1E93" w:rsidP="00BD264E">
            <w:pPr>
              <w:spacing w:line="480" w:lineRule="auto"/>
              <w:rPr>
                <w:rFonts w:ascii="Arial" w:hAnsi="Arial" w:cs="Arial"/>
                <w:sz w:val="22"/>
                <w:szCs w:val="22"/>
              </w:rPr>
            </w:pPr>
            <w:r w:rsidRPr="00BD264E">
              <w:rPr>
                <w:rFonts w:ascii="Arial" w:hAnsi="Arial" w:cs="Arial"/>
                <w:sz w:val="22"/>
                <w:szCs w:val="22"/>
              </w:rPr>
              <w:t>2. Predatory tactics of the gambling industry</w:t>
            </w:r>
          </w:p>
        </w:tc>
        <w:tc>
          <w:tcPr>
            <w:tcW w:w="3475" w:type="dxa"/>
            <w:hideMark/>
          </w:tcPr>
          <w:p w14:paraId="5836C114" w14:textId="77777777" w:rsidR="004F1E93" w:rsidRPr="00BD264E" w:rsidRDefault="004F1E93" w:rsidP="00BD264E">
            <w:pPr>
              <w:spacing w:line="480" w:lineRule="auto"/>
              <w:rPr>
                <w:rFonts w:ascii="Arial" w:hAnsi="Arial" w:cs="Arial"/>
                <w:sz w:val="22"/>
                <w:szCs w:val="22"/>
              </w:rPr>
            </w:pPr>
            <w:r w:rsidRPr="00BD264E">
              <w:rPr>
                <w:rFonts w:ascii="Arial" w:hAnsi="Arial" w:cs="Arial"/>
                <w:sz w:val="22"/>
                <w:szCs w:val="22"/>
              </w:rPr>
              <w:t>Aggressive marketing; Normalisation through sports and media; Perceived government inaction</w:t>
            </w:r>
          </w:p>
        </w:tc>
        <w:tc>
          <w:tcPr>
            <w:tcW w:w="3027" w:type="dxa"/>
            <w:hideMark/>
          </w:tcPr>
          <w:p w14:paraId="4799FD39" w14:textId="77777777" w:rsidR="004F1E93" w:rsidRPr="00BD264E" w:rsidRDefault="004F1E93" w:rsidP="00BD264E">
            <w:pPr>
              <w:spacing w:line="480" w:lineRule="auto"/>
              <w:rPr>
                <w:rFonts w:ascii="Arial" w:hAnsi="Arial" w:cs="Arial"/>
                <w:sz w:val="22"/>
                <w:szCs w:val="22"/>
              </w:rPr>
            </w:pPr>
            <w:r w:rsidRPr="00BD264E">
              <w:rPr>
                <w:rFonts w:ascii="Arial" w:hAnsi="Arial" w:cs="Arial"/>
                <w:sz w:val="22"/>
                <w:szCs w:val="22"/>
              </w:rPr>
              <w:t>Celebrity and influencer promotion (youth)</w:t>
            </w:r>
          </w:p>
        </w:tc>
      </w:tr>
      <w:tr w:rsidR="004F1E93" w:rsidRPr="00BD264E" w14:paraId="36ED741D" w14:textId="77777777" w:rsidTr="00A95CF1">
        <w:trPr>
          <w:tblCellSpacing w:w="15" w:type="dxa"/>
        </w:trPr>
        <w:tc>
          <w:tcPr>
            <w:tcW w:w="2404" w:type="dxa"/>
            <w:hideMark/>
          </w:tcPr>
          <w:p w14:paraId="49AF02B0" w14:textId="77777777" w:rsidR="004F1E93" w:rsidRPr="00BD264E" w:rsidRDefault="004F1E93" w:rsidP="00BD264E">
            <w:pPr>
              <w:spacing w:line="480" w:lineRule="auto"/>
              <w:rPr>
                <w:rFonts w:ascii="Arial" w:hAnsi="Arial" w:cs="Arial"/>
                <w:sz w:val="22"/>
                <w:szCs w:val="22"/>
              </w:rPr>
            </w:pPr>
            <w:r w:rsidRPr="00BD264E">
              <w:rPr>
                <w:rFonts w:ascii="Arial" w:hAnsi="Arial" w:cs="Arial"/>
                <w:sz w:val="22"/>
                <w:szCs w:val="22"/>
              </w:rPr>
              <w:t>3. Harm prevention requires multi-level, targeted strategies</w:t>
            </w:r>
          </w:p>
        </w:tc>
        <w:tc>
          <w:tcPr>
            <w:tcW w:w="3475" w:type="dxa"/>
            <w:hideMark/>
          </w:tcPr>
          <w:p w14:paraId="5A06E564" w14:textId="77777777" w:rsidR="004F1E93" w:rsidRPr="00BD264E" w:rsidRDefault="004F1E93" w:rsidP="00BD264E">
            <w:pPr>
              <w:spacing w:line="480" w:lineRule="auto"/>
              <w:rPr>
                <w:rFonts w:ascii="Arial" w:hAnsi="Arial" w:cs="Arial"/>
                <w:sz w:val="22"/>
                <w:szCs w:val="22"/>
              </w:rPr>
            </w:pPr>
            <w:r w:rsidRPr="00BD264E">
              <w:rPr>
                <w:rFonts w:ascii="Arial" w:hAnsi="Arial" w:cs="Arial"/>
                <w:sz w:val="22"/>
                <w:szCs w:val="22"/>
              </w:rPr>
              <w:t>Desire for credible, independent messages; Lived-experience storytelling</w:t>
            </w:r>
          </w:p>
        </w:tc>
        <w:tc>
          <w:tcPr>
            <w:tcW w:w="3027" w:type="dxa"/>
            <w:hideMark/>
          </w:tcPr>
          <w:p w14:paraId="559B03CB" w14:textId="77777777" w:rsidR="004F1E93" w:rsidRPr="00BD264E" w:rsidRDefault="004F1E93" w:rsidP="00BD264E">
            <w:pPr>
              <w:spacing w:line="480" w:lineRule="auto"/>
              <w:rPr>
                <w:rFonts w:ascii="Arial" w:hAnsi="Arial" w:cs="Arial"/>
                <w:sz w:val="22"/>
                <w:szCs w:val="22"/>
              </w:rPr>
            </w:pPr>
            <w:r w:rsidRPr="00BD264E">
              <w:rPr>
                <w:rFonts w:ascii="Arial" w:hAnsi="Arial" w:cs="Arial"/>
                <w:sz w:val="22"/>
                <w:szCs w:val="22"/>
              </w:rPr>
              <w:t>Peer-led, platform-relevant education (youth); Recognition and support for affected others (adults)</w:t>
            </w:r>
          </w:p>
        </w:tc>
      </w:tr>
    </w:tbl>
    <w:p w14:paraId="4E8C4F8E" w14:textId="77777777" w:rsidR="004F1E93" w:rsidRPr="00BD264E" w:rsidRDefault="004F1E93" w:rsidP="00BD264E">
      <w:pPr>
        <w:spacing w:line="480" w:lineRule="auto"/>
        <w:rPr>
          <w:rFonts w:ascii="Arial" w:hAnsi="Arial" w:cs="Arial"/>
          <w:sz w:val="22"/>
          <w:szCs w:val="22"/>
        </w:rPr>
      </w:pPr>
    </w:p>
    <w:p w14:paraId="77D4DE50" w14:textId="77777777" w:rsidR="004F1E93" w:rsidRPr="00BD264E" w:rsidRDefault="004F1E93" w:rsidP="00BD264E">
      <w:pPr>
        <w:spacing w:line="480" w:lineRule="auto"/>
        <w:rPr>
          <w:rFonts w:ascii="Arial" w:hAnsi="Arial" w:cs="Arial"/>
          <w:sz w:val="22"/>
          <w:szCs w:val="22"/>
        </w:rPr>
      </w:pPr>
      <w:r w:rsidRPr="00BD264E">
        <w:rPr>
          <w:rFonts w:ascii="Arial" w:hAnsi="Arial" w:cs="Arial"/>
          <w:sz w:val="22"/>
          <w:szCs w:val="22"/>
        </w:rPr>
        <w:t>Step 4. Iterative Refinement and Integration</w:t>
      </w:r>
    </w:p>
    <w:p w14:paraId="3C619A33" w14:textId="16DDCAE9" w:rsidR="004F1E93" w:rsidRPr="00BD264E" w:rsidRDefault="004F1E93" w:rsidP="00BD264E">
      <w:pPr>
        <w:spacing w:line="480" w:lineRule="auto"/>
        <w:rPr>
          <w:rFonts w:ascii="Arial" w:hAnsi="Arial" w:cs="Arial"/>
          <w:sz w:val="22"/>
          <w:szCs w:val="22"/>
        </w:rPr>
      </w:pPr>
      <w:r w:rsidRPr="00BD264E">
        <w:rPr>
          <w:rFonts w:ascii="Arial" w:hAnsi="Arial" w:cs="Arial"/>
          <w:sz w:val="22"/>
          <w:szCs w:val="22"/>
        </w:rPr>
        <w:t>Regular team meetings compared emergent codes against the evolving framework to ensure conceptual fit and to review how inductive codes had reshaped the deductive structure. For instance, the original deductive category “Structural determinants” was broadened to “</w:t>
      </w:r>
      <w:r w:rsidR="00A95CF1">
        <w:rPr>
          <w:rFonts w:ascii="Arial" w:hAnsi="Arial" w:cs="Arial"/>
          <w:sz w:val="22"/>
          <w:szCs w:val="22"/>
        </w:rPr>
        <w:t>the p</w:t>
      </w:r>
      <w:r w:rsidRPr="00BD264E">
        <w:rPr>
          <w:rFonts w:ascii="Arial" w:hAnsi="Arial" w:cs="Arial"/>
          <w:sz w:val="22"/>
          <w:szCs w:val="22"/>
        </w:rPr>
        <w:t>redatory tactics of the gambling industry” to reflect participants’ emphasis on marketing saturation and manipulation.</w:t>
      </w:r>
    </w:p>
    <w:p w14:paraId="0765692D" w14:textId="77777777" w:rsidR="004F1E93" w:rsidRPr="00BD264E" w:rsidRDefault="004F1E93" w:rsidP="00BD264E">
      <w:pPr>
        <w:spacing w:line="480" w:lineRule="auto"/>
        <w:rPr>
          <w:rFonts w:ascii="Arial" w:hAnsi="Arial" w:cs="Arial"/>
          <w:sz w:val="22"/>
          <w:szCs w:val="22"/>
        </w:rPr>
      </w:pPr>
      <w:r w:rsidRPr="00BD264E">
        <w:rPr>
          <w:rFonts w:ascii="Arial" w:hAnsi="Arial" w:cs="Arial"/>
          <w:sz w:val="22"/>
          <w:szCs w:val="22"/>
        </w:rPr>
        <w:t xml:space="preserve">This iterative process ensured that deductive categories provided an organising structure, while inductive insights preserved the authenticity and depth of </w:t>
      </w:r>
      <w:proofErr w:type="gramStart"/>
      <w:r w:rsidRPr="00BD264E">
        <w:rPr>
          <w:rFonts w:ascii="Arial" w:hAnsi="Arial" w:cs="Arial"/>
          <w:sz w:val="22"/>
          <w:szCs w:val="22"/>
        </w:rPr>
        <w:t>participants’</w:t>
      </w:r>
      <w:proofErr w:type="gramEnd"/>
      <w:r w:rsidRPr="00BD264E">
        <w:rPr>
          <w:rFonts w:ascii="Arial" w:hAnsi="Arial" w:cs="Arial"/>
          <w:sz w:val="22"/>
          <w:szCs w:val="22"/>
        </w:rPr>
        <w:t xml:space="preserve"> lived experiences.</w:t>
      </w:r>
    </w:p>
    <w:p w14:paraId="194691A9" w14:textId="77777777" w:rsidR="004F1E93" w:rsidRPr="00BD264E" w:rsidRDefault="004F1E93" w:rsidP="00BD264E">
      <w:pPr>
        <w:spacing w:line="480" w:lineRule="auto"/>
        <w:rPr>
          <w:rFonts w:ascii="Arial" w:hAnsi="Arial" w:cs="Arial"/>
          <w:sz w:val="22"/>
          <w:szCs w:val="22"/>
        </w:rPr>
      </w:pPr>
    </w:p>
    <w:sectPr w:rsidR="004F1E93" w:rsidRPr="00BD264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6919E" w14:textId="77777777" w:rsidR="00BD264E" w:rsidRDefault="00BD264E" w:rsidP="00BD264E">
      <w:pPr>
        <w:spacing w:line="240" w:lineRule="auto"/>
      </w:pPr>
      <w:r>
        <w:separator/>
      </w:r>
    </w:p>
  </w:endnote>
  <w:endnote w:type="continuationSeparator" w:id="0">
    <w:p w14:paraId="3D3D271D" w14:textId="77777777" w:rsidR="00BD264E" w:rsidRDefault="00BD264E" w:rsidP="00BD26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5ACE3" w14:textId="77777777" w:rsidR="003B6D2B" w:rsidRDefault="003B6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16DF" w14:textId="77777777" w:rsidR="003B6D2B" w:rsidRDefault="003B6D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B897" w14:textId="77777777" w:rsidR="003B6D2B" w:rsidRDefault="003B6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05890" w14:textId="77777777" w:rsidR="00BD264E" w:rsidRDefault="00BD264E" w:rsidP="00BD264E">
      <w:pPr>
        <w:spacing w:line="240" w:lineRule="auto"/>
      </w:pPr>
      <w:r>
        <w:separator/>
      </w:r>
    </w:p>
  </w:footnote>
  <w:footnote w:type="continuationSeparator" w:id="0">
    <w:p w14:paraId="66ADC677" w14:textId="77777777" w:rsidR="00BD264E" w:rsidRDefault="00BD264E" w:rsidP="00BD26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8108B" w14:textId="77777777" w:rsidR="003B6D2B" w:rsidRDefault="003B6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2DC39" w14:textId="77777777" w:rsidR="003B6D2B" w:rsidRDefault="003B6D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5F64B" w14:textId="77777777" w:rsidR="003B6D2B" w:rsidRDefault="003B6D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94B4B"/>
    <w:multiLevelType w:val="multilevel"/>
    <w:tmpl w:val="76E2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6362F4"/>
    <w:multiLevelType w:val="multilevel"/>
    <w:tmpl w:val="E610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5201960">
    <w:abstractNumId w:val="1"/>
  </w:num>
  <w:num w:numId="2" w16cid:durableId="500195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E93"/>
    <w:rsid w:val="000B6605"/>
    <w:rsid w:val="00206350"/>
    <w:rsid w:val="00243F28"/>
    <w:rsid w:val="00362235"/>
    <w:rsid w:val="003673D4"/>
    <w:rsid w:val="003B6D2B"/>
    <w:rsid w:val="004E45E3"/>
    <w:rsid w:val="004F1E93"/>
    <w:rsid w:val="00656123"/>
    <w:rsid w:val="007A4C46"/>
    <w:rsid w:val="0089501D"/>
    <w:rsid w:val="00A95CF1"/>
    <w:rsid w:val="00BD264E"/>
    <w:rsid w:val="00BF2CB8"/>
    <w:rsid w:val="00CA2946"/>
    <w:rsid w:val="00D10113"/>
    <w:rsid w:val="00E422AC"/>
    <w:rsid w:val="00EA2FC2"/>
    <w:rsid w:val="00F96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99A88"/>
  <w15:chartTrackingRefBased/>
  <w15:docId w15:val="{77866CF2-2B4C-437E-9D8A-990A51815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GB"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E422AC"/>
    <w:pPr>
      <w:keepNext/>
      <w:keepLines/>
      <w:spacing w:before="360" w:after="80"/>
      <w:outlineLvl w:val="0"/>
    </w:pPr>
    <w:rPr>
      <w:rFonts w:ascii="Arial" w:eastAsiaTheme="majorEastAsia" w:hAnsi="Arial" w:cstheme="majorBidi"/>
      <w:b/>
      <w:color w:val="000000" w:themeColor="text1"/>
      <w:sz w:val="22"/>
      <w:szCs w:val="40"/>
    </w:rPr>
  </w:style>
  <w:style w:type="paragraph" w:styleId="Heading2">
    <w:name w:val="heading 2"/>
    <w:basedOn w:val="Normal"/>
    <w:next w:val="Normal"/>
    <w:link w:val="Heading2Char"/>
    <w:autoRedefine/>
    <w:uiPriority w:val="9"/>
    <w:unhideWhenUsed/>
    <w:qFormat/>
    <w:rsid w:val="003673D4"/>
    <w:pPr>
      <w:keepNext/>
      <w:keepLines/>
      <w:spacing w:before="160" w:after="80"/>
      <w:outlineLvl w:val="1"/>
    </w:pPr>
    <w:rPr>
      <w:rFonts w:ascii="Arial" w:eastAsiaTheme="majorEastAsia" w:hAnsi="Arial" w:cstheme="majorBidi"/>
      <w:color w:val="000000" w:themeColor="text1"/>
      <w:sz w:val="22"/>
      <w:szCs w:val="32"/>
    </w:rPr>
  </w:style>
  <w:style w:type="paragraph" w:styleId="Heading3">
    <w:name w:val="heading 3"/>
    <w:basedOn w:val="Normal"/>
    <w:next w:val="Normal"/>
    <w:link w:val="Heading3Char"/>
    <w:uiPriority w:val="9"/>
    <w:semiHidden/>
    <w:unhideWhenUsed/>
    <w:qFormat/>
    <w:rsid w:val="004F1E9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E9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F1E9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F1E9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F1E9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F1E9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F1E9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73D4"/>
    <w:rPr>
      <w:rFonts w:ascii="Arial" w:eastAsiaTheme="majorEastAsia" w:hAnsi="Arial" w:cstheme="majorBidi"/>
      <w:color w:val="000000" w:themeColor="text1"/>
      <w:sz w:val="22"/>
      <w:szCs w:val="32"/>
    </w:rPr>
  </w:style>
  <w:style w:type="character" w:customStyle="1" w:styleId="Heading1Char">
    <w:name w:val="Heading 1 Char"/>
    <w:basedOn w:val="DefaultParagraphFont"/>
    <w:link w:val="Heading1"/>
    <w:uiPriority w:val="9"/>
    <w:rsid w:val="00E422AC"/>
    <w:rPr>
      <w:rFonts w:ascii="Arial" w:eastAsiaTheme="majorEastAsia" w:hAnsi="Arial" w:cstheme="majorBidi"/>
      <w:b/>
      <w:color w:val="000000" w:themeColor="text1"/>
      <w:sz w:val="22"/>
      <w:szCs w:val="40"/>
    </w:rPr>
  </w:style>
  <w:style w:type="character" w:customStyle="1" w:styleId="Heading3Char">
    <w:name w:val="Heading 3 Char"/>
    <w:basedOn w:val="DefaultParagraphFont"/>
    <w:link w:val="Heading3"/>
    <w:uiPriority w:val="9"/>
    <w:semiHidden/>
    <w:rsid w:val="004F1E9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E9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F1E9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F1E9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1E9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1E9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1E9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1E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E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E9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E9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1E9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1E93"/>
    <w:rPr>
      <w:i/>
      <w:iCs/>
      <w:color w:val="404040" w:themeColor="text1" w:themeTint="BF"/>
    </w:rPr>
  </w:style>
  <w:style w:type="paragraph" w:styleId="ListParagraph">
    <w:name w:val="List Paragraph"/>
    <w:basedOn w:val="Normal"/>
    <w:uiPriority w:val="34"/>
    <w:qFormat/>
    <w:rsid w:val="004F1E93"/>
    <w:pPr>
      <w:ind w:left="720"/>
      <w:contextualSpacing/>
    </w:pPr>
  </w:style>
  <w:style w:type="character" w:styleId="IntenseEmphasis">
    <w:name w:val="Intense Emphasis"/>
    <w:basedOn w:val="DefaultParagraphFont"/>
    <w:uiPriority w:val="21"/>
    <w:qFormat/>
    <w:rsid w:val="004F1E93"/>
    <w:rPr>
      <w:i/>
      <w:iCs/>
      <w:color w:val="0F4761" w:themeColor="accent1" w:themeShade="BF"/>
    </w:rPr>
  </w:style>
  <w:style w:type="paragraph" w:styleId="IntenseQuote">
    <w:name w:val="Intense Quote"/>
    <w:basedOn w:val="Normal"/>
    <w:next w:val="Normal"/>
    <w:link w:val="IntenseQuoteChar"/>
    <w:uiPriority w:val="30"/>
    <w:qFormat/>
    <w:rsid w:val="004F1E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E93"/>
    <w:rPr>
      <w:i/>
      <w:iCs/>
      <w:color w:val="0F4761" w:themeColor="accent1" w:themeShade="BF"/>
    </w:rPr>
  </w:style>
  <w:style w:type="character" w:styleId="IntenseReference">
    <w:name w:val="Intense Reference"/>
    <w:basedOn w:val="DefaultParagraphFont"/>
    <w:uiPriority w:val="32"/>
    <w:qFormat/>
    <w:rsid w:val="004F1E93"/>
    <w:rPr>
      <w:b/>
      <w:bCs/>
      <w:smallCaps/>
      <w:color w:val="0F4761" w:themeColor="accent1" w:themeShade="BF"/>
      <w:spacing w:val="5"/>
    </w:rPr>
  </w:style>
  <w:style w:type="paragraph" w:styleId="EndnoteText">
    <w:name w:val="endnote text"/>
    <w:basedOn w:val="Normal"/>
    <w:link w:val="EndnoteTextChar"/>
    <w:uiPriority w:val="99"/>
    <w:semiHidden/>
    <w:unhideWhenUsed/>
    <w:rsid w:val="00BD264E"/>
    <w:pPr>
      <w:spacing w:line="240" w:lineRule="auto"/>
    </w:pPr>
    <w:rPr>
      <w:sz w:val="20"/>
      <w:szCs w:val="20"/>
    </w:rPr>
  </w:style>
  <w:style w:type="character" w:customStyle="1" w:styleId="EndnoteTextChar">
    <w:name w:val="Endnote Text Char"/>
    <w:basedOn w:val="DefaultParagraphFont"/>
    <w:link w:val="EndnoteText"/>
    <w:uiPriority w:val="99"/>
    <w:semiHidden/>
    <w:rsid w:val="00BD264E"/>
    <w:rPr>
      <w:sz w:val="20"/>
      <w:szCs w:val="20"/>
    </w:rPr>
  </w:style>
  <w:style w:type="character" w:styleId="EndnoteReference">
    <w:name w:val="endnote reference"/>
    <w:basedOn w:val="DefaultParagraphFont"/>
    <w:uiPriority w:val="99"/>
    <w:semiHidden/>
    <w:unhideWhenUsed/>
    <w:rsid w:val="00BD264E"/>
    <w:rPr>
      <w:vertAlign w:val="superscript"/>
    </w:rPr>
  </w:style>
  <w:style w:type="paragraph" w:styleId="Header">
    <w:name w:val="header"/>
    <w:basedOn w:val="Normal"/>
    <w:link w:val="HeaderChar"/>
    <w:uiPriority w:val="99"/>
    <w:unhideWhenUsed/>
    <w:rsid w:val="003B6D2B"/>
    <w:pPr>
      <w:tabs>
        <w:tab w:val="center" w:pos="4513"/>
        <w:tab w:val="right" w:pos="9026"/>
      </w:tabs>
      <w:spacing w:line="240" w:lineRule="auto"/>
    </w:pPr>
  </w:style>
  <w:style w:type="character" w:customStyle="1" w:styleId="HeaderChar">
    <w:name w:val="Header Char"/>
    <w:basedOn w:val="DefaultParagraphFont"/>
    <w:link w:val="Header"/>
    <w:uiPriority w:val="99"/>
    <w:rsid w:val="003B6D2B"/>
  </w:style>
  <w:style w:type="paragraph" w:styleId="Footer">
    <w:name w:val="footer"/>
    <w:basedOn w:val="Normal"/>
    <w:link w:val="FooterChar"/>
    <w:uiPriority w:val="99"/>
    <w:unhideWhenUsed/>
    <w:rsid w:val="003B6D2B"/>
    <w:pPr>
      <w:tabs>
        <w:tab w:val="center" w:pos="4513"/>
        <w:tab w:val="right" w:pos="9026"/>
      </w:tabs>
      <w:spacing w:line="240" w:lineRule="auto"/>
    </w:pPr>
  </w:style>
  <w:style w:type="character" w:customStyle="1" w:styleId="FooterChar">
    <w:name w:val="Footer Char"/>
    <w:basedOn w:val="DefaultParagraphFont"/>
    <w:link w:val="Footer"/>
    <w:uiPriority w:val="99"/>
    <w:rsid w:val="003B6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1BC00-FDF4-4230-8F51-860CF745D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673</Words>
  <Characters>3839</Characters>
  <Application>Microsoft Office Word</Application>
  <DocSecurity>0</DocSecurity>
  <Lines>31</Lines>
  <Paragraphs>9</Paragraphs>
  <ScaleCrop>false</ScaleCrop>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Devashish Ray</dc:creator>
  <cp:keywords/>
  <dc:description/>
  <cp:lastModifiedBy>Devashish Ray</cp:lastModifiedBy>
  <dcterms:created xsi:type="dcterms:W3CDTF">2026-03-13T19:08:00Z</dcterms:created>
  <dcterms:modified xsi:type="dcterms:W3CDTF">2026-03-15T20:55:00Z</dcterms:modified>
</cp:coreProperties>
</file>