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A9D54" w14:textId="53CB6778" w:rsidR="009C5332" w:rsidRPr="009C5332" w:rsidRDefault="009C5332" w:rsidP="009C5332">
      <w:pPr>
        <w:pStyle w:val="FirstParagraph"/>
        <w:spacing w:line="276" w:lineRule="auto"/>
        <w:jc w:val="center"/>
        <w:rPr>
          <w:rFonts w:asciiTheme="majorBidi" w:hAnsiTheme="majorBidi" w:cstheme="majorBidi"/>
          <w:b/>
          <w:bCs/>
          <w:color w:val="000000" w:themeColor="text1"/>
        </w:rPr>
      </w:pPr>
      <w:r w:rsidRPr="009C5332">
        <w:rPr>
          <w:rFonts w:asciiTheme="majorBidi" w:hAnsiTheme="majorBidi" w:cstheme="majorBidi"/>
          <w:b/>
          <w:bCs/>
          <w:color w:val="000000" w:themeColor="text1"/>
        </w:rPr>
        <w:t>SUPPLEMENTARY MATERIAL</w:t>
      </w:r>
    </w:p>
    <w:p w14:paraId="42ED009F" w14:textId="07253CD0" w:rsidR="009C5332" w:rsidRDefault="009C5332" w:rsidP="009C5332">
      <w:pPr>
        <w:pStyle w:val="FirstParagraph"/>
        <w:spacing w:line="276" w:lineRule="auto"/>
        <w:jc w:val="both"/>
        <w:rPr>
          <w:rFonts w:asciiTheme="majorBidi" w:hAnsiTheme="majorBidi" w:cstheme="majorBidi"/>
          <w:color w:val="000000" w:themeColor="text1"/>
          <w:sz w:val="22"/>
          <w:szCs w:val="22"/>
        </w:rPr>
      </w:pPr>
      <w:r>
        <w:rPr>
          <w:rFonts w:asciiTheme="majorBidi" w:hAnsiTheme="majorBidi" w:cstheme="majorBidi"/>
          <w:b/>
          <w:bCs/>
          <w:color w:val="000000" w:themeColor="text1"/>
          <w:sz w:val="22"/>
          <w:szCs w:val="22"/>
        </w:rPr>
        <w:t>Supplemental Table S1.</w:t>
      </w:r>
      <w:r>
        <w:rPr>
          <w:rFonts w:asciiTheme="majorBidi" w:hAnsiTheme="majorBidi" w:cstheme="majorBidi"/>
          <w:color w:val="000000" w:themeColor="text1"/>
          <w:sz w:val="22"/>
          <w:szCs w:val="22"/>
        </w:rPr>
        <w:t xml:space="preserve"> Strategic action schedule: clinical and environmental intervention milestones (2014-2026).</w:t>
      </w:r>
    </w:p>
    <w:p w14:paraId="193D9ED8" w14:textId="77777777" w:rsidR="009C5332" w:rsidRDefault="009C5332" w:rsidP="009C5332">
      <w:pPr>
        <w:pStyle w:val="BodyText"/>
        <w:spacing w:line="276" w:lineRule="auto"/>
        <w:jc w:val="both"/>
        <w:rPr>
          <w:rFonts w:asciiTheme="majorBidi" w:hAnsiTheme="majorBidi" w:cstheme="majorBidi"/>
          <w:color w:val="000000" w:themeColor="text1"/>
          <w:sz w:val="22"/>
          <w:szCs w:val="22"/>
        </w:rPr>
      </w:pPr>
      <w:r>
        <w:rPr>
          <w:rFonts w:asciiTheme="majorBidi" w:hAnsiTheme="majorBidi" w:cstheme="majorBidi"/>
          <w:b/>
          <w:bCs/>
          <w:color w:val="000000" w:themeColor="text1"/>
          <w:sz w:val="22"/>
          <w:szCs w:val="22"/>
        </w:rPr>
        <w:t>Supplemental Table S2.</w:t>
      </w:r>
      <w:r>
        <w:rPr>
          <w:rFonts w:asciiTheme="majorBidi" w:hAnsiTheme="majorBidi" w:cstheme="majorBidi"/>
          <w:color w:val="000000" w:themeColor="text1"/>
          <w:sz w:val="22"/>
          <w:szCs w:val="22"/>
        </w:rPr>
        <w:t xml:space="preserve"> Implementation barriers encountered and adaptations applied, by domain.</w:t>
      </w:r>
    </w:p>
    <w:p w14:paraId="6C038F18" w14:textId="77777777" w:rsidR="009C5332" w:rsidRDefault="009C5332" w:rsidP="009C5332">
      <w:pPr>
        <w:pStyle w:val="BodyText"/>
        <w:spacing w:line="276" w:lineRule="auto"/>
        <w:jc w:val="both"/>
        <w:rPr>
          <w:rFonts w:asciiTheme="majorBidi" w:hAnsiTheme="majorBidi" w:cstheme="majorBidi"/>
          <w:color w:val="000000" w:themeColor="text1"/>
          <w:sz w:val="22"/>
          <w:szCs w:val="22"/>
        </w:rPr>
      </w:pPr>
      <w:r>
        <w:rPr>
          <w:rFonts w:asciiTheme="majorBidi" w:hAnsiTheme="majorBidi" w:cstheme="majorBidi"/>
          <w:b/>
          <w:bCs/>
          <w:color w:val="000000" w:themeColor="text1"/>
          <w:sz w:val="22"/>
          <w:szCs w:val="22"/>
        </w:rPr>
        <w:t>Supplemental Table S3.</w:t>
      </w:r>
      <w:r>
        <w:rPr>
          <w:rFonts w:asciiTheme="majorBidi" w:hAnsiTheme="majorBidi" w:cstheme="majorBidi"/>
          <w:color w:val="000000" w:themeColor="text1"/>
          <w:sz w:val="22"/>
          <w:szCs w:val="22"/>
        </w:rPr>
        <w:t xml:space="preserve"> </w:t>
      </w:r>
      <w:r w:rsidRPr="00F64E62">
        <w:rPr>
          <w:rFonts w:asciiTheme="majorBidi" w:hAnsiTheme="majorBidi" w:cstheme="majorBidi"/>
          <w:color w:val="000000" w:themeColor="text1"/>
          <w:sz w:val="22"/>
          <w:szCs w:val="22"/>
        </w:rPr>
        <w:t>Workforce, Capacity, Training and Education Indicators (2015-2025)</w:t>
      </w:r>
    </w:p>
    <w:p w14:paraId="5F95889F" w14:textId="77777777" w:rsidR="009C5332" w:rsidRDefault="009C5332" w:rsidP="009C5332">
      <w:pPr>
        <w:pStyle w:val="BodyText"/>
        <w:spacing w:line="276" w:lineRule="auto"/>
        <w:jc w:val="both"/>
        <w:rPr>
          <w:rFonts w:asciiTheme="majorBidi" w:hAnsiTheme="majorBidi" w:cstheme="majorBidi"/>
          <w:color w:val="000000" w:themeColor="text1"/>
          <w:sz w:val="22"/>
          <w:szCs w:val="22"/>
        </w:rPr>
      </w:pPr>
      <w:r>
        <w:rPr>
          <w:rFonts w:asciiTheme="majorBidi" w:hAnsiTheme="majorBidi" w:cstheme="majorBidi"/>
          <w:b/>
          <w:bCs/>
          <w:color w:val="000000" w:themeColor="text1"/>
          <w:sz w:val="22"/>
          <w:szCs w:val="22"/>
        </w:rPr>
        <w:t>Supplemental Figure S1.</w:t>
      </w:r>
      <w:r>
        <w:rPr>
          <w:rFonts w:asciiTheme="majorBidi" w:hAnsiTheme="majorBidi" w:cstheme="majorBidi"/>
          <w:color w:val="000000" w:themeColor="text1"/>
          <w:sz w:val="22"/>
          <w:szCs w:val="22"/>
        </w:rPr>
        <w:t xml:space="preserve"> Kaizen/PDCA framework for continuous improvement in asthma services.</w:t>
      </w:r>
    </w:p>
    <w:p w14:paraId="06A7342D" w14:textId="77777777" w:rsidR="009C5332" w:rsidRDefault="009C5332" w:rsidP="009C5332">
      <w:pPr>
        <w:pStyle w:val="BodyText"/>
        <w:spacing w:line="276" w:lineRule="auto"/>
        <w:jc w:val="both"/>
        <w:rPr>
          <w:rFonts w:asciiTheme="majorBidi" w:hAnsiTheme="majorBidi" w:cstheme="majorBidi"/>
          <w:color w:val="000000" w:themeColor="text1"/>
          <w:sz w:val="22"/>
          <w:szCs w:val="22"/>
        </w:rPr>
      </w:pPr>
      <w:r>
        <w:rPr>
          <w:rFonts w:asciiTheme="majorBidi" w:hAnsiTheme="majorBidi" w:cstheme="majorBidi"/>
          <w:b/>
          <w:bCs/>
          <w:color w:val="000000" w:themeColor="text1"/>
          <w:sz w:val="22"/>
          <w:szCs w:val="22"/>
        </w:rPr>
        <w:t>Supplemental Figure S2.</w:t>
      </w:r>
      <w:r>
        <w:rPr>
          <w:rFonts w:asciiTheme="majorBidi" w:hAnsiTheme="majorBidi" w:cstheme="majorBidi"/>
          <w:color w:val="000000" w:themeColor="text1"/>
          <w:sz w:val="22"/>
          <w:szCs w:val="22"/>
        </w:rPr>
        <w:t xml:space="preserve"> Traffic redesign schematic: 4th Ring Road underpass and traffic redirection.</w:t>
      </w:r>
    </w:p>
    <w:p w14:paraId="578951DA" w14:textId="77777777" w:rsidR="009C5332" w:rsidRDefault="009C5332" w:rsidP="009C5332">
      <w:pPr>
        <w:spacing w:after="0"/>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br w:type="page"/>
      </w:r>
    </w:p>
    <w:tbl>
      <w:tblPr>
        <w:tblStyle w:val="TableGrid"/>
        <w:tblpPr w:leftFromText="180" w:rightFromText="180" w:vertAnchor="page" w:horzAnchor="margin" w:tblpY="2351"/>
        <w:tblW w:w="9100" w:type="dxa"/>
        <w:tblBorders>
          <w:top w:val="none" w:sz="0" w:space="0" w:color="auto"/>
          <w:left w:val="none" w:sz="0" w:space="0" w:color="auto"/>
          <w:bottom w:val="none" w:sz="0" w:space="0" w:color="auto"/>
          <w:right w:val="none" w:sz="0" w:space="0" w:color="auto"/>
          <w:insideV w:val="none" w:sz="0" w:space="0" w:color="auto"/>
        </w:tblBorders>
        <w:tblLook w:val="0000" w:firstRow="0" w:lastRow="0" w:firstColumn="0" w:lastColumn="0" w:noHBand="0" w:noVBand="0"/>
      </w:tblPr>
      <w:tblGrid>
        <w:gridCol w:w="1312"/>
        <w:gridCol w:w="3200"/>
        <w:gridCol w:w="1631"/>
        <w:gridCol w:w="1472"/>
        <w:gridCol w:w="1485"/>
      </w:tblGrid>
      <w:tr w:rsidR="009C5332" w:rsidRPr="006736DD" w14:paraId="0D4B11AB" w14:textId="77777777" w:rsidTr="00F0373D">
        <w:tc>
          <w:tcPr>
            <w:tcW w:w="1312" w:type="dxa"/>
            <w:vAlign w:val="center"/>
          </w:tcPr>
          <w:p w14:paraId="4A15F82E"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8"/>
                <w:szCs w:val="18"/>
              </w:rPr>
              <w:lastRenderedPageBreak/>
              <w:t>Intervention Domain</w:t>
            </w:r>
          </w:p>
        </w:tc>
        <w:tc>
          <w:tcPr>
            <w:tcW w:w="2599" w:type="dxa"/>
            <w:vAlign w:val="center"/>
          </w:tcPr>
          <w:p w14:paraId="47DECA56"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8"/>
                <w:szCs w:val="18"/>
              </w:rPr>
              <w:t>Action</w:t>
            </w:r>
          </w:p>
        </w:tc>
        <w:tc>
          <w:tcPr>
            <w:tcW w:w="1856" w:type="dxa"/>
            <w:vAlign w:val="center"/>
          </w:tcPr>
          <w:p w14:paraId="490525F9"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8"/>
                <w:szCs w:val="18"/>
              </w:rPr>
              <w:t>Timeline</w:t>
            </w:r>
          </w:p>
        </w:tc>
        <w:tc>
          <w:tcPr>
            <w:tcW w:w="1596" w:type="dxa"/>
            <w:vAlign w:val="center"/>
          </w:tcPr>
          <w:p w14:paraId="658EAE67"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8"/>
                <w:szCs w:val="18"/>
              </w:rPr>
              <w:t>Status</w:t>
            </w:r>
          </w:p>
        </w:tc>
        <w:tc>
          <w:tcPr>
            <w:tcW w:w="1737" w:type="dxa"/>
            <w:vAlign w:val="center"/>
          </w:tcPr>
          <w:p w14:paraId="2DC5834E"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8"/>
                <w:szCs w:val="18"/>
              </w:rPr>
              <w:t>Responsible Parties</w:t>
            </w:r>
          </w:p>
        </w:tc>
      </w:tr>
      <w:tr w:rsidR="009C5332" w:rsidRPr="006736DD" w14:paraId="15B775AC" w14:textId="77777777" w:rsidTr="00F0373D">
        <w:tc>
          <w:tcPr>
            <w:tcW w:w="1312" w:type="dxa"/>
            <w:vMerge w:val="restart"/>
            <w:vAlign w:val="center"/>
          </w:tcPr>
          <w:p w14:paraId="13F187CB"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7"/>
                <w:szCs w:val="17"/>
              </w:rPr>
              <w:t>Clinical Care Improvement</w:t>
            </w:r>
          </w:p>
        </w:tc>
        <w:tc>
          <w:tcPr>
            <w:tcW w:w="0" w:type="auto"/>
          </w:tcPr>
          <w:p w14:paraId="33F332D7"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Expand controller formulary: add inhaled combination therapies previously hospital-only; introduce spacer devices on-site (pre-2014 formulary: Ventolin, beclomethasone inhaler, montelukast)</w:t>
            </w:r>
          </w:p>
        </w:tc>
        <w:tc>
          <w:tcPr>
            <w:tcW w:w="0" w:type="auto"/>
          </w:tcPr>
          <w:p w14:paraId="13F22F82"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2014–2015</w:t>
            </w:r>
          </w:p>
        </w:tc>
        <w:tc>
          <w:tcPr>
            <w:tcW w:w="0" w:type="auto"/>
          </w:tcPr>
          <w:p w14:paraId="4D155A0E"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w:t>
            </w:r>
          </w:p>
        </w:tc>
        <w:tc>
          <w:tcPr>
            <w:tcW w:w="0" w:type="auto"/>
          </w:tcPr>
          <w:p w14:paraId="472C9E0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Family Medicine Dept; PHC Management</w:t>
            </w:r>
          </w:p>
        </w:tc>
      </w:tr>
      <w:tr w:rsidR="009C5332" w:rsidRPr="006736DD" w14:paraId="57A31CD0" w14:textId="77777777" w:rsidTr="00F0373D">
        <w:tc>
          <w:tcPr>
            <w:tcW w:w="1312" w:type="dxa"/>
            <w:vMerge/>
          </w:tcPr>
          <w:p w14:paraId="3A29F604" w14:textId="77777777" w:rsidR="009C5332" w:rsidRPr="006736DD" w:rsidRDefault="009C5332" w:rsidP="00F0373D">
            <w:pPr>
              <w:rPr>
                <w:rFonts w:asciiTheme="majorBidi" w:hAnsiTheme="majorBidi" w:cstheme="majorBidi"/>
              </w:rPr>
            </w:pPr>
          </w:p>
        </w:tc>
        <w:tc>
          <w:tcPr>
            <w:tcW w:w="0" w:type="auto"/>
          </w:tcPr>
          <w:p w14:paraId="76CFC992"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Replace outdated asthma protocol with current GINA-aligned version; second revision in 2019 incorporated the GINA 2019 anti-SABA-only recommendation</w:t>
            </w:r>
          </w:p>
        </w:tc>
        <w:tc>
          <w:tcPr>
            <w:tcW w:w="0" w:type="auto"/>
          </w:tcPr>
          <w:p w14:paraId="1C74E93E"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2015; revised 2019</w:t>
            </w:r>
          </w:p>
        </w:tc>
        <w:tc>
          <w:tcPr>
            <w:tcW w:w="0" w:type="auto"/>
          </w:tcPr>
          <w:p w14:paraId="4C24A519"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w:t>
            </w:r>
          </w:p>
        </w:tc>
        <w:tc>
          <w:tcPr>
            <w:tcW w:w="0" w:type="auto"/>
          </w:tcPr>
          <w:p w14:paraId="34DE850D"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Clinical Quality Committee</w:t>
            </w:r>
          </w:p>
        </w:tc>
      </w:tr>
      <w:tr w:rsidR="009C5332" w:rsidRPr="006736DD" w14:paraId="0FC949A3" w14:textId="77777777" w:rsidTr="00F0373D">
        <w:tc>
          <w:tcPr>
            <w:tcW w:w="1312" w:type="dxa"/>
            <w:vMerge/>
          </w:tcPr>
          <w:p w14:paraId="27953048" w14:textId="77777777" w:rsidR="009C5332" w:rsidRPr="006736DD" w:rsidRDefault="009C5332" w:rsidP="00F0373D">
            <w:pPr>
              <w:rPr>
                <w:rFonts w:asciiTheme="majorBidi" w:hAnsiTheme="majorBidi" w:cstheme="majorBidi"/>
              </w:rPr>
            </w:pPr>
          </w:p>
        </w:tc>
        <w:tc>
          <w:tcPr>
            <w:tcW w:w="0" w:type="auto"/>
          </w:tcPr>
          <w:p w14:paraId="2169F00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Deploy spirometry (PFT): first device community-donated (2015); MoH added 2 units — 1 portable + 1 desktop (2016); staff training in use and interpretation</w:t>
            </w:r>
          </w:p>
        </w:tc>
        <w:tc>
          <w:tcPr>
            <w:tcW w:w="0" w:type="auto"/>
          </w:tcPr>
          <w:p w14:paraId="782A2D62"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2015-2016</w:t>
            </w:r>
          </w:p>
        </w:tc>
        <w:tc>
          <w:tcPr>
            <w:tcW w:w="0" w:type="auto"/>
          </w:tcPr>
          <w:p w14:paraId="051BF793"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w:t>
            </w:r>
          </w:p>
        </w:tc>
        <w:tc>
          <w:tcPr>
            <w:tcW w:w="0" w:type="auto"/>
          </w:tcPr>
          <w:p w14:paraId="1CF57655"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Family Medicine Dept; CME Unit</w:t>
            </w:r>
          </w:p>
        </w:tc>
      </w:tr>
      <w:tr w:rsidR="009C5332" w:rsidRPr="006736DD" w14:paraId="239A9F2A" w14:textId="77777777" w:rsidTr="00F0373D">
        <w:tc>
          <w:tcPr>
            <w:tcW w:w="1312" w:type="dxa"/>
            <w:vMerge/>
          </w:tcPr>
          <w:p w14:paraId="381AB2E1" w14:textId="77777777" w:rsidR="009C5332" w:rsidRPr="006736DD" w:rsidRDefault="009C5332" w:rsidP="00F0373D">
            <w:pPr>
              <w:rPr>
                <w:rFonts w:asciiTheme="majorBidi" w:hAnsiTheme="majorBidi" w:cstheme="majorBidi"/>
              </w:rPr>
            </w:pPr>
          </w:p>
        </w:tc>
        <w:tc>
          <w:tcPr>
            <w:tcW w:w="0" w:type="auto"/>
          </w:tcPr>
          <w:p w14:paraId="734D3235"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CME-accredited workshops: spirometry, inhaler technique, patient education</w:t>
            </w:r>
          </w:p>
        </w:tc>
        <w:tc>
          <w:tcPr>
            <w:tcW w:w="0" w:type="auto"/>
          </w:tcPr>
          <w:p w14:paraId="738C1E9A"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Annual; refresher courses</w:t>
            </w:r>
          </w:p>
        </w:tc>
        <w:tc>
          <w:tcPr>
            <w:tcW w:w="0" w:type="auto"/>
          </w:tcPr>
          <w:p w14:paraId="617EE3D1"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 ONGOING</w:t>
            </w:r>
          </w:p>
        </w:tc>
        <w:tc>
          <w:tcPr>
            <w:tcW w:w="0" w:type="auto"/>
          </w:tcPr>
          <w:p w14:paraId="5BF6BC17"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CME Unit; Family Medicine</w:t>
            </w:r>
          </w:p>
        </w:tc>
      </w:tr>
      <w:tr w:rsidR="009C5332" w:rsidRPr="006736DD" w14:paraId="6218537E" w14:textId="77777777" w:rsidTr="00F0373D">
        <w:tc>
          <w:tcPr>
            <w:tcW w:w="1312" w:type="dxa"/>
            <w:vMerge/>
          </w:tcPr>
          <w:p w14:paraId="7DD8DBCE" w14:textId="77777777" w:rsidR="009C5332" w:rsidRPr="006736DD" w:rsidRDefault="009C5332" w:rsidP="00F0373D">
            <w:pPr>
              <w:rPr>
                <w:rFonts w:asciiTheme="majorBidi" w:hAnsiTheme="majorBidi" w:cstheme="majorBidi"/>
              </w:rPr>
            </w:pPr>
          </w:p>
        </w:tc>
        <w:tc>
          <w:tcPr>
            <w:tcW w:w="0" w:type="auto"/>
          </w:tcPr>
          <w:p w14:paraId="03756DF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Establish electronic asthma registry linked to PCI monthly reporting</w:t>
            </w:r>
          </w:p>
        </w:tc>
        <w:tc>
          <w:tcPr>
            <w:tcW w:w="0" w:type="auto"/>
          </w:tcPr>
          <w:p w14:paraId="4B08676F"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2015</w:t>
            </w:r>
          </w:p>
        </w:tc>
        <w:tc>
          <w:tcPr>
            <w:tcW w:w="0" w:type="auto"/>
          </w:tcPr>
          <w:p w14:paraId="1C74EAD6"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w:t>
            </w:r>
          </w:p>
        </w:tc>
        <w:tc>
          <w:tcPr>
            <w:tcW w:w="0" w:type="auto"/>
          </w:tcPr>
          <w:p w14:paraId="4C61E19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Health IT; Clinical team</w:t>
            </w:r>
          </w:p>
        </w:tc>
      </w:tr>
      <w:tr w:rsidR="009C5332" w:rsidRPr="006736DD" w14:paraId="13FD91EF" w14:textId="77777777" w:rsidTr="00F0373D">
        <w:tc>
          <w:tcPr>
            <w:tcW w:w="1312" w:type="dxa"/>
            <w:vMerge/>
          </w:tcPr>
          <w:p w14:paraId="5A47E95B" w14:textId="77777777" w:rsidR="009C5332" w:rsidRPr="006736DD" w:rsidRDefault="009C5332" w:rsidP="00F0373D">
            <w:pPr>
              <w:rPr>
                <w:rFonts w:asciiTheme="majorBidi" w:hAnsiTheme="majorBidi" w:cstheme="majorBidi"/>
              </w:rPr>
            </w:pPr>
          </w:p>
        </w:tc>
        <w:tc>
          <w:tcPr>
            <w:tcW w:w="0" w:type="auto"/>
          </w:tcPr>
          <w:p w14:paraId="13D02712"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Apply Kaizen/PDCA cycles: monthly QI team reviews</w:t>
            </w:r>
          </w:p>
        </w:tc>
        <w:tc>
          <w:tcPr>
            <w:tcW w:w="0" w:type="auto"/>
          </w:tcPr>
          <w:p w14:paraId="33779D4E"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From month 4; every 6 months</w:t>
            </w:r>
          </w:p>
        </w:tc>
        <w:tc>
          <w:tcPr>
            <w:tcW w:w="0" w:type="auto"/>
          </w:tcPr>
          <w:p w14:paraId="0EDA82EB"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ONGOING</w:t>
            </w:r>
          </w:p>
        </w:tc>
        <w:tc>
          <w:tcPr>
            <w:tcW w:w="0" w:type="auto"/>
          </w:tcPr>
          <w:p w14:paraId="6FDD3315"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QI team; All clinical staff</w:t>
            </w:r>
          </w:p>
        </w:tc>
      </w:tr>
      <w:tr w:rsidR="009C5332" w:rsidRPr="006736DD" w14:paraId="67067E07" w14:textId="77777777" w:rsidTr="00F0373D">
        <w:tc>
          <w:tcPr>
            <w:tcW w:w="1312" w:type="dxa"/>
            <w:vMerge w:val="restart"/>
            <w:vAlign w:val="center"/>
          </w:tcPr>
          <w:p w14:paraId="01D4477C"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7"/>
                <w:szCs w:val="17"/>
              </w:rPr>
              <w:t>Environmental Health Integration</w:t>
            </w:r>
          </w:p>
        </w:tc>
        <w:tc>
          <w:tcPr>
            <w:tcW w:w="0" w:type="auto"/>
          </w:tcPr>
          <w:p w14:paraId="47C7025D"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4th Ring Road underpass: traffic redirection from clinic zone</w:t>
            </w:r>
          </w:p>
        </w:tc>
        <w:tc>
          <w:tcPr>
            <w:tcW w:w="0" w:type="auto"/>
          </w:tcPr>
          <w:p w14:paraId="38B28AF8"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2015</w:t>
            </w:r>
          </w:p>
        </w:tc>
        <w:tc>
          <w:tcPr>
            <w:tcW w:w="0" w:type="auto"/>
          </w:tcPr>
          <w:p w14:paraId="348A2D20"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w:t>
            </w:r>
          </w:p>
        </w:tc>
        <w:tc>
          <w:tcPr>
            <w:tcW w:w="0" w:type="auto"/>
          </w:tcPr>
          <w:p w14:paraId="33F20715"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Municipality; Ministry of Public Works</w:t>
            </w:r>
          </w:p>
        </w:tc>
      </w:tr>
      <w:tr w:rsidR="009C5332" w:rsidRPr="006736DD" w14:paraId="5027C487" w14:textId="77777777" w:rsidTr="00F0373D">
        <w:tc>
          <w:tcPr>
            <w:tcW w:w="1312" w:type="dxa"/>
            <w:vMerge/>
          </w:tcPr>
          <w:p w14:paraId="7F1DC4BB" w14:textId="77777777" w:rsidR="009C5332" w:rsidRPr="006736DD" w:rsidRDefault="009C5332" w:rsidP="00F0373D">
            <w:pPr>
              <w:rPr>
                <w:rFonts w:asciiTheme="majorBidi" w:hAnsiTheme="majorBidi" w:cstheme="majorBidi"/>
              </w:rPr>
            </w:pPr>
          </w:p>
        </w:tc>
        <w:tc>
          <w:tcPr>
            <w:tcW w:w="0" w:type="auto"/>
          </w:tcPr>
          <w:p w14:paraId="3411333E"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Green space expansion within Yarmouk catchment area</w:t>
            </w:r>
          </w:p>
        </w:tc>
        <w:tc>
          <w:tcPr>
            <w:tcW w:w="0" w:type="auto"/>
          </w:tcPr>
          <w:p w14:paraId="12E7AE5D"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2015-2019</w:t>
            </w:r>
          </w:p>
        </w:tc>
        <w:tc>
          <w:tcPr>
            <w:tcW w:w="0" w:type="auto"/>
          </w:tcPr>
          <w:p w14:paraId="5D18DB48"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COMPLETED</w:t>
            </w:r>
          </w:p>
        </w:tc>
        <w:tc>
          <w:tcPr>
            <w:tcW w:w="0" w:type="auto"/>
          </w:tcPr>
          <w:p w14:paraId="1DA14D86"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Municipality; WHO Healthy City</w:t>
            </w:r>
          </w:p>
        </w:tc>
      </w:tr>
      <w:tr w:rsidR="009C5332" w:rsidRPr="006736DD" w14:paraId="29132C1B" w14:textId="77777777" w:rsidTr="00F0373D">
        <w:tc>
          <w:tcPr>
            <w:tcW w:w="1312" w:type="dxa"/>
            <w:vMerge/>
          </w:tcPr>
          <w:p w14:paraId="20AB4763" w14:textId="77777777" w:rsidR="009C5332" w:rsidRPr="006736DD" w:rsidRDefault="009C5332" w:rsidP="00F0373D">
            <w:pPr>
              <w:rPr>
                <w:rFonts w:asciiTheme="majorBidi" w:hAnsiTheme="majorBidi" w:cstheme="majorBidi"/>
              </w:rPr>
            </w:pPr>
          </w:p>
        </w:tc>
        <w:tc>
          <w:tcPr>
            <w:tcW w:w="0" w:type="auto"/>
          </w:tcPr>
          <w:p w14:paraId="65DE5A5C"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Integrate AQ monitoring data with clinical asthma records</w:t>
            </w:r>
          </w:p>
        </w:tc>
        <w:tc>
          <w:tcPr>
            <w:tcW w:w="0" w:type="auto"/>
          </w:tcPr>
          <w:p w14:paraId="1E3D5A82"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Periodic 2014-2018; continuous from 2022</w:t>
            </w:r>
          </w:p>
        </w:tc>
        <w:tc>
          <w:tcPr>
            <w:tcW w:w="0" w:type="auto"/>
          </w:tcPr>
          <w:p w14:paraId="32C5F3F6" w14:textId="77777777" w:rsidR="009C5332" w:rsidRPr="006736DD" w:rsidRDefault="009C5332" w:rsidP="00F0373D">
            <w:pPr>
              <w:jc w:val="center"/>
              <w:rPr>
                <w:rFonts w:asciiTheme="majorBidi" w:hAnsiTheme="majorBidi" w:cstheme="majorBidi"/>
                <w:sz w:val="16"/>
                <w:szCs w:val="16"/>
              </w:rPr>
            </w:pPr>
            <w:proofErr w:type="gramStart"/>
            <w:r>
              <w:rPr>
                <w:rFonts w:asciiTheme="majorBidi" w:hAnsiTheme="majorBidi" w:cstheme="majorBidi"/>
                <w:b/>
                <w:bCs/>
                <w:sz w:val="16"/>
                <w:szCs w:val="16"/>
              </w:rPr>
              <w:t>COMPLETED;</w:t>
            </w:r>
            <w:proofErr w:type="gramEnd"/>
            <w:r>
              <w:rPr>
                <w:rFonts w:asciiTheme="majorBidi" w:hAnsiTheme="majorBidi" w:cstheme="majorBidi"/>
                <w:b/>
                <w:bCs/>
                <w:sz w:val="16"/>
                <w:szCs w:val="16"/>
              </w:rPr>
              <w:t xml:space="preserve"> EXPANDING</w:t>
            </w:r>
          </w:p>
        </w:tc>
        <w:tc>
          <w:tcPr>
            <w:tcW w:w="0" w:type="auto"/>
          </w:tcPr>
          <w:p w14:paraId="6F2CE9D3"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Health IT; Env. Public Authority</w:t>
            </w:r>
          </w:p>
        </w:tc>
      </w:tr>
      <w:tr w:rsidR="009C5332" w:rsidRPr="006736DD" w14:paraId="31EBA7AC" w14:textId="77777777" w:rsidTr="00F0373D">
        <w:tc>
          <w:tcPr>
            <w:tcW w:w="1312" w:type="dxa"/>
            <w:vMerge/>
            <w:tcBorders>
              <w:bottom w:val="single" w:sz="4" w:space="0" w:color="auto"/>
            </w:tcBorders>
          </w:tcPr>
          <w:p w14:paraId="5F8FC33A" w14:textId="77777777" w:rsidR="009C5332" w:rsidRPr="006736DD" w:rsidRDefault="009C5332" w:rsidP="00F0373D">
            <w:pPr>
              <w:rPr>
                <w:rFonts w:asciiTheme="majorBidi" w:hAnsiTheme="majorBidi" w:cstheme="majorBidi"/>
              </w:rPr>
            </w:pPr>
          </w:p>
        </w:tc>
        <w:tc>
          <w:tcPr>
            <w:tcW w:w="0" w:type="auto"/>
            <w:tcBorders>
              <w:bottom w:val="single" w:sz="4" w:space="0" w:color="auto"/>
            </w:tcBorders>
          </w:tcPr>
          <w:p w14:paraId="2941637C"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Asthma-AQ dashboard with high-pollution clinical alerts</w:t>
            </w:r>
          </w:p>
        </w:tc>
        <w:tc>
          <w:tcPr>
            <w:tcW w:w="0" w:type="auto"/>
            <w:tcBorders>
              <w:bottom w:val="single" w:sz="4" w:space="0" w:color="auto"/>
            </w:tcBorders>
          </w:tcPr>
          <w:p w14:paraId="4C92569A"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Fully operational 2022</w:t>
            </w:r>
          </w:p>
        </w:tc>
        <w:tc>
          <w:tcPr>
            <w:tcW w:w="0" w:type="auto"/>
            <w:tcBorders>
              <w:bottom w:val="single" w:sz="4" w:space="0" w:color="auto"/>
            </w:tcBorders>
          </w:tcPr>
          <w:p w14:paraId="25112185"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IN USE</w:t>
            </w:r>
          </w:p>
        </w:tc>
        <w:tc>
          <w:tcPr>
            <w:tcW w:w="0" w:type="auto"/>
            <w:tcBorders>
              <w:bottom w:val="single" w:sz="4" w:space="0" w:color="auto"/>
            </w:tcBorders>
          </w:tcPr>
          <w:p w14:paraId="1D3FC169"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IT team; Public Health Unit</w:t>
            </w:r>
          </w:p>
        </w:tc>
      </w:tr>
      <w:tr w:rsidR="009C5332" w:rsidRPr="006736DD" w14:paraId="2F39556D" w14:textId="77777777" w:rsidTr="00F0373D">
        <w:tc>
          <w:tcPr>
            <w:tcW w:w="1312" w:type="dxa"/>
            <w:vMerge w:val="restart"/>
            <w:tcBorders>
              <w:top w:val="single" w:sz="4" w:space="0" w:color="auto"/>
              <w:bottom w:val="single" w:sz="4" w:space="0" w:color="auto"/>
            </w:tcBorders>
            <w:vAlign w:val="center"/>
          </w:tcPr>
          <w:p w14:paraId="388C32BF" w14:textId="77777777" w:rsidR="009C5332" w:rsidRPr="006736DD" w:rsidRDefault="009C5332" w:rsidP="00F0373D">
            <w:pPr>
              <w:jc w:val="center"/>
              <w:rPr>
                <w:rFonts w:asciiTheme="majorBidi" w:hAnsiTheme="majorBidi" w:cstheme="majorBidi"/>
              </w:rPr>
            </w:pPr>
            <w:r>
              <w:rPr>
                <w:rFonts w:asciiTheme="majorBidi" w:hAnsiTheme="majorBidi" w:cstheme="majorBidi"/>
                <w:b/>
                <w:bCs/>
                <w:sz w:val="17"/>
                <w:szCs w:val="17"/>
              </w:rPr>
              <w:t>Community Awareness &amp; Engagement</w:t>
            </w:r>
          </w:p>
        </w:tc>
        <w:tc>
          <w:tcPr>
            <w:tcW w:w="0" w:type="auto"/>
            <w:tcBorders>
              <w:top w:val="single" w:sz="4" w:space="0" w:color="auto"/>
              <w:bottom w:val="single" w:sz="4" w:space="0" w:color="auto"/>
            </w:tcBorders>
          </w:tcPr>
          <w:p w14:paraId="7583AB3D"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Culturally sensitive campaigns: schools, mosques, social media</w:t>
            </w:r>
          </w:p>
        </w:tc>
        <w:tc>
          <w:tcPr>
            <w:tcW w:w="0" w:type="auto"/>
            <w:tcBorders>
              <w:top w:val="single" w:sz="4" w:space="0" w:color="auto"/>
              <w:bottom w:val="single" w:sz="4" w:space="0" w:color="auto"/>
            </w:tcBorders>
          </w:tcPr>
          <w:p w14:paraId="574D4BE7"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Seasonal/annual</w:t>
            </w:r>
          </w:p>
        </w:tc>
        <w:tc>
          <w:tcPr>
            <w:tcW w:w="0" w:type="auto"/>
            <w:tcBorders>
              <w:top w:val="single" w:sz="4" w:space="0" w:color="auto"/>
              <w:bottom w:val="single" w:sz="4" w:space="0" w:color="auto"/>
            </w:tcBorders>
          </w:tcPr>
          <w:p w14:paraId="4B65C9CA"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ONGOING</w:t>
            </w:r>
          </w:p>
        </w:tc>
        <w:tc>
          <w:tcPr>
            <w:tcW w:w="0" w:type="auto"/>
            <w:tcBorders>
              <w:top w:val="single" w:sz="4" w:space="0" w:color="auto"/>
              <w:bottom w:val="single" w:sz="4" w:space="0" w:color="auto"/>
            </w:tcBorders>
          </w:tcPr>
          <w:p w14:paraId="1AFB214D"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Health Promotion; Community health workers</w:t>
            </w:r>
          </w:p>
        </w:tc>
      </w:tr>
      <w:tr w:rsidR="009C5332" w:rsidRPr="006736DD" w14:paraId="5ED46514" w14:textId="77777777" w:rsidTr="00F0373D">
        <w:tc>
          <w:tcPr>
            <w:tcW w:w="1312" w:type="dxa"/>
            <w:vMerge/>
            <w:tcBorders>
              <w:top w:val="single" w:sz="4" w:space="0" w:color="auto"/>
              <w:bottom w:val="single" w:sz="4" w:space="0" w:color="auto"/>
            </w:tcBorders>
          </w:tcPr>
          <w:p w14:paraId="458EF0E4" w14:textId="77777777" w:rsidR="009C5332" w:rsidRPr="006736DD" w:rsidRDefault="009C5332" w:rsidP="00F0373D">
            <w:pPr>
              <w:rPr>
                <w:rFonts w:asciiTheme="majorBidi" w:hAnsiTheme="majorBidi" w:cstheme="majorBidi"/>
              </w:rPr>
            </w:pPr>
          </w:p>
        </w:tc>
        <w:tc>
          <w:tcPr>
            <w:tcW w:w="0" w:type="auto"/>
            <w:tcBorders>
              <w:top w:val="single" w:sz="4" w:space="0" w:color="auto"/>
              <w:bottom w:val="single" w:sz="4" w:space="0" w:color="auto"/>
            </w:tcBorders>
          </w:tcPr>
          <w:p w14:paraId="17BC40CF"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Indoor trigger education: incense, tobacco smoke, poor ventilation</w:t>
            </w:r>
          </w:p>
        </w:tc>
        <w:tc>
          <w:tcPr>
            <w:tcW w:w="0" w:type="auto"/>
            <w:tcBorders>
              <w:top w:val="single" w:sz="4" w:space="0" w:color="auto"/>
              <w:bottom w:val="single" w:sz="4" w:space="0" w:color="auto"/>
            </w:tcBorders>
          </w:tcPr>
          <w:p w14:paraId="2C0F00D8"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Annual (ongoing)</w:t>
            </w:r>
          </w:p>
        </w:tc>
        <w:tc>
          <w:tcPr>
            <w:tcW w:w="0" w:type="auto"/>
            <w:tcBorders>
              <w:top w:val="single" w:sz="4" w:space="0" w:color="auto"/>
              <w:bottom w:val="single" w:sz="4" w:space="0" w:color="auto"/>
            </w:tcBorders>
          </w:tcPr>
          <w:p w14:paraId="56A0286C"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ONGOING</w:t>
            </w:r>
          </w:p>
        </w:tc>
        <w:tc>
          <w:tcPr>
            <w:tcW w:w="0" w:type="auto"/>
            <w:tcBorders>
              <w:top w:val="single" w:sz="4" w:space="0" w:color="auto"/>
              <w:bottom w:val="single" w:sz="4" w:space="0" w:color="auto"/>
            </w:tcBorders>
          </w:tcPr>
          <w:p w14:paraId="593B9BC9"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Clinic staff; Community health workers</w:t>
            </w:r>
          </w:p>
        </w:tc>
      </w:tr>
      <w:tr w:rsidR="009C5332" w:rsidRPr="006736DD" w14:paraId="0FD988F9" w14:textId="77777777" w:rsidTr="00F0373D">
        <w:tc>
          <w:tcPr>
            <w:tcW w:w="1312" w:type="dxa"/>
            <w:vMerge/>
            <w:tcBorders>
              <w:top w:val="single" w:sz="4" w:space="0" w:color="auto"/>
              <w:bottom w:val="single" w:sz="4" w:space="0" w:color="auto"/>
            </w:tcBorders>
          </w:tcPr>
          <w:p w14:paraId="1536A229" w14:textId="77777777" w:rsidR="009C5332" w:rsidRPr="006736DD" w:rsidRDefault="009C5332" w:rsidP="00F0373D">
            <w:pPr>
              <w:rPr>
                <w:rFonts w:asciiTheme="majorBidi" w:hAnsiTheme="majorBidi" w:cstheme="majorBidi"/>
              </w:rPr>
            </w:pPr>
          </w:p>
        </w:tc>
        <w:tc>
          <w:tcPr>
            <w:tcW w:w="0" w:type="auto"/>
            <w:tcBorders>
              <w:top w:val="single" w:sz="4" w:space="0" w:color="auto"/>
              <w:bottom w:val="single" w:sz="4" w:space="0" w:color="auto"/>
            </w:tcBorders>
          </w:tcPr>
          <w:p w14:paraId="6BF7B5F7"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Distribute patient education materials (written + digital)</w:t>
            </w:r>
          </w:p>
        </w:tc>
        <w:tc>
          <w:tcPr>
            <w:tcW w:w="0" w:type="auto"/>
            <w:tcBorders>
              <w:top w:val="single" w:sz="4" w:space="0" w:color="auto"/>
              <w:bottom w:val="single" w:sz="4" w:space="0" w:color="auto"/>
            </w:tcBorders>
          </w:tcPr>
          <w:p w14:paraId="190CB1FB" w14:textId="77777777" w:rsidR="009C5332" w:rsidRPr="006736DD" w:rsidRDefault="009C5332" w:rsidP="00F0373D">
            <w:pPr>
              <w:rPr>
                <w:rFonts w:asciiTheme="majorBidi" w:hAnsiTheme="majorBidi" w:cstheme="majorBidi"/>
              </w:rPr>
            </w:pPr>
            <w:r>
              <w:rPr>
                <w:rFonts w:asciiTheme="majorBidi" w:hAnsiTheme="majorBidi" w:cstheme="majorBidi"/>
                <w:sz w:val="17"/>
                <w:szCs w:val="17"/>
              </w:rPr>
              <w:t>Annual (ongoing)</w:t>
            </w:r>
          </w:p>
        </w:tc>
        <w:tc>
          <w:tcPr>
            <w:tcW w:w="0" w:type="auto"/>
            <w:tcBorders>
              <w:top w:val="single" w:sz="4" w:space="0" w:color="auto"/>
              <w:bottom w:val="single" w:sz="4" w:space="0" w:color="auto"/>
            </w:tcBorders>
          </w:tcPr>
          <w:p w14:paraId="17149738"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ONGOING</w:t>
            </w:r>
          </w:p>
        </w:tc>
        <w:tc>
          <w:tcPr>
            <w:tcW w:w="0" w:type="auto"/>
            <w:tcBorders>
              <w:top w:val="single" w:sz="4" w:space="0" w:color="auto"/>
              <w:bottom w:val="single" w:sz="4" w:space="0" w:color="auto"/>
            </w:tcBorders>
          </w:tcPr>
          <w:p w14:paraId="0BF9F931" w14:textId="77777777" w:rsidR="009C5332" w:rsidRPr="006736DD" w:rsidRDefault="009C5332" w:rsidP="00F0373D">
            <w:pPr>
              <w:keepNext/>
              <w:rPr>
                <w:rFonts w:asciiTheme="majorBidi" w:hAnsiTheme="majorBidi" w:cstheme="majorBidi"/>
                <w:sz w:val="16"/>
                <w:szCs w:val="16"/>
              </w:rPr>
            </w:pPr>
            <w:r>
              <w:rPr>
                <w:rFonts w:asciiTheme="majorBidi" w:hAnsiTheme="majorBidi" w:cstheme="majorBidi"/>
                <w:sz w:val="16"/>
                <w:szCs w:val="16"/>
              </w:rPr>
              <w:t>Clinic staff</w:t>
            </w:r>
          </w:p>
        </w:tc>
      </w:tr>
    </w:tbl>
    <w:p w14:paraId="27686677" w14:textId="77777777" w:rsidR="009C5332" w:rsidRPr="009C5332" w:rsidRDefault="009C5332" w:rsidP="009C5332">
      <w:pPr>
        <w:pStyle w:val="Heading2"/>
        <w:spacing w:before="300"/>
        <w:rPr>
          <w:rFonts w:asciiTheme="majorBidi" w:hAnsiTheme="majorBidi"/>
          <w:b/>
          <w:bCs/>
          <w:color w:val="auto"/>
          <w:sz w:val="20"/>
          <w:szCs w:val="20"/>
        </w:rPr>
      </w:pPr>
      <w:r w:rsidRPr="009C5332">
        <w:rPr>
          <w:rFonts w:asciiTheme="majorBidi" w:hAnsiTheme="majorBidi"/>
          <w:b/>
          <w:bCs/>
          <w:color w:val="auto"/>
          <w:sz w:val="20"/>
          <w:szCs w:val="20"/>
        </w:rPr>
        <w:t>Supplemental Table S1. QI Programme Strategic Action Schedule</w:t>
      </w:r>
    </w:p>
    <w:p w14:paraId="6B2FAAEF" w14:textId="77777777" w:rsidR="009C5332" w:rsidRPr="006736DD" w:rsidRDefault="009C5332" w:rsidP="009C5332">
      <w:pPr>
        <w:rPr>
          <w:rFonts w:asciiTheme="majorBidi" w:hAnsiTheme="majorBidi" w:cstheme="majorBidi"/>
          <w:i/>
          <w:iCs/>
          <w:sz w:val="16"/>
          <w:szCs w:val="16"/>
        </w:rPr>
      </w:pPr>
      <w:r>
        <w:rPr>
          <w:rFonts w:asciiTheme="majorBidi" w:hAnsiTheme="majorBidi" w:cstheme="majorBidi"/>
          <w:i/>
          <w:iCs/>
          <w:sz w:val="16"/>
          <w:szCs w:val="16"/>
        </w:rPr>
        <w:t xml:space="preserve">The quality improvement </w:t>
      </w:r>
      <w:proofErr w:type="spellStart"/>
      <w:r>
        <w:rPr>
          <w:rFonts w:asciiTheme="majorBidi" w:hAnsiTheme="majorBidi" w:cstheme="majorBidi"/>
          <w:i/>
          <w:iCs/>
          <w:sz w:val="16"/>
          <w:szCs w:val="16"/>
        </w:rPr>
        <w:t>programme</w:t>
      </w:r>
      <w:proofErr w:type="spellEnd"/>
      <w:r>
        <w:rPr>
          <w:rFonts w:asciiTheme="majorBidi" w:hAnsiTheme="majorBidi" w:cstheme="majorBidi"/>
          <w:i/>
          <w:iCs/>
          <w:sz w:val="16"/>
          <w:szCs w:val="16"/>
        </w:rPr>
        <w:t xml:space="preserve"> comprised three integrated streams implemented sequentially through PDCA cycles, 2014-2024. Status reflects position as of March 2026.</w:t>
      </w:r>
    </w:p>
    <w:p w14:paraId="1EBD8C83" w14:textId="77777777" w:rsidR="009C5332" w:rsidRPr="006736DD" w:rsidRDefault="009C5332" w:rsidP="009C5332">
      <w:pPr>
        <w:pStyle w:val="Caption"/>
        <w:framePr w:hSpace="180" w:wrap="around" w:vAnchor="page" w:hAnchor="page" w:x="1190" w:y="12687"/>
        <w:rPr>
          <w:rFonts w:asciiTheme="majorBidi" w:hAnsiTheme="majorBidi" w:cstheme="majorBidi"/>
          <w:sz w:val="12"/>
          <w:szCs w:val="12"/>
        </w:rPr>
      </w:pPr>
      <w:r>
        <w:rPr>
          <w:rFonts w:asciiTheme="majorBidi" w:hAnsiTheme="majorBidi" w:cstheme="majorBidi"/>
          <w:noProof/>
          <w:sz w:val="12"/>
          <w:szCs w:val="12"/>
        </w:rPr>
        <w:t>GINA = Global Initiative for Asthma. CME = Continuing Medical Education. MoH = Ministry of Health. PCI = Primary Care Information system. PDCA = Plan-Do-Check-Act. QI = Quality Improvement. AQ = Air Quality. PHC = Primary Health Centre. IT = Information Technology</w:t>
      </w:r>
    </w:p>
    <w:p w14:paraId="68C43077" w14:textId="77777777" w:rsidR="009C5332" w:rsidRDefault="009C5332" w:rsidP="009C5332">
      <w:pPr>
        <w:rPr>
          <w:rFonts w:asciiTheme="majorBidi" w:hAnsiTheme="majorBidi" w:cstheme="majorBidi"/>
        </w:rPr>
      </w:pPr>
    </w:p>
    <w:p w14:paraId="49842BE2" w14:textId="77777777" w:rsidR="009C5332" w:rsidRPr="006736DD" w:rsidRDefault="009C5332" w:rsidP="009C5332">
      <w:pPr>
        <w:rPr>
          <w:rFonts w:asciiTheme="majorBidi" w:hAnsiTheme="majorBidi" w:cstheme="majorBidi"/>
        </w:rPr>
      </w:pPr>
    </w:p>
    <w:p w14:paraId="6E945118" w14:textId="77777777" w:rsidR="009C5332" w:rsidRDefault="009C5332" w:rsidP="009C5332">
      <w:pPr>
        <w:spacing w:after="160" w:line="278" w:lineRule="auto"/>
        <w:rPr>
          <w:rFonts w:asciiTheme="majorBidi" w:hAnsiTheme="majorBidi" w:cstheme="majorBidi"/>
        </w:rPr>
      </w:pPr>
      <w:r>
        <w:rPr>
          <w:rFonts w:asciiTheme="majorBidi" w:hAnsiTheme="majorBidi" w:cstheme="majorBidi"/>
        </w:rPr>
        <w:br w:type="page"/>
      </w:r>
    </w:p>
    <w:p w14:paraId="4AF7F74F" w14:textId="77777777" w:rsidR="009C5332" w:rsidRDefault="009C5332" w:rsidP="009C5332">
      <w:pPr>
        <w:rPr>
          <w:rFonts w:asciiTheme="majorBidi" w:hAnsiTheme="majorBidi" w:cstheme="majorBidi"/>
          <w:b/>
          <w:bCs/>
        </w:rPr>
      </w:pPr>
      <w:r>
        <w:rPr>
          <w:rFonts w:asciiTheme="majorBidi" w:hAnsiTheme="majorBidi" w:cstheme="majorBidi"/>
          <w:b/>
          <w:bCs/>
        </w:rPr>
        <w:lastRenderedPageBreak/>
        <w:t>Supplemental Table S2. Implementation Barriers and Adaptations</w:t>
      </w:r>
    </w:p>
    <w:p w14:paraId="25D779A0" w14:textId="77777777" w:rsidR="009C5332" w:rsidRPr="00EB0E5B" w:rsidRDefault="009C5332" w:rsidP="009C5332">
      <w:pPr>
        <w:rPr>
          <w:rFonts w:asciiTheme="majorBidi" w:hAnsiTheme="majorBidi" w:cstheme="majorBidi"/>
          <w:b/>
          <w:bCs/>
        </w:rPr>
      </w:pPr>
      <w:r>
        <w:rPr>
          <w:rFonts w:asciiTheme="majorBidi" w:hAnsiTheme="majorBidi" w:cstheme="majorBidi"/>
          <w:i/>
          <w:iCs/>
          <w:sz w:val="16"/>
          <w:szCs w:val="16"/>
        </w:rPr>
        <w:t xml:space="preserve">Key barriers encountered during </w:t>
      </w:r>
      <w:proofErr w:type="spellStart"/>
      <w:r>
        <w:rPr>
          <w:rFonts w:asciiTheme="majorBidi" w:hAnsiTheme="majorBidi" w:cstheme="majorBidi"/>
          <w:i/>
          <w:iCs/>
          <w:sz w:val="16"/>
          <w:szCs w:val="16"/>
        </w:rPr>
        <w:t>programme</w:t>
      </w:r>
      <w:proofErr w:type="spellEnd"/>
      <w:r>
        <w:rPr>
          <w:rFonts w:asciiTheme="majorBidi" w:hAnsiTheme="majorBidi" w:cstheme="majorBidi"/>
          <w:i/>
          <w:iCs/>
          <w:sz w:val="16"/>
          <w:szCs w:val="16"/>
        </w:rPr>
        <w:t xml:space="preserve"> implementation, the adaptations developed in response, and the observed or expected effects on </w:t>
      </w:r>
      <w:proofErr w:type="spellStart"/>
      <w:r>
        <w:rPr>
          <w:rFonts w:asciiTheme="majorBidi" w:hAnsiTheme="majorBidi" w:cstheme="majorBidi"/>
          <w:i/>
          <w:iCs/>
          <w:sz w:val="16"/>
          <w:szCs w:val="16"/>
        </w:rPr>
        <w:t>programme</w:t>
      </w:r>
      <w:proofErr w:type="spellEnd"/>
      <w:r>
        <w:rPr>
          <w:rFonts w:asciiTheme="majorBidi" w:hAnsiTheme="majorBidi" w:cstheme="majorBidi"/>
          <w:i/>
          <w:iCs/>
          <w:sz w:val="16"/>
          <w:szCs w:val="16"/>
        </w:rPr>
        <w:t xml:space="preserve"> delivery and outcomes.</w:t>
      </w:r>
    </w:p>
    <w:tbl>
      <w:tblPr>
        <w:tblStyle w:val="Research"/>
        <w:tblW w:w="9825" w:type="dxa"/>
        <w:tblLook w:val="0000" w:firstRow="0" w:lastRow="0" w:firstColumn="0" w:lastColumn="0" w:noHBand="0" w:noVBand="0"/>
      </w:tblPr>
      <w:tblGrid>
        <w:gridCol w:w="1389"/>
        <w:gridCol w:w="234"/>
        <w:gridCol w:w="2716"/>
        <w:gridCol w:w="2709"/>
        <w:gridCol w:w="2777"/>
      </w:tblGrid>
      <w:tr w:rsidR="009C5332" w:rsidRPr="006736DD" w14:paraId="2136EE3A" w14:textId="77777777" w:rsidTr="00F0373D">
        <w:tc>
          <w:tcPr>
            <w:tcW w:w="1514" w:type="dxa"/>
          </w:tcPr>
          <w:p w14:paraId="5661C67E" w14:textId="77777777" w:rsidR="009C5332" w:rsidRPr="006736DD" w:rsidRDefault="009C5332" w:rsidP="00F0373D">
            <w:pPr>
              <w:jc w:val="center"/>
              <w:rPr>
                <w:rFonts w:asciiTheme="majorBidi" w:hAnsiTheme="majorBidi" w:cstheme="majorBidi"/>
                <w:b/>
                <w:bCs/>
                <w:sz w:val="17"/>
                <w:szCs w:val="17"/>
              </w:rPr>
            </w:pPr>
            <w:r>
              <w:rPr>
                <w:rFonts w:asciiTheme="majorBidi" w:hAnsiTheme="majorBidi" w:cstheme="majorBidi"/>
                <w:b/>
                <w:bCs/>
                <w:sz w:val="17"/>
                <w:szCs w:val="17"/>
              </w:rPr>
              <w:t>Domain</w:t>
            </w:r>
          </w:p>
        </w:tc>
        <w:tc>
          <w:tcPr>
            <w:tcW w:w="295" w:type="dxa"/>
          </w:tcPr>
          <w:p w14:paraId="0008A1AD" w14:textId="77777777" w:rsidR="009C5332" w:rsidRPr="006736DD" w:rsidRDefault="009C5332" w:rsidP="00F0373D">
            <w:pPr>
              <w:jc w:val="center"/>
              <w:rPr>
                <w:rFonts w:asciiTheme="majorBidi" w:hAnsiTheme="majorBidi" w:cstheme="majorBidi"/>
                <w:b/>
                <w:bCs/>
                <w:sz w:val="17"/>
                <w:szCs w:val="17"/>
              </w:rPr>
            </w:pPr>
          </w:p>
        </w:tc>
        <w:tc>
          <w:tcPr>
            <w:tcW w:w="2391" w:type="dxa"/>
          </w:tcPr>
          <w:p w14:paraId="662F0B6A" w14:textId="77777777" w:rsidR="009C5332" w:rsidRPr="006736DD" w:rsidRDefault="009C5332" w:rsidP="00F0373D">
            <w:pPr>
              <w:jc w:val="center"/>
              <w:rPr>
                <w:rFonts w:asciiTheme="majorBidi" w:hAnsiTheme="majorBidi" w:cstheme="majorBidi"/>
                <w:sz w:val="17"/>
                <w:szCs w:val="17"/>
              </w:rPr>
            </w:pPr>
            <w:r>
              <w:rPr>
                <w:rFonts w:asciiTheme="majorBidi" w:hAnsiTheme="majorBidi" w:cstheme="majorBidi"/>
                <w:b/>
                <w:bCs/>
                <w:sz w:val="17"/>
                <w:szCs w:val="17"/>
              </w:rPr>
              <w:t>Barrier</w:t>
            </w:r>
          </w:p>
        </w:tc>
        <w:tc>
          <w:tcPr>
            <w:tcW w:w="2770" w:type="dxa"/>
          </w:tcPr>
          <w:p w14:paraId="35D5C9BC" w14:textId="77777777" w:rsidR="009C5332" w:rsidRPr="006736DD" w:rsidRDefault="009C5332" w:rsidP="00F0373D">
            <w:pPr>
              <w:jc w:val="center"/>
              <w:rPr>
                <w:rFonts w:asciiTheme="majorBidi" w:hAnsiTheme="majorBidi" w:cstheme="majorBidi"/>
                <w:sz w:val="17"/>
                <w:szCs w:val="17"/>
              </w:rPr>
            </w:pPr>
            <w:r>
              <w:rPr>
                <w:rFonts w:asciiTheme="majorBidi" w:hAnsiTheme="majorBidi" w:cstheme="majorBidi"/>
                <w:b/>
                <w:bCs/>
                <w:sz w:val="17"/>
                <w:szCs w:val="17"/>
              </w:rPr>
              <w:t>Adaptation Implemented</w:t>
            </w:r>
          </w:p>
        </w:tc>
        <w:tc>
          <w:tcPr>
            <w:tcW w:w="2855" w:type="dxa"/>
          </w:tcPr>
          <w:p w14:paraId="65A90BCF" w14:textId="77777777" w:rsidR="009C5332" w:rsidRPr="006736DD" w:rsidRDefault="009C5332" w:rsidP="00F0373D">
            <w:pPr>
              <w:jc w:val="center"/>
              <w:rPr>
                <w:rFonts w:asciiTheme="majorBidi" w:hAnsiTheme="majorBidi" w:cstheme="majorBidi"/>
                <w:sz w:val="17"/>
                <w:szCs w:val="17"/>
              </w:rPr>
            </w:pPr>
            <w:r>
              <w:rPr>
                <w:rFonts w:asciiTheme="majorBidi" w:hAnsiTheme="majorBidi" w:cstheme="majorBidi"/>
                <w:b/>
                <w:bCs/>
                <w:sz w:val="17"/>
                <w:szCs w:val="17"/>
              </w:rPr>
              <w:t>Observed Effect / Outcome</w:t>
            </w:r>
          </w:p>
        </w:tc>
      </w:tr>
      <w:tr w:rsidR="009C5332" w:rsidRPr="006736DD" w14:paraId="2B4AF896" w14:textId="77777777" w:rsidTr="00F0373D">
        <w:tc>
          <w:tcPr>
            <w:tcW w:w="0" w:type="auto"/>
            <w:vMerge w:val="restart"/>
            <w:vAlign w:val="center"/>
          </w:tcPr>
          <w:p w14:paraId="535DDB5F"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Clinical Capacity</w:t>
            </w:r>
          </w:p>
        </w:tc>
        <w:tc>
          <w:tcPr>
            <w:tcW w:w="0" w:type="auto"/>
          </w:tcPr>
          <w:p w14:paraId="52B59D1C" w14:textId="77777777" w:rsidR="009C5332" w:rsidRPr="006736DD" w:rsidRDefault="009C5332" w:rsidP="00F0373D">
            <w:pPr>
              <w:rPr>
                <w:rFonts w:asciiTheme="majorBidi" w:hAnsiTheme="majorBidi" w:cstheme="majorBidi"/>
                <w:sz w:val="16"/>
                <w:szCs w:val="16"/>
              </w:rPr>
            </w:pPr>
          </w:p>
        </w:tc>
        <w:tc>
          <w:tcPr>
            <w:tcW w:w="0" w:type="auto"/>
          </w:tcPr>
          <w:p w14:paraId="1C590D9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Spirometry/PFT equipment unavailable on-site</w:t>
            </w:r>
          </w:p>
        </w:tc>
        <w:tc>
          <w:tcPr>
            <w:tcW w:w="0" w:type="auto"/>
          </w:tcPr>
          <w:p w14:paraId="1F6B5291"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Community fundraising enabled donation of the first on-site spirometer (2015); MoH subsequently supplied two additional units (one portable, one desktop) in 2016</w:t>
            </w:r>
          </w:p>
        </w:tc>
        <w:tc>
          <w:tcPr>
            <w:tcW w:w="0" w:type="auto"/>
          </w:tcPr>
          <w:p w14:paraId="734B500D"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Enabled objective lung function testing; staff trained in use and interpretation (2015-2016)</w:t>
            </w:r>
          </w:p>
        </w:tc>
      </w:tr>
      <w:tr w:rsidR="009C5332" w:rsidRPr="006736DD" w14:paraId="28DE8EFC" w14:textId="77777777" w:rsidTr="00F0373D">
        <w:tc>
          <w:tcPr>
            <w:tcW w:w="0" w:type="auto"/>
            <w:vMerge/>
          </w:tcPr>
          <w:p w14:paraId="762F61B0" w14:textId="77777777" w:rsidR="009C5332" w:rsidRPr="006736DD" w:rsidRDefault="009C5332" w:rsidP="00F0373D">
            <w:pPr>
              <w:jc w:val="center"/>
              <w:rPr>
                <w:rFonts w:asciiTheme="majorBidi" w:hAnsiTheme="majorBidi" w:cstheme="majorBidi"/>
                <w:sz w:val="16"/>
                <w:szCs w:val="16"/>
              </w:rPr>
            </w:pPr>
          </w:p>
        </w:tc>
        <w:tc>
          <w:tcPr>
            <w:tcW w:w="0" w:type="auto"/>
          </w:tcPr>
          <w:p w14:paraId="12C39CEB" w14:textId="77777777" w:rsidR="009C5332" w:rsidRPr="006736DD" w:rsidRDefault="009C5332" w:rsidP="00F0373D">
            <w:pPr>
              <w:rPr>
                <w:rFonts w:asciiTheme="majorBidi" w:hAnsiTheme="majorBidi" w:cstheme="majorBidi"/>
                <w:sz w:val="16"/>
                <w:szCs w:val="16"/>
              </w:rPr>
            </w:pPr>
          </w:p>
        </w:tc>
        <w:tc>
          <w:tcPr>
            <w:tcW w:w="0" w:type="auto"/>
          </w:tcPr>
          <w:p w14:paraId="7567A023"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Narrow controller formulary at primary care (pre-2014: Ventolin, beclomethasone, montelukast only); newer combination inhalers and spacers hospital-only</w:t>
            </w:r>
          </w:p>
        </w:tc>
        <w:tc>
          <w:tcPr>
            <w:tcW w:w="0" w:type="auto"/>
          </w:tcPr>
          <w:p w14:paraId="2377447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Worked with MoH supply chain to expand primary care formulary: added combination inhalers and introduced spacer devices on-site from 2014 onward</w:t>
            </w:r>
          </w:p>
        </w:tc>
        <w:tc>
          <w:tcPr>
            <w:tcW w:w="0" w:type="auto"/>
          </w:tcPr>
          <w:p w14:paraId="318A7CB2"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Broader controller options and spacer availability enabled guideline-recommended step-up therapy in primary care; likely contributor to the early R:C ratio decline (2015-2018)</w:t>
            </w:r>
          </w:p>
        </w:tc>
      </w:tr>
      <w:tr w:rsidR="009C5332" w:rsidRPr="006736DD" w14:paraId="50CDDFA8" w14:textId="77777777" w:rsidTr="00F0373D">
        <w:tc>
          <w:tcPr>
            <w:tcW w:w="0" w:type="auto"/>
          </w:tcPr>
          <w:p w14:paraId="7D20169C"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Workforce Development</w:t>
            </w:r>
          </w:p>
        </w:tc>
        <w:tc>
          <w:tcPr>
            <w:tcW w:w="0" w:type="auto"/>
          </w:tcPr>
          <w:p w14:paraId="5310604C" w14:textId="77777777" w:rsidR="009C5332" w:rsidRPr="006736DD" w:rsidRDefault="009C5332" w:rsidP="00F0373D">
            <w:pPr>
              <w:rPr>
                <w:rFonts w:asciiTheme="majorBidi" w:hAnsiTheme="majorBidi" w:cstheme="majorBidi"/>
                <w:sz w:val="16"/>
                <w:szCs w:val="16"/>
              </w:rPr>
            </w:pPr>
          </w:p>
        </w:tc>
        <w:tc>
          <w:tcPr>
            <w:tcW w:w="0" w:type="auto"/>
          </w:tcPr>
          <w:p w14:paraId="364B2697"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Inadequate staff training in asthma protocols, spirometry, inhaler technique</w:t>
            </w:r>
          </w:p>
        </w:tc>
        <w:tc>
          <w:tcPr>
            <w:tcW w:w="0" w:type="auto"/>
          </w:tcPr>
          <w:p w14:paraId="7C1446AB" w14:textId="77777777" w:rsidR="009C5332" w:rsidRPr="006736DD" w:rsidRDefault="009C5332" w:rsidP="00F0373D">
            <w:pPr>
              <w:rPr>
                <w:rFonts w:asciiTheme="majorBidi" w:hAnsiTheme="majorBidi" w:cstheme="majorBidi"/>
                <w:sz w:val="16"/>
                <w:szCs w:val="16"/>
              </w:rPr>
            </w:pPr>
            <w:proofErr w:type="spellStart"/>
            <w:r>
              <w:rPr>
                <w:rFonts w:asciiTheme="majorBidi" w:hAnsiTheme="majorBidi" w:cstheme="majorBidi"/>
                <w:sz w:val="16"/>
                <w:szCs w:val="16"/>
              </w:rPr>
              <w:t>Organised</w:t>
            </w:r>
            <w:proofErr w:type="spellEnd"/>
            <w:r>
              <w:rPr>
                <w:rFonts w:asciiTheme="majorBidi" w:hAnsiTheme="majorBidi" w:cstheme="majorBidi"/>
                <w:sz w:val="16"/>
                <w:szCs w:val="16"/>
              </w:rPr>
              <w:t xml:space="preserve"> CME-certified workshops in collaboration with MoH; peer coaching established</w:t>
            </w:r>
          </w:p>
        </w:tc>
        <w:tc>
          <w:tcPr>
            <w:tcW w:w="0" w:type="auto"/>
          </w:tcPr>
          <w:p w14:paraId="30E809D4"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 xml:space="preserve">Improved staff competence; reinforced adherence to </w:t>
            </w:r>
            <w:proofErr w:type="spellStart"/>
            <w:r>
              <w:rPr>
                <w:rFonts w:asciiTheme="majorBidi" w:hAnsiTheme="majorBidi" w:cstheme="majorBidi"/>
                <w:sz w:val="16"/>
                <w:szCs w:val="16"/>
              </w:rPr>
              <w:t>standardised</w:t>
            </w:r>
            <w:proofErr w:type="spellEnd"/>
            <w:r>
              <w:rPr>
                <w:rFonts w:asciiTheme="majorBidi" w:hAnsiTheme="majorBidi" w:cstheme="majorBidi"/>
                <w:sz w:val="16"/>
                <w:szCs w:val="16"/>
              </w:rPr>
              <w:t xml:space="preserve"> protocol and GINA guidelines</w:t>
            </w:r>
          </w:p>
        </w:tc>
      </w:tr>
      <w:tr w:rsidR="009C5332" w:rsidRPr="006736DD" w14:paraId="514D2FFB" w14:textId="77777777" w:rsidTr="00F0373D">
        <w:tc>
          <w:tcPr>
            <w:tcW w:w="0" w:type="auto"/>
          </w:tcPr>
          <w:p w14:paraId="050A217A"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Data Infrastructure</w:t>
            </w:r>
          </w:p>
        </w:tc>
        <w:tc>
          <w:tcPr>
            <w:tcW w:w="0" w:type="auto"/>
          </w:tcPr>
          <w:p w14:paraId="70B2F8F1" w14:textId="77777777" w:rsidR="009C5332" w:rsidRPr="006736DD" w:rsidRDefault="009C5332" w:rsidP="00F0373D">
            <w:pPr>
              <w:rPr>
                <w:rFonts w:asciiTheme="majorBidi" w:hAnsiTheme="majorBidi" w:cstheme="majorBidi"/>
                <w:sz w:val="16"/>
                <w:szCs w:val="16"/>
              </w:rPr>
            </w:pPr>
          </w:p>
        </w:tc>
        <w:tc>
          <w:tcPr>
            <w:tcW w:w="0" w:type="auto"/>
          </w:tcPr>
          <w:p w14:paraId="1D053B86"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Absence of a baseline asthma registry</w:t>
            </w:r>
          </w:p>
        </w:tc>
        <w:tc>
          <w:tcPr>
            <w:tcW w:w="0" w:type="auto"/>
          </w:tcPr>
          <w:p w14:paraId="6CC954D3"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Created electronic asthma case log linked to PCI primary care files and monthly reporting</w:t>
            </w:r>
          </w:p>
        </w:tc>
        <w:tc>
          <w:tcPr>
            <w:tcW w:w="0" w:type="auto"/>
          </w:tcPr>
          <w:p w14:paraId="02C817FE"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Enabled systematic outcome tracking; provided data backbone for this evaluation</w:t>
            </w:r>
          </w:p>
        </w:tc>
      </w:tr>
      <w:tr w:rsidR="009C5332" w:rsidRPr="006736DD" w14:paraId="469DF2E1" w14:textId="77777777" w:rsidTr="00F0373D">
        <w:tc>
          <w:tcPr>
            <w:tcW w:w="0" w:type="auto"/>
          </w:tcPr>
          <w:p w14:paraId="19369FAF"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Environmental Integration</w:t>
            </w:r>
          </w:p>
        </w:tc>
        <w:tc>
          <w:tcPr>
            <w:tcW w:w="0" w:type="auto"/>
          </w:tcPr>
          <w:p w14:paraId="5F98AB7A" w14:textId="77777777" w:rsidR="009C5332" w:rsidRPr="006736DD" w:rsidRDefault="009C5332" w:rsidP="00F0373D">
            <w:pPr>
              <w:rPr>
                <w:rFonts w:asciiTheme="majorBidi" w:hAnsiTheme="majorBidi" w:cstheme="majorBidi"/>
                <w:sz w:val="16"/>
                <w:szCs w:val="16"/>
              </w:rPr>
            </w:pPr>
          </w:p>
        </w:tc>
        <w:tc>
          <w:tcPr>
            <w:tcW w:w="0" w:type="auto"/>
          </w:tcPr>
          <w:p w14:paraId="7EF75C4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Lack of AQ data integration with clinical system</w:t>
            </w:r>
          </w:p>
        </w:tc>
        <w:tc>
          <w:tcPr>
            <w:tcW w:w="0" w:type="auto"/>
          </w:tcPr>
          <w:p w14:paraId="729C24BF"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Collaborated with Environmental Public Authority to access pollution monitoring data feeds</w:t>
            </w:r>
          </w:p>
        </w:tc>
        <w:tc>
          <w:tcPr>
            <w:tcW w:w="0" w:type="auto"/>
          </w:tcPr>
          <w:p w14:paraId="6B3AB77C"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Allowed linkage of AQ exposure data with clinical activity; enabled high-pollution clinical alerts (2022+)</w:t>
            </w:r>
          </w:p>
        </w:tc>
      </w:tr>
      <w:tr w:rsidR="009C5332" w:rsidRPr="006736DD" w14:paraId="2E9FEE9E" w14:textId="77777777" w:rsidTr="00F0373D">
        <w:tc>
          <w:tcPr>
            <w:tcW w:w="0" w:type="auto"/>
          </w:tcPr>
          <w:p w14:paraId="347B6BB2"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Governance &amp; Partnerships</w:t>
            </w:r>
          </w:p>
        </w:tc>
        <w:tc>
          <w:tcPr>
            <w:tcW w:w="0" w:type="auto"/>
          </w:tcPr>
          <w:p w14:paraId="7DDF49DA" w14:textId="77777777" w:rsidR="009C5332" w:rsidRPr="006736DD" w:rsidRDefault="009C5332" w:rsidP="00F0373D">
            <w:pPr>
              <w:rPr>
                <w:rFonts w:asciiTheme="majorBidi" w:hAnsiTheme="majorBidi" w:cstheme="majorBidi"/>
                <w:sz w:val="16"/>
                <w:szCs w:val="16"/>
              </w:rPr>
            </w:pPr>
          </w:p>
        </w:tc>
        <w:tc>
          <w:tcPr>
            <w:tcW w:w="0" w:type="auto"/>
          </w:tcPr>
          <w:p w14:paraId="7A212741"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Resistance to traffic diversion for emission reduction</w:t>
            </w:r>
          </w:p>
        </w:tc>
        <w:tc>
          <w:tcPr>
            <w:tcW w:w="0" w:type="auto"/>
          </w:tcPr>
          <w:p w14:paraId="64EBDA94"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Formed Study Area Asthma Task Force; shared accountability across stakeholders</w:t>
            </w:r>
          </w:p>
        </w:tc>
        <w:tc>
          <w:tcPr>
            <w:tcW w:w="0" w:type="auto"/>
          </w:tcPr>
          <w:p w14:paraId="472D443F"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Built municipal consensus; 4th Ring Road underpass completed 2015</w:t>
            </w:r>
          </w:p>
        </w:tc>
      </w:tr>
      <w:tr w:rsidR="009C5332" w:rsidRPr="006736DD" w14:paraId="689EA733" w14:textId="77777777" w:rsidTr="00F0373D">
        <w:tc>
          <w:tcPr>
            <w:tcW w:w="0" w:type="auto"/>
          </w:tcPr>
          <w:p w14:paraId="4891F30C"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Community Engagement</w:t>
            </w:r>
          </w:p>
        </w:tc>
        <w:tc>
          <w:tcPr>
            <w:tcW w:w="0" w:type="auto"/>
          </w:tcPr>
          <w:p w14:paraId="2225F06C" w14:textId="77777777" w:rsidR="009C5332" w:rsidRPr="006736DD" w:rsidRDefault="009C5332" w:rsidP="00F0373D">
            <w:pPr>
              <w:rPr>
                <w:rFonts w:asciiTheme="majorBidi" w:hAnsiTheme="majorBidi" w:cstheme="majorBidi"/>
                <w:sz w:val="16"/>
                <w:szCs w:val="16"/>
              </w:rPr>
            </w:pPr>
          </w:p>
        </w:tc>
        <w:tc>
          <w:tcPr>
            <w:tcW w:w="0" w:type="auto"/>
          </w:tcPr>
          <w:p w14:paraId="248529A4"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Community under-awareness of asthma triggers (incense, smoking)</w:t>
            </w:r>
          </w:p>
        </w:tc>
        <w:tc>
          <w:tcPr>
            <w:tcW w:w="0" w:type="auto"/>
          </w:tcPr>
          <w:p w14:paraId="239B3A38"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Launched culturally sensitive campaigns through schools, mosques, and social media</w:t>
            </w:r>
          </w:p>
        </w:tc>
        <w:tc>
          <w:tcPr>
            <w:tcW w:w="0" w:type="auto"/>
          </w:tcPr>
          <w:p w14:paraId="15152E51"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 xml:space="preserve">Enhanced public health literacy and prevention-seeking </w:t>
            </w:r>
            <w:proofErr w:type="spellStart"/>
            <w:r>
              <w:rPr>
                <w:rFonts w:asciiTheme="majorBidi" w:hAnsiTheme="majorBidi" w:cstheme="majorBidi"/>
                <w:sz w:val="16"/>
                <w:szCs w:val="16"/>
              </w:rPr>
              <w:t>behaviour</w:t>
            </w:r>
            <w:proofErr w:type="spellEnd"/>
          </w:p>
        </w:tc>
      </w:tr>
      <w:tr w:rsidR="009C5332" w:rsidRPr="006736DD" w14:paraId="3F40F105" w14:textId="77777777" w:rsidTr="00F0373D">
        <w:tc>
          <w:tcPr>
            <w:tcW w:w="0" w:type="auto"/>
          </w:tcPr>
          <w:p w14:paraId="29813E33" w14:textId="77777777" w:rsidR="009C5332" w:rsidRPr="006736DD" w:rsidRDefault="009C5332" w:rsidP="00F0373D">
            <w:pPr>
              <w:jc w:val="center"/>
              <w:rPr>
                <w:rFonts w:asciiTheme="majorBidi" w:hAnsiTheme="majorBidi" w:cstheme="majorBidi"/>
                <w:sz w:val="16"/>
                <w:szCs w:val="16"/>
              </w:rPr>
            </w:pPr>
            <w:r>
              <w:rPr>
                <w:rFonts w:asciiTheme="majorBidi" w:hAnsiTheme="majorBidi" w:cstheme="majorBidi"/>
                <w:b/>
                <w:bCs/>
                <w:sz w:val="16"/>
                <w:szCs w:val="16"/>
              </w:rPr>
              <w:t>Workforce Development</w:t>
            </w:r>
          </w:p>
        </w:tc>
        <w:tc>
          <w:tcPr>
            <w:tcW w:w="0" w:type="auto"/>
          </w:tcPr>
          <w:p w14:paraId="5E3BE8DE" w14:textId="77777777" w:rsidR="009C5332" w:rsidRPr="006736DD" w:rsidRDefault="009C5332" w:rsidP="00F0373D">
            <w:pPr>
              <w:rPr>
                <w:rFonts w:asciiTheme="majorBidi" w:hAnsiTheme="majorBidi" w:cstheme="majorBidi"/>
                <w:sz w:val="16"/>
                <w:szCs w:val="16"/>
              </w:rPr>
            </w:pPr>
          </w:p>
        </w:tc>
        <w:tc>
          <w:tcPr>
            <w:tcW w:w="0" w:type="auto"/>
          </w:tcPr>
          <w:p w14:paraId="3B616B49"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Difficulty sustaining educational momentum post-training</w:t>
            </w:r>
          </w:p>
        </w:tc>
        <w:tc>
          <w:tcPr>
            <w:tcW w:w="0" w:type="auto"/>
          </w:tcPr>
          <w:p w14:paraId="235D92CF"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 xml:space="preserve">Established refresher training schedule and peer coaching </w:t>
            </w:r>
            <w:proofErr w:type="spellStart"/>
            <w:r>
              <w:rPr>
                <w:rFonts w:asciiTheme="majorBidi" w:hAnsiTheme="majorBidi" w:cstheme="majorBidi"/>
                <w:sz w:val="16"/>
                <w:szCs w:val="16"/>
              </w:rPr>
              <w:t>programme</w:t>
            </w:r>
            <w:proofErr w:type="spellEnd"/>
          </w:p>
        </w:tc>
        <w:tc>
          <w:tcPr>
            <w:tcW w:w="0" w:type="auto"/>
          </w:tcPr>
          <w:p w14:paraId="57D5C705" w14:textId="77777777" w:rsidR="009C5332" w:rsidRPr="006736DD" w:rsidRDefault="009C5332" w:rsidP="00F0373D">
            <w:pPr>
              <w:rPr>
                <w:rFonts w:asciiTheme="majorBidi" w:hAnsiTheme="majorBidi" w:cstheme="majorBidi"/>
                <w:sz w:val="16"/>
                <w:szCs w:val="16"/>
              </w:rPr>
            </w:pPr>
            <w:r>
              <w:rPr>
                <w:rFonts w:asciiTheme="majorBidi" w:hAnsiTheme="majorBidi" w:cstheme="majorBidi"/>
                <w:sz w:val="16"/>
                <w:szCs w:val="16"/>
              </w:rPr>
              <w:t>Maintained staff performance; protocol adherence sustained across years</w:t>
            </w:r>
          </w:p>
        </w:tc>
      </w:tr>
    </w:tbl>
    <w:p w14:paraId="396B1D5D" w14:textId="77777777" w:rsidR="009C5332" w:rsidRPr="006736DD" w:rsidRDefault="009C5332" w:rsidP="009C5332">
      <w:pPr>
        <w:rPr>
          <w:rFonts w:asciiTheme="majorBidi" w:hAnsiTheme="majorBidi" w:cstheme="majorBidi"/>
        </w:rPr>
      </w:pPr>
    </w:p>
    <w:p w14:paraId="5D525CBD" w14:textId="77777777" w:rsidR="009C5332" w:rsidRPr="006736DD" w:rsidRDefault="009C5332" w:rsidP="009C5332">
      <w:pPr>
        <w:rPr>
          <w:rFonts w:asciiTheme="majorBidi" w:hAnsiTheme="majorBidi" w:cstheme="majorBidi"/>
        </w:rPr>
      </w:pPr>
    </w:p>
    <w:p w14:paraId="1DB65BCD" w14:textId="77777777" w:rsidR="009C5332" w:rsidRDefault="009C5332" w:rsidP="009C5332">
      <w:pPr>
        <w:spacing w:after="160" w:line="278" w:lineRule="auto"/>
        <w:rPr>
          <w:rFonts w:asciiTheme="majorBidi" w:hAnsiTheme="majorBidi" w:cstheme="majorBidi"/>
        </w:rPr>
      </w:pPr>
    </w:p>
    <w:p w14:paraId="47CADBB7" w14:textId="77777777" w:rsidR="009C5332" w:rsidRDefault="009C5332" w:rsidP="009C5332">
      <w:pPr>
        <w:spacing w:after="160" w:line="278" w:lineRule="auto"/>
        <w:rPr>
          <w:rFonts w:asciiTheme="majorBidi" w:hAnsiTheme="majorBidi" w:cstheme="majorBidi"/>
        </w:rPr>
      </w:pPr>
    </w:p>
    <w:p w14:paraId="792D86CE" w14:textId="77777777" w:rsidR="009C5332" w:rsidRDefault="009C5332" w:rsidP="009C5332">
      <w:pPr>
        <w:spacing w:after="160" w:line="278" w:lineRule="auto"/>
        <w:rPr>
          <w:rFonts w:asciiTheme="majorBidi" w:hAnsiTheme="majorBidi" w:cstheme="majorBidi"/>
        </w:rPr>
      </w:pPr>
    </w:p>
    <w:p w14:paraId="355D660E" w14:textId="77777777" w:rsidR="009C5332" w:rsidRDefault="009C5332" w:rsidP="009C5332">
      <w:pPr>
        <w:spacing w:after="160" w:line="278" w:lineRule="auto"/>
        <w:rPr>
          <w:rFonts w:asciiTheme="majorBidi" w:hAnsiTheme="majorBidi" w:cstheme="majorBidi"/>
        </w:rPr>
      </w:pPr>
    </w:p>
    <w:p w14:paraId="1D162B4C" w14:textId="77777777" w:rsidR="009C5332" w:rsidRDefault="009C5332" w:rsidP="009C5332">
      <w:pPr>
        <w:spacing w:after="160" w:line="278" w:lineRule="auto"/>
        <w:rPr>
          <w:rFonts w:asciiTheme="majorBidi" w:hAnsiTheme="majorBidi" w:cstheme="majorBidi"/>
        </w:rPr>
      </w:pPr>
    </w:p>
    <w:p w14:paraId="5107C8A7" w14:textId="77777777" w:rsidR="009C5332" w:rsidRDefault="009C5332" w:rsidP="009C5332">
      <w:pPr>
        <w:spacing w:after="160" w:line="278" w:lineRule="auto"/>
        <w:rPr>
          <w:rFonts w:asciiTheme="majorBidi" w:hAnsiTheme="majorBidi" w:cstheme="majorBidi"/>
        </w:rPr>
      </w:pPr>
    </w:p>
    <w:p w14:paraId="2E0BE7B5" w14:textId="77777777" w:rsidR="009C5332" w:rsidRDefault="009C5332" w:rsidP="009C5332">
      <w:pPr>
        <w:spacing w:after="160" w:line="278" w:lineRule="auto"/>
        <w:rPr>
          <w:rFonts w:asciiTheme="majorBidi" w:hAnsiTheme="majorBidi" w:cstheme="majorBidi"/>
        </w:rPr>
      </w:pPr>
    </w:p>
    <w:p w14:paraId="31B06AD3" w14:textId="77777777" w:rsidR="009C5332" w:rsidRDefault="009C5332" w:rsidP="009C5332">
      <w:pPr>
        <w:spacing w:after="160" w:line="278" w:lineRule="auto"/>
        <w:rPr>
          <w:rFonts w:asciiTheme="majorBidi" w:hAnsiTheme="majorBidi" w:cstheme="majorBidi"/>
        </w:rPr>
      </w:pPr>
    </w:p>
    <w:p w14:paraId="5C31A744" w14:textId="7E9DE44C" w:rsidR="00574508" w:rsidRDefault="00574508" w:rsidP="00574508">
      <w:pPr>
        <w:pStyle w:val="Heading2"/>
        <w:spacing w:before="300"/>
        <w:rPr>
          <w:rFonts w:asciiTheme="majorBidi" w:hAnsiTheme="majorBidi"/>
          <w:b/>
          <w:bCs/>
          <w:color w:val="auto"/>
          <w:sz w:val="20"/>
          <w:szCs w:val="20"/>
        </w:rPr>
      </w:pPr>
      <w:r>
        <w:rPr>
          <w:rFonts w:asciiTheme="majorBidi" w:hAnsiTheme="majorBidi"/>
          <w:b/>
          <w:bCs/>
          <w:color w:val="auto"/>
          <w:sz w:val="20"/>
          <w:szCs w:val="20"/>
        </w:rPr>
        <w:lastRenderedPageBreak/>
        <w:t>Supplemental Table S3. Workforce, Capacity, Training and Education Indicators (2015-2025)</w:t>
      </w:r>
    </w:p>
    <w:p w14:paraId="265CB6E3" w14:textId="721B2D0E" w:rsidR="00574508" w:rsidRPr="00574508" w:rsidRDefault="00574508" w:rsidP="00574508">
      <w:pPr>
        <w:rPr>
          <w:rFonts w:asciiTheme="majorBidi" w:hAnsiTheme="majorBidi" w:cstheme="majorBidi"/>
          <w:i/>
          <w:iCs/>
          <w:sz w:val="16"/>
          <w:szCs w:val="16"/>
        </w:rPr>
      </w:pPr>
      <w:r>
        <w:rPr>
          <w:rFonts w:asciiTheme="majorBidi" w:hAnsiTheme="majorBidi" w:cstheme="majorBidi"/>
          <w:i/>
          <w:iCs/>
          <w:sz w:val="16"/>
          <w:szCs w:val="16"/>
        </w:rPr>
        <w:t>Indicators of clinical capacity, workforce training, prescribing quality, and patient education activity.</w:t>
      </w:r>
    </w:p>
    <w:tbl>
      <w:tblPr>
        <w:tblStyle w:val="Research"/>
        <w:tblW w:w="8960" w:type="dxa"/>
        <w:tblLook w:val="0000" w:firstRow="0" w:lastRow="0" w:firstColumn="0" w:lastColumn="0" w:noHBand="0" w:noVBand="0"/>
      </w:tblPr>
      <w:tblGrid>
        <w:gridCol w:w="1787"/>
        <w:gridCol w:w="755"/>
        <w:gridCol w:w="755"/>
        <w:gridCol w:w="718"/>
        <w:gridCol w:w="718"/>
        <w:gridCol w:w="934"/>
        <w:gridCol w:w="934"/>
        <w:gridCol w:w="2359"/>
      </w:tblGrid>
      <w:tr w:rsidR="00574508" w:rsidRPr="00F27FF9" w14:paraId="384010BB" w14:textId="77777777" w:rsidTr="00574508">
        <w:tc>
          <w:tcPr>
            <w:tcW w:w="1787" w:type="dxa"/>
          </w:tcPr>
          <w:p w14:paraId="4E70E635"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Indicator</w:t>
            </w:r>
          </w:p>
        </w:tc>
        <w:tc>
          <w:tcPr>
            <w:tcW w:w="755" w:type="dxa"/>
          </w:tcPr>
          <w:p w14:paraId="5C3C626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2015</w:t>
            </w:r>
          </w:p>
        </w:tc>
        <w:tc>
          <w:tcPr>
            <w:tcW w:w="755" w:type="dxa"/>
          </w:tcPr>
          <w:p w14:paraId="13972F5B"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2016</w:t>
            </w:r>
          </w:p>
        </w:tc>
        <w:tc>
          <w:tcPr>
            <w:tcW w:w="718" w:type="dxa"/>
          </w:tcPr>
          <w:p w14:paraId="2A008329"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2018</w:t>
            </w:r>
          </w:p>
        </w:tc>
        <w:tc>
          <w:tcPr>
            <w:tcW w:w="718" w:type="dxa"/>
          </w:tcPr>
          <w:p w14:paraId="70B49236"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2019</w:t>
            </w:r>
          </w:p>
        </w:tc>
        <w:tc>
          <w:tcPr>
            <w:tcW w:w="934" w:type="dxa"/>
          </w:tcPr>
          <w:p w14:paraId="5A5A050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2022</w:t>
            </w:r>
          </w:p>
        </w:tc>
        <w:tc>
          <w:tcPr>
            <w:tcW w:w="934" w:type="dxa"/>
          </w:tcPr>
          <w:p w14:paraId="4A8078B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2025</w:t>
            </w:r>
          </w:p>
        </w:tc>
        <w:tc>
          <w:tcPr>
            <w:tcW w:w="2359" w:type="dxa"/>
          </w:tcPr>
          <w:p w14:paraId="3DA32E9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b/>
                <w:bCs/>
                <w:sz w:val="17"/>
                <w:szCs w:val="17"/>
              </w:rPr>
              <w:t>Notes</w:t>
            </w:r>
          </w:p>
        </w:tc>
      </w:tr>
      <w:tr w:rsidR="00574508" w:rsidRPr="00F27FF9" w14:paraId="6F9BF7B6" w14:textId="77777777" w:rsidTr="00574508">
        <w:tc>
          <w:tcPr>
            <w:tcW w:w="0" w:type="auto"/>
            <w:gridSpan w:val="8"/>
          </w:tcPr>
          <w:p w14:paraId="0CCEABA8" w14:textId="77777777" w:rsidR="00574508" w:rsidRPr="00F27FF9" w:rsidRDefault="00574508" w:rsidP="00574508">
            <w:pPr>
              <w:rPr>
                <w:rFonts w:asciiTheme="majorBidi" w:hAnsiTheme="majorBidi" w:cstheme="majorBidi"/>
                <w:sz w:val="17"/>
                <w:szCs w:val="17"/>
              </w:rPr>
            </w:pPr>
            <w:r>
              <w:rPr>
                <w:rFonts w:asciiTheme="majorBidi" w:hAnsiTheme="majorBidi" w:cstheme="majorBidi"/>
                <w:b/>
                <w:bCs/>
                <w:sz w:val="17"/>
                <w:szCs w:val="17"/>
              </w:rPr>
              <w:t>A. Clinical Workforce &amp; Training</w:t>
            </w:r>
          </w:p>
        </w:tc>
      </w:tr>
      <w:tr w:rsidR="00574508" w:rsidRPr="00F27FF9" w14:paraId="401EF45D" w14:textId="77777777" w:rsidTr="00574508">
        <w:tc>
          <w:tcPr>
            <w:tcW w:w="0" w:type="auto"/>
          </w:tcPr>
          <w:p w14:paraId="4D7AFD59"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Total physicians at clinic (FTE)</w:t>
            </w:r>
          </w:p>
        </w:tc>
        <w:tc>
          <w:tcPr>
            <w:tcW w:w="0" w:type="auto"/>
          </w:tcPr>
          <w:p w14:paraId="02561F5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12</w:t>
            </w:r>
          </w:p>
        </w:tc>
        <w:tc>
          <w:tcPr>
            <w:tcW w:w="0" w:type="auto"/>
          </w:tcPr>
          <w:p w14:paraId="3CFC340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12</w:t>
            </w:r>
          </w:p>
        </w:tc>
        <w:tc>
          <w:tcPr>
            <w:tcW w:w="0" w:type="auto"/>
          </w:tcPr>
          <w:p w14:paraId="3265B775"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14</w:t>
            </w:r>
          </w:p>
        </w:tc>
        <w:tc>
          <w:tcPr>
            <w:tcW w:w="0" w:type="auto"/>
          </w:tcPr>
          <w:p w14:paraId="033BE11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16</w:t>
            </w:r>
          </w:p>
        </w:tc>
        <w:tc>
          <w:tcPr>
            <w:tcW w:w="0" w:type="auto"/>
          </w:tcPr>
          <w:p w14:paraId="2B37042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17</w:t>
            </w:r>
          </w:p>
        </w:tc>
        <w:tc>
          <w:tcPr>
            <w:tcW w:w="0" w:type="auto"/>
          </w:tcPr>
          <w:p w14:paraId="78A7FD8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17</w:t>
            </w:r>
          </w:p>
        </w:tc>
        <w:tc>
          <w:tcPr>
            <w:tcW w:w="0" w:type="auto"/>
          </w:tcPr>
          <w:p w14:paraId="5FB50F75"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HR records</w:t>
            </w:r>
          </w:p>
        </w:tc>
      </w:tr>
      <w:tr w:rsidR="00574508" w:rsidRPr="00F27FF9" w14:paraId="092A44A0" w14:textId="77777777" w:rsidTr="00574508">
        <w:tc>
          <w:tcPr>
            <w:tcW w:w="0" w:type="auto"/>
          </w:tcPr>
          <w:p w14:paraId="7E916D19"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Physicians with GINA-accredited asthma training (n)</w:t>
            </w:r>
          </w:p>
        </w:tc>
        <w:tc>
          <w:tcPr>
            <w:tcW w:w="0" w:type="auto"/>
          </w:tcPr>
          <w:p w14:paraId="2C1345B4"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4</w:t>
            </w:r>
          </w:p>
        </w:tc>
        <w:tc>
          <w:tcPr>
            <w:tcW w:w="0" w:type="auto"/>
          </w:tcPr>
          <w:p w14:paraId="7A65DA56"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4</w:t>
            </w:r>
          </w:p>
        </w:tc>
        <w:tc>
          <w:tcPr>
            <w:tcW w:w="0" w:type="auto"/>
          </w:tcPr>
          <w:p w14:paraId="30760E2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w:t>
            </w:r>
          </w:p>
        </w:tc>
        <w:tc>
          <w:tcPr>
            <w:tcW w:w="0" w:type="auto"/>
          </w:tcPr>
          <w:p w14:paraId="3C0AB4A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w:t>
            </w:r>
          </w:p>
        </w:tc>
        <w:tc>
          <w:tcPr>
            <w:tcW w:w="0" w:type="auto"/>
          </w:tcPr>
          <w:p w14:paraId="01C06DFE"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w:t>
            </w:r>
          </w:p>
        </w:tc>
        <w:tc>
          <w:tcPr>
            <w:tcW w:w="0" w:type="auto"/>
          </w:tcPr>
          <w:p w14:paraId="4E48532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w:t>
            </w:r>
          </w:p>
        </w:tc>
        <w:tc>
          <w:tcPr>
            <w:tcW w:w="0" w:type="auto"/>
          </w:tcPr>
          <w:p w14:paraId="47AB13FA"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Seniors running clinics; juniors/trainees via Family Practitioners Board</w:t>
            </w:r>
          </w:p>
        </w:tc>
      </w:tr>
      <w:tr w:rsidR="00574508" w:rsidRPr="00F27FF9" w14:paraId="38540871" w14:textId="77777777" w:rsidTr="00574508">
        <w:tc>
          <w:tcPr>
            <w:tcW w:w="0" w:type="auto"/>
          </w:tcPr>
          <w:p w14:paraId="359769B2"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Nurses trained in asthma education delivery (n)</w:t>
            </w:r>
          </w:p>
        </w:tc>
        <w:tc>
          <w:tcPr>
            <w:tcW w:w="0" w:type="auto"/>
          </w:tcPr>
          <w:p w14:paraId="0CBE94A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06598CF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3482498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054ACF4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21FEA279"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40ABC0F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3</w:t>
            </w:r>
          </w:p>
        </w:tc>
        <w:tc>
          <w:tcPr>
            <w:tcW w:w="0" w:type="auto"/>
          </w:tcPr>
          <w:p w14:paraId="1816A8BD"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CME registers</w:t>
            </w:r>
          </w:p>
        </w:tc>
      </w:tr>
      <w:tr w:rsidR="00574508" w:rsidRPr="00F27FF9" w14:paraId="79AF2700" w14:textId="77777777" w:rsidTr="00574508">
        <w:tc>
          <w:tcPr>
            <w:tcW w:w="0" w:type="auto"/>
          </w:tcPr>
          <w:p w14:paraId="0AD4B038"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Annual CME workshops delivered per department</w:t>
            </w:r>
          </w:p>
        </w:tc>
        <w:tc>
          <w:tcPr>
            <w:tcW w:w="0" w:type="auto"/>
          </w:tcPr>
          <w:p w14:paraId="1C790DAB"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6B0E0ADF"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14C3FE3B"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3DFCE29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298DADC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3B513703"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35B84801"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Refresher course (new guidelines/meds) delivered annually</w:t>
            </w:r>
          </w:p>
        </w:tc>
      </w:tr>
      <w:tr w:rsidR="00574508" w:rsidRPr="00F27FF9" w14:paraId="56A3F432" w14:textId="77777777" w:rsidTr="00574508">
        <w:tc>
          <w:tcPr>
            <w:tcW w:w="0" w:type="auto"/>
          </w:tcPr>
          <w:p w14:paraId="4F7826A2"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Staff completing refresher training (n, cumulative)</w:t>
            </w:r>
          </w:p>
        </w:tc>
        <w:tc>
          <w:tcPr>
            <w:tcW w:w="0" w:type="auto"/>
          </w:tcPr>
          <w:p w14:paraId="4F6EE373"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w:t>
            </w:r>
          </w:p>
        </w:tc>
        <w:tc>
          <w:tcPr>
            <w:tcW w:w="0" w:type="auto"/>
          </w:tcPr>
          <w:p w14:paraId="6C18A15E"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w:t>
            </w:r>
          </w:p>
        </w:tc>
        <w:tc>
          <w:tcPr>
            <w:tcW w:w="0" w:type="auto"/>
          </w:tcPr>
          <w:p w14:paraId="07F3974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w:t>
            </w:r>
          </w:p>
        </w:tc>
        <w:tc>
          <w:tcPr>
            <w:tcW w:w="0" w:type="auto"/>
          </w:tcPr>
          <w:p w14:paraId="26FE2EB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w:t>
            </w:r>
          </w:p>
        </w:tc>
        <w:tc>
          <w:tcPr>
            <w:tcW w:w="0" w:type="auto"/>
          </w:tcPr>
          <w:p w14:paraId="005312BA"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8</w:t>
            </w:r>
          </w:p>
        </w:tc>
        <w:tc>
          <w:tcPr>
            <w:tcW w:w="0" w:type="auto"/>
          </w:tcPr>
          <w:p w14:paraId="0E0220C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10</w:t>
            </w:r>
          </w:p>
        </w:tc>
        <w:tc>
          <w:tcPr>
            <w:tcW w:w="0" w:type="auto"/>
          </w:tcPr>
          <w:p w14:paraId="02B0E092"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Annual refresher course from QI logs</w:t>
            </w:r>
          </w:p>
        </w:tc>
      </w:tr>
      <w:tr w:rsidR="00574508" w:rsidRPr="00F27FF9" w14:paraId="15E5D181" w14:textId="77777777" w:rsidTr="00574508">
        <w:tc>
          <w:tcPr>
            <w:tcW w:w="0" w:type="auto"/>
            <w:gridSpan w:val="8"/>
          </w:tcPr>
          <w:p w14:paraId="6ADC062D" w14:textId="77777777" w:rsidR="00574508" w:rsidRPr="00F27FF9" w:rsidRDefault="00574508" w:rsidP="00574508">
            <w:pPr>
              <w:rPr>
                <w:rFonts w:asciiTheme="majorBidi" w:hAnsiTheme="majorBidi" w:cstheme="majorBidi"/>
                <w:sz w:val="17"/>
                <w:szCs w:val="17"/>
              </w:rPr>
            </w:pPr>
            <w:r>
              <w:rPr>
                <w:rFonts w:asciiTheme="majorBidi" w:hAnsiTheme="majorBidi" w:cstheme="majorBidi"/>
                <w:b/>
                <w:bCs/>
                <w:sz w:val="17"/>
                <w:szCs w:val="17"/>
              </w:rPr>
              <w:t>B. Spirometry / PFT Capacity</w:t>
            </w:r>
          </w:p>
        </w:tc>
      </w:tr>
      <w:tr w:rsidR="00574508" w:rsidRPr="00F27FF9" w14:paraId="4BB235E6" w14:textId="77777777" w:rsidTr="00574508">
        <w:tc>
          <w:tcPr>
            <w:tcW w:w="0" w:type="auto"/>
          </w:tcPr>
          <w:p w14:paraId="2CA2FD95"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Spirometers available on-site (n)</w:t>
            </w:r>
          </w:p>
        </w:tc>
        <w:tc>
          <w:tcPr>
            <w:tcW w:w="0" w:type="auto"/>
          </w:tcPr>
          <w:p w14:paraId="03E70E0E"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5212E92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3A87749B"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7991265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w:t>
            </w:r>
          </w:p>
        </w:tc>
        <w:tc>
          <w:tcPr>
            <w:tcW w:w="0" w:type="auto"/>
          </w:tcPr>
          <w:p w14:paraId="5077BA41"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1C313EB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28407416"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mix of small and full units</w:t>
            </w:r>
          </w:p>
        </w:tc>
      </w:tr>
      <w:tr w:rsidR="00574508" w:rsidRPr="00F27FF9" w14:paraId="36876339" w14:textId="77777777" w:rsidTr="00574508">
        <w:tc>
          <w:tcPr>
            <w:tcW w:w="0" w:type="auto"/>
          </w:tcPr>
          <w:p w14:paraId="0ECAA474"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Staff certified in spirometry use (n)</w:t>
            </w:r>
          </w:p>
        </w:tc>
        <w:tc>
          <w:tcPr>
            <w:tcW w:w="0" w:type="auto"/>
          </w:tcPr>
          <w:p w14:paraId="0F13BF33"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w:t>
            </w:r>
          </w:p>
        </w:tc>
        <w:tc>
          <w:tcPr>
            <w:tcW w:w="0" w:type="auto"/>
          </w:tcPr>
          <w:p w14:paraId="039ABED4"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w:t>
            </w:r>
          </w:p>
        </w:tc>
        <w:tc>
          <w:tcPr>
            <w:tcW w:w="0" w:type="auto"/>
          </w:tcPr>
          <w:p w14:paraId="6297807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w:t>
            </w:r>
          </w:p>
        </w:tc>
        <w:tc>
          <w:tcPr>
            <w:tcW w:w="0" w:type="auto"/>
          </w:tcPr>
          <w:p w14:paraId="69273615"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w:t>
            </w:r>
          </w:p>
        </w:tc>
        <w:tc>
          <w:tcPr>
            <w:tcW w:w="0" w:type="auto"/>
          </w:tcPr>
          <w:p w14:paraId="2052A4F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8</w:t>
            </w:r>
          </w:p>
        </w:tc>
        <w:tc>
          <w:tcPr>
            <w:tcW w:w="0" w:type="auto"/>
          </w:tcPr>
          <w:p w14:paraId="1D8F4956"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10</w:t>
            </w:r>
          </w:p>
        </w:tc>
        <w:tc>
          <w:tcPr>
            <w:tcW w:w="0" w:type="auto"/>
          </w:tcPr>
          <w:p w14:paraId="1CFD2529"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training records</w:t>
            </w:r>
          </w:p>
        </w:tc>
      </w:tr>
      <w:tr w:rsidR="00574508" w:rsidRPr="00F27FF9" w14:paraId="3CFDFFBE" w14:textId="77777777" w:rsidTr="00574508">
        <w:tc>
          <w:tcPr>
            <w:tcW w:w="0" w:type="auto"/>
            <w:gridSpan w:val="8"/>
          </w:tcPr>
          <w:p w14:paraId="02F64692" w14:textId="77777777" w:rsidR="00574508" w:rsidRPr="00F27FF9" w:rsidRDefault="00574508" w:rsidP="00574508">
            <w:pPr>
              <w:rPr>
                <w:rFonts w:asciiTheme="majorBidi" w:hAnsiTheme="majorBidi" w:cstheme="majorBidi"/>
                <w:sz w:val="17"/>
                <w:szCs w:val="17"/>
              </w:rPr>
            </w:pPr>
            <w:r>
              <w:rPr>
                <w:rFonts w:asciiTheme="majorBidi" w:hAnsiTheme="majorBidi" w:cstheme="majorBidi"/>
                <w:b/>
                <w:bCs/>
                <w:sz w:val="17"/>
                <w:szCs w:val="17"/>
              </w:rPr>
              <w:t>C. Prescribing Quality Indicators</w:t>
            </w:r>
          </w:p>
        </w:tc>
      </w:tr>
      <w:tr w:rsidR="00574508" w:rsidRPr="00F27FF9" w14:paraId="7A6C8115" w14:textId="77777777" w:rsidTr="00574508">
        <w:tc>
          <w:tcPr>
            <w:tcW w:w="0" w:type="auto"/>
          </w:tcPr>
          <w:p w14:paraId="7748F869"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R:C prescribing ratio (annual)</w:t>
            </w:r>
          </w:p>
        </w:tc>
        <w:tc>
          <w:tcPr>
            <w:tcW w:w="0" w:type="auto"/>
          </w:tcPr>
          <w:p w14:paraId="456EC39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2.77</w:t>
            </w:r>
          </w:p>
        </w:tc>
        <w:tc>
          <w:tcPr>
            <w:tcW w:w="0" w:type="auto"/>
          </w:tcPr>
          <w:p w14:paraId="4551490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2.25</w:t>
            </w:r>
          </w:p>
        </w:tc>
        <w:tc>
          <w:tcPr>
            <w:tcW w:w="0" w:type="auto"/>
          </w:tcPr>
          <w:p w14:paraId="5A6C341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2.02</w:t>
            </w:r>
          </w:p>
        </w:tc>
        <w:tc>
          <w:tcPr>
            <w:tcW w:w="0" w:type="auto"/>
          </w:tcPr>
          <w:p w14:paraId="041825D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1.50</w:t>
            </w:r>
          </w:p>
        </w:tc>
        <w:tc>
          <w:tcPr>
            <w:tcW w:w="0" w:type="auto"/>
          </w:tcPr>
          <w:p w14:paraId="2D6F57E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1.27</w:t>
            </w:r>
          </w:p>
        </w:tc>
        <w:tc>
          <w:tcPr>
            <w:tcW w:w="0" w:type="auto"/>
          </w:tcPr>
          <w:p w14:paraId="238C33BA"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0.78</w:t>
            </w:r>
          </w:p>
        </w:tc>
        <w:tc>
          <w:tcPr>
            <w:tcW w:w="0" w:type="auto"/>
          </w:tcPr>
          <w:p w14:paraId="54A9353E"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SAS analysis</w:t>
            </w:r>
          </w:p>
        </w:tc>
      </w:tr>
      <w:tr w:rsidR="00574508" w:rsidRPr="00F27FF9" w14:paraId="28EDFCE1" w14:textId="77777777" w:rsidTr="00574508">
        <w:tc>
          <w:tcPr>
            <w:tcW w:w="0" w:type="auto"/>
          </w:tcPr>
          <w:p w14:paraId="2FA1029C"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Patients on controller medication (annual, n)</w:t>
            </w:r>
          </w:p>
        </w:tc>
        <w:tc>
          <w:tcPr>
            <w:tcW w:w="0" w:type="auto"/>
          </w:tcPr>
          <w:p w14:paraId="4EEDD77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758</w:t>
            </w:r>
          </w:p>
        </w:tc>
        <w:tc>
          <w:tcPr>
            <w:tcW w:w="0" w:type="auto"/>
          </w:tcPr>
          <w:p w14:paraId="156EC971"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728</w:t>
            </w:r>
          </w:p>
        </w:tc>
        <w:tc>
          <w:tcPr>
            <w:tcW w:w="0" w:type="auto"/>
          </w:tcPr>
          <w:p w14:paraId="5632C12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818</w:t>
            </w:r>
          </w:p>
        </w:tc>
        <w:tc>
          <w:tcPr>
            <w:tcW w:w="0" w:type="auto"/>
          </w:tcPr>
          <w:p w14:paraId="7428CB7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807</w:t>
            </w:r>
          </w:p>
        </w:tc>
        <w:tc>
          <w:tcPr>
            <w:tcW w:w="0" w:type="auto"/>
          </w:tcPr>
          <w:p w14:paraId="5C13377A"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930</w:t>
            </w:r>
          </w:p>
        </w:tc>
        <w:tc>
          <w:tcPr>
            <w:tcW w:w="0" w:type="auto"/>
          </w:tcPr>
          <w:p w14:paraId="68441EA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616</w:t>
            </w:r>
          </w:p>
        </w:tc>
        <w:tc>
          <w:tcPr>
            <w:tcW w:w="0" w:type="auto"/>
          </w:tcPr>
          <w:p w14:paraId="1858FCFC"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SAS analysis</w:t>
            </w:r>
          </w:p>
        </w:tc>
      </w:tr>
      <w:tr w:rsidR="00574508" w:rsidRPr="00F27FF9" w14:paraId="29C52963" w14:textId="77777777" w:rsidTr="00574508">
        <w:tc>
          <w:tcPr>
            <w:tcW w:w="0" w:type="auto"/>
          </w:tcPr>
          <w:p w14:paraId="4D0B1975"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Annual hospital referrals for asthma (n)</w:t>
            </w:r>
          </w:p>
        </w:tc>
        <w:tc>
          <w:tcPr>
            <w:tcW w:w="0" w:type="auto"/>
          </w:tcPr>
          <w:p w14:paraId="3DDC6F8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107</w:t>
            </w:r>
          </w:p>
        </w:tc>
        <w:tc>
          <w:tcPr>
            <w:tcW w:w="0" w:type="auto"/>
          </w:tcPr>
          <w:p w14:paraId="4CB04A1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74</w:t>
            </w:r>
          </w:p>
        </w:tc>
        <w:tc>
          <w:tcPr>
            <w:tcW w:w="0" w:type="auto"/>
          </w:tcPr>
          <w:p w14:paraId="2217345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105</w:t>
            </w:r>
          </w:p>
        </w:tc>
        <w:tc>
          <w:tcPr>
            <w:tcW w:w="0" w:type="auto"/>
          </w:tcPr>
          <w:p w14:paraId="6F3FBB3B"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95</w:t>
            </w:r>
          </w:p>
        </w:tc>
        <w:tc>
          <w:tcPr>
            <w:tcW w:w="0" w:type="auto"/>
          </w:tcPr>
          <w:p w14:paraId="7AFEA72A"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83</w:t>
            </w:r>
          </w:p>
        </w:tc>
        <w:tc>
          <w:tcPr>
            <w:tcW w:w="0" w:type="auto"/>
          </w:tcPr>
          <w:p w14:paraId="165FE34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65</w:t>
            </w:r>
          </w:p>
        </w:tc>
        <w:tc>
          <w:tcPr>
            <w:tcW w:w="0" w:type="auto"/>
          </w:tcPr>
          <w:p w14:paraId="779EFFB8"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PCI</w:t>
            </w:r>
          </w:p>
        </w:tc>
      </w:tr>
      <w:tr w:rsidR="00574508" w:rsidRPr="00F27FF9" w14:paraId="4F511F19" w14:textId="77777777" w:rsidTr="00574508">
        <w:tc>
          <w:tcPr>
            <w:tcW w:w="0" w:type="auto"/>
          </w:tcPr>
          <w:p w14:paraId="0BD171E4"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 asthma patients who are current smokers (annual)</w:t>
            </w:r>
          </w:p>
        </w:tc>
        <w:tc>
          <w:tcPr>
            <w:tcW w:w="0" w:type="auto"/>
          </w:tcPr>
          <w:p w14:paraId="7D0AF0C5"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5.2</w:t>
            </w:r>
          </w:p>
        </w:tc>
        <w:tc>
          <w:tcPr>
            <w:tcW w:w="0" w:type="auto"/>
          </w:tcPr>
          <w:p w14:paraId="27C3B79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5.6</w:t>
            </w:r>
          </w:p>
        </w:tc>
        <w:tc>
          <w:tcPr>
            <w:tcW w:w="0" w:type="auto"/>
          </w:tcPr>
          <w:p w14:paraId="1A661536"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6.0</w:t>
            </w:r>
          </w:p>
        </w:tc>
        <w:tc>
          <w:tcPr>
            <w:tcW w:w="0" w:type="auto"/>
          </w:tcPr>
          <w:p w14:paraId="594882C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6.1</w:t>
            </w:r>
          </w:p>
        </w:tc>
        <w:tc>
          <w:tcPr>
            <w:tcW w:w="0" w:type="auto"/>
          </w:tcPr>
          <w:p w14:paraId="4DCE9F34"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5.5</w:t>
            </w:r>
          </w:p>
        </w:tc>
        <w:tc>
          <w:tcPr>
            <w:tcW w:w="0" w:type="auto"/>
          </w:tcPr>
          <w:p w14:paraId="0ABE789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4.7</w:t>
            </w:r>
          </w:p>
        </w:tc>
        <w:tc>
          <w:tcPr>
            <w:tcW w:w="0" w:type="auto"/>
          </w:tcPr>
          <w:p w14:paraId="48250582"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PCI</w:t>
            </w:r>
          </w:p>
        </w:tc>
      </w:tr>
      <w:tr w:rsidR="00574508" w:rsidRPr="00F27FF9" w14:paraId="31C08564" w14:textId="77777777" w:rsidTr="00574508">
        <w:tc>
          <w:tcPr>
            <w:tcW w:w="0" w:type="auto"/>
            <w:gridSpan w:val="8"/>
          </w:tcPr>
          <w:p w14:paraId="7622D7DF" w14:textId="77777777" w:rsidR="00574508" w:rsidRPr="00F27FF9" w:rsidRDefault="00574508" w:rsidP="00574508">
            <w:pPr>
              <w:rPr>
                <w:rFonts w:asciiTheme="majorBidi" w:hAnsiTheme="majorBidi" w:cstheme="majorBidi"/>
                <w:sz w:val="17"/>
                <w:szCs w:val="17"/>
              </w:rPr>
            </w:pPr>
            <w:r>
              <w:rPr>
                <w:rFonts w:asciiTheme="majorBidi" w:hAnsiTheme="majorBidi" w:cstheme="majorBidi"/>
                <w:b/>
                <w:bCs/>
                <w:sz w:val="17"/>
                <w:szCs w:val="17"/>
              </w:rPr>
              <w:t>D. Patient Education &amp; Community Outreach</w:t>
            </w:r>
          </w:p>
        </w:tc>
      </w:tr>
      <w:tr w:rsidR="00574508" w:rsidRPr="00F27FF9" w14:paraId="5DDE0295" w14:textId="77777777" w:rsidTr="00574508">
        <w:tc>
          <w:tcPr>
            <w:tcW w:w="0" w:type="auto"/>
          </w:tcPr>
          <w:p w14:paraId="41CA1F13"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Asthma education sessions delivered (annual n)</w:t>
            </w:r>
          </w:p>
        </w:tc>
        <w:tc>
          <w:tcPr>
            <w:tcW w:w="0" w:type="auto"/>
          </w:tcPr>
          <w:p w14:paraId="0216FC44"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31</w:t>
            </w:r>
          </w:p>
        </w:tc>
        <w:tc>
          <w:tcPr>
            <w:tcW w:w="0" w:type="auto"/>
          </w:tcPr>
          <w:p w14:paraId="46D8607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20</w:t>
            </w:r>
          </w:p>
        </w:tc>
        <w:tc>
          <w:tcPr>
            <w:tcW w:w="0" w:type="auto"/>
          </w:tcPr>
          <w:p w14:paraId="75F8C18A"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33</w:t>
            </w:r>
          </w:p>
        </w:tc>
        <w:tc>
          <w:tcPr>
            <w:tcW w:w="0" w:type="auto"/>
          </w:tcPr>
          <w:p w14:paraId="6325D0F4"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37</w:t>
            </w:r>
          </w:p>
        </w:tc>
        <w:tc>
          <w:tcPr>
            <w:tcW w:w="0" w:type="auto"/>
          </w:tcPr>
          <w:p w14:paraId="3CCE0A3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70</w:t>
            </w:r>
          </w:p>
        </w:tc>
        <w:tc>
          <w:tcPr>
            <w:tcW w:w="0" w:type="auto"/>
          </w:tcPr>
          <w:p w14:paraId="476AB73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39</w:t>
            </w:r>
          </w:p>
        </w:tc>
        <w:tc>
          <w:tcPr>
            <w:tcW w:w="0" w:type="auto"/>
          </w:tcPr>
          <w:p w14:paraId="6402E37C"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QI logs / patient records</w:t>
            </w:r>
          </w:p>
        </w:tc>
      </w:tr>
      <w:tr w:rsidR="00574508" w:rsidRPr="00F27FF9" w14:paraId="3FCE4699" w14:textId="77777777" w:rsidTr="00574508">
        <w:tc>
          <w:tcPr>
            <w:tcW w:w="0" w:type="auto"/>
          </w:tcPr>
          <w:p w14:paraId="2915F59B"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Education rate per 100 asthma visits (%)</w:t>
            </w:r>
          </w:p>
        </w:tc>
        <w:tc>
          <w:tcPr>
            <w:tcW w:w="0" w:type="auto"/>
          </w:tcPr>
          <w:p w14:paraId="4A7C0F3A"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0.82</w:t>
            </w:r>
          </w:p>
        </w:tc>
        <w:tc>
          <w:tcPr>
            <w:tcW w:w="0" w:type="auto"/>
          </w:tcPr>
          <w:p w14:paraId="14610EB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0.67</w:t>
            </w:r>
          </w:p>
        </w:tc>
        <w:tc>
          <w:tcPr>
            <w:tcW w:w="0" w:type="auto"/>
          </w:tcPr>
          <w:p w14:paraId="6A7D885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1.07</w:t>
            </w:r>
          </w:p>
        </w:tc>
        <w:tc>
          <w:tcPr>
            <w:tcW w:w="0" w:type="auto"/>
          </w:tcPr>
          <w:p w14:paraId="6CE49552"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1.45</w:t>
            </w:r>
          </w:p>
        </w:tc>
        <w:tc>
          <w:tcPr>
            <w:tcW w:w="0" w:type="auto"/>
          </w:tcPr>
          <w:p w14:paraId="18416693"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2.87</w:t>
            </w:r>
          </w:p>
        </w:tc>
        <w:tc>
          <w:tcPr>
            <w:tcW w:w="0" w:type="auto"/>
          </w:tcPr>
          <w:p w14:paraId="2008CB94"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2.81</w:t>
            </w:r>
          </w:p>
        </w:tc>
        <w:tc>
          <w:tcPr>
            <w:tcW w:w="0" w:type="auto"/>
          </w:tcPr>
          <w:p w14:paraId="0C76ACC2"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From SAS: trend p&lt;0.001</w:t>
            </w:r>
          </w:p>
        </w:tc>
      </w:tr>
      <w:tr w:rsidR="00574508" w:rsidRPr="00F27FF9" w14:paraId="1CB4EE5F" w14:textId="77777777" w:rsidTr="00574508">
        <w:tc>
          <w:tcPr>
            <w:tcW w:w="0" w:type="auto"/>
          </w:tcPr>
          <w:p w14:paraId="6777374B"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Primary education delivery role</w:t>
            </w:r>
          </w:p>
        </w:tc>
        <w:tc>
          <w:tcPr>
            <w:tcW w:w="0" w:type="auto"/>
          </w:tcPr>
          <w:p w14:paraId="63911EAC"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Doctors</w:t>
            </w:r>
          </w:p>
        </w:tc>
        <w:tc>
          <w:tcPr>
            <w:tcW w:w="0" w:type="auto"/>
          </w:tcPr>
          <w:p w14:paraId="515291F0"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Doctors</w:t>
            </w:r>
          </w:p>
        </w:tc>
        <w:tc>
          <w:tcPr>
            <w:tcW w:w="0" w:type="auto"/>
          </w:tcPr>
          <w:p w14:paraId="67B57BC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Nurse + Dr</w:t>
            </w:r>
          </w:p>
        </w:tc>
        <w:tc>
          <w:tcPr>
            <w:tcW w:w="0" w:type="auto"/>
          </w:tcPr>
          <w:p w14:paraId="385A6818"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Nurse + Dr</w:t>
            </w:r>
          </w:p>
        </w:tc>
        <w:tc>
          <w:tcPr>
            <w:tcW w:w="0" w:type="auto"/>
          </w:tcPr>
          <w:p w14:paraId="7F5842A6"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Health educator</w:t>
            </w:r>
          </w:p>
        </w:tc>
        <w:tc>
          <w:tcPr>
            <w:tcW w:w="0" w:type="auto"/>
          </w:tcPr>
          <w:p w14:paraId="7801C3A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Health educator</w:t>
            </w:r>
          </w:p>
        </w:tc>
        <w:tc>
          <w:tcPr>
            <w:tcW w:w="0" w:type="auto"/>
          </w:tcPr>
          <w:p w14:paraId="76BBC657"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t>Task-shifting evolution</w:t>
            </w:r>
          </w:p>
        </w:tc>
      </w:tr>
      <w:tr w:rsidR="00574508" w:rsidRPr="00F27FF9" w14:paraId="2FF17EA6" w14:textId="77777777" w:rsidTr="00574508">
        <w:tc>
          <w:tcPr>
            <w:tcW w:w="0" w:type="auto"/>
          </w:tcPr>
          <w:p w14:paraId="6429623D" w14:textId="77777777" w:rsidR="00574508" w:rsidRPr="00F27FF9" w:rsidRDefault="00574508" w:rsidP="00574508">
            <w:pPr>
              <w:rPr>
                <w:rFonts w:asciiTheme="majorBidi" w:hAnsiTheme="majorBidi" w:cstheme="majorBidi"/>
                <w:sz w:val="17"/>
                <w:szCs w:val="17"/>
              </w:rPr>
            </w:pPr>
            <w:r>
              <w:rPr>
                <w:rFonts w:asciiTheme="majorBidi" w:hAnsiTheme="majorBidi" w:cstheme="majorBidi"/>
                <w:sz w:val="17"/>
                <w:szCs w:val="17"/>
              </w:rPr>
              <w:lastRenderedPageBreak/>
              <w:t>Community awareness events held (n/year)</w:t>
            </w:r>
          </w:p>
        </w:tc>
        <w:tc>
          <w:tcPr>
            <w:tcW w:w="0" w:type="auto"/>
          </w:tcPr>
          <w:p w14:paraId="22AAB30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09A3BAF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6949376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38DF4CCD"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69921AE7"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251F063B" w14:textId="77777777" w:rsidR="00574508" w:rsidRPr="00F27FF9" w:rsidRDefault="00574508" w:rsidP="00574508">
            <w:pPr>
              <w:jc w:val="center"/>
              <w:rPr>
                <w:rFonts w:asciiTheme="majorBidi" w:hAnsiTheme="majorBidi" w:cstheme="majorBidi"/>
                <w:sz w:val="17"/>
                <w:szCs w:val="17"/>
              </w:rPr>
            </w:pPr>
            <w:r>
              <w:rPr>
                <w:rFonts w:asciiTheme="majorBidi" w:hAnsiTheme="majorBidi" w:cstheme="majorBidi"/>
                <w:sz w:val="17"/>
                <w:szCs w:val="17"/>
              </w:rPr>
              <w:t>2</w:t>
            </w:r>
          </w:p>
        </w:tc>
        <w:tc>
          <w:tcPr>
            <w:tcW w:w="0" w:type="auto"/>
          </w:tcPr>
          <w:p w14:paraId="323ED801" w14:textId="77777777" w:rsidR="00574508" w:rsidRPr="00F27FF9" w:rsidRDefault="00574508" w:rsidP="00574508">
            <w:pPr>
              <w:rPr>
                <w:rFonts w:asciiTheme="majorBidi" w:hAnsiTheme="majorBidi" w:cstheme="majorBidi"/>
                <w:sz w:val="17"/>
                <w:szCs w:val="17"/>
              </w:rPr>
            </w:pPr>
            <w:proofErr w:type="spellStart"/>
            <w:r>
              <w:rPr>
                <w:rFonts w:asciiTheme="majorBidi" w:hAnsiTheme="majorBidi" w:cstheme="majorBidi"/>
                <w:sz w:val="17"/>
                <w:szCs w:val="17"/>
              </w:rPr>
              <w:t>Programme</w:t>
            </w:r>
            <w:proofErr w:type="spellEnd"/>
            <w:r>
              <w:rPr>
                <w:rFonts w:asciiTheme="majorBidi" w:hAnsiTheme="majorBidi" w:cstheme="majorBidi"/>
                <w:sz w:val="17"/>
                <w:szCs w:val="17"/>
              </w:rPr>
              <w:t xml:space="preserve"> activity log</w:t>
            </w:r>
          </w:p>
        </w:tc>
      </w:tr>
    </w:tbl>
    <w:p w14:paraId="3BBCA457" w14:textId="19C4E5CB" w:rsidR="009C5332" w:rsidRDefault="009C5332" w:rsidP="009C5332">
      <w:pPr>
        <w:spacing w:after="160" w:line="278" w:lineRule="auto"/>
        <w:rPr>
          <w:rFonts w:asciiTheme="majorBidi" w:hAnsiTheme="majorBidi" w:cstheme="majorBidi"/>
        </w:rPr>
      </w:pPr>
      <w:r>
        <w:rPr>
          <w:rFonts w:asciiTheme="majorBidi" w:hAnsiTheme="majorBidi" w:cstheme="majorBidi"/>
        </w:rPr>
        <w:br w:type="page"/>
      </w:r>
    </w:p>
    <w:p w14:paraId="73C42886" w14:textId="77777777" w:rsidR="009C5332" w:rsidRDefault="009C5332" w:rsidP="009C5332">
      <w:pPr>
        <w:rPr>
          <w:rFonts w:asciiTheme="majorBidi" w:hAnsiTheme="majorBidi" w:cstheme="majorBidi"/>
          <w:b/>
          <w:bCs/>
        </w:rPr>
      </w:pPr>
    </w:p>
    <w:p w14:paraId="6D359F34" w14:textId="324DF531" w:rsidR="009C5332" w:rsidRDefault="009C5332" w:rsidP="009C5332">
      <w:pPr>
        <w:rPr>
          <w:rFonts w:asciiTheme="majorBidi" w:hAnsiTheme="majorBidi" w:cstheme="majorBidi"/>
          <w:b/>
          <w:bCs/>
        </w:rPr>
      </w:pPr>
      <w:r>
        <w:rPr>
          <w:rFonts w:asciiTheme="majorBidi" w:hAnsiTheme="majorBidi" w:cstheme="majorBidi"/>
          <w:b/>
          <w:bCs/>
        </w:rPr>
        <w:t>Supplemental Figure S1. Kaizen/PDCA framework for continuous improvement in asthma services.</w:t>
      </w:r>
    </w:p>
    <w:p w14:paraId="3D29754B" w14:textId="77777777" w:rsidR="009C5332" w:rsidRDefault="009C5332" w:rsidP="009C5332">
      <w:pPr>
        <w:rPr>
          <w:rFonts w:asciiTheme="majorBidi" w:hAnsiTheme="majorBidi" w:cstheme="majorBidi"/>
        </w:rPr>
      </w:pPr>
      <w:r>
        <w:rPr>
          <w:rFonts w:asciiTheme="majorBidi" w:hAnsiTheme="majorBidi" w:cstheme="majorBidi"/>
          <w:i/>
          <w:iCs/>
          <w:sz w:val="16"/>
          <w:szCs w:val="16"/>
        </w:rPr>
        <w:t xml:space="preserve">The PDCA cycle illustrates the iterative structure of a decade-long quality improvement </w:t>
      </w:r>
      <w:proofErr w:type="spellStart"/>
      <w:r>
        <w:rPr>
          <w:rFonts w:asciiTheme="majorBidi" w:hAnsiTheme="majorBidi" w:cstheme="majorBidi"/>
          <w:i/>
          <w:iCs/>
          <w:sz w:val="16"/>
          <w:szCs w:val="16"/>
        </w:rPr>
        <w:t>programme</w:t>
      </w:r>
      <w:proofErr w:type="spellEnd"/>
      <w:r>
        <w:rPr>
          <w:rFonts w:asciiTheme="majorBidi" w:hAnsiTheme="majorBidi" w:cstheme="majorBidi"/>
          <w:i/>
          <w:iCs/>
          <w:sz w:val="16"/>
          <w:szCs w:val="16"/>
        </w:rPr>
        <w:t xml:space="preserve"> integrating clinical and environmental interventions. Plan defines guideline-based care, key performance indicators (including asthma visits % and the reliever-to-controller (R:C) ratio), and system gaps. Do implements interventions such as medication access, </w:t>
      </w:r>
      <w:proofErr w:type="spellStart"/>
      <w:r>
        <w:rPr>
          <w:rFonts w:asciiTheme="majorBidi" w:hAnsiTheme="majorBidi" w:cstheme="majorBidi"/>
          <w:i/>
          <w:iCs/>
          <w:sz w:val="16"/>
          <w:szCs w:val="16"/>
        </w:rPr>
        <w:t>standardised</w:t>
      </w:r>
      <w:proofErr w:type="spellEnd"/>
      <w:r>
        <w:rPr>
          <w:rFonts w:asciiTheme="majorBidi" w:hAnsiTheme="majorBidi" w:cstheme="majorBidi"/>
          <w:i/>
          <w:iCs/>
          <w:sz w:val="16"/>
          <w:szCs w:val="16"/>
        </w:rPr>
        <w:t xml:space="preserve"> protocols, spirometry with training, patient education, and air quality integration. Check evaluates outcomes using routinely collected data, including visit trends, prescribing patterns, audit and adherence, and environmental context. Act refines and scales interventions, addresses system gaps, and supports continuous improvement through repeated PDCA cycles.</w:t>
      </w:r>
    </w:p>
    <w:p w14:paraId="7A858B32" w14:textId="77777777" w:rsidR="009C5332" w:rsidRDefault="009C5332" w:rsidP="009C5332">
      <w:pPr>
        <w:jc w:val="center"/>
        <w:rPr>
          <w:rFonts w:asciiTheme="majorBidi" w:hAnsiTheme="majorBidi" w:cstheme="majorBidi"/>
        </w:rPr>
      </w:pPr>
      <w:r w:rsidRPr="00EB0E5B">
        <w:rPr>
          <w:rFonts w:asciiTheme="majorBidi" w:hAnsiTheme="majorBidi" w:cstheme="majorBidi"/>
          <w:noProof/>
        </w:rPr>
        <w:drawing>
          <wp:inline distT="0" distB="0" distL="0" distR="0" wp14:anchorId="2EA4AF4F" wp14:editId="7EE648B4">
            <wp:extent cx="5943600" cy="5262245"/>
            <wp:effectExtent l="0" t="0" r="0" b="0"/>
            <wp:docPr id="11377060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706083" name="Picture 1137706083"/>
                    <pic:cNvPicPr/>
                  </pic:nvPicPr>
                  <pic:blipFill>
                    <a:blip r:embed="rId6">
                      <a:extLst>
                        <a:ext uri="{28A0092B-C50C-407E-A947-70E740481C1C}">
                          <a14:useLocalDpi xmlns:a14="http://schemas.microsoft.com/office/drawing/2010/main" val="0"/>
                        </a:ext>
                      </a:extLst>
                    </a:blip>
                    <a:stretch>
                      <a:fillRect/>
                    </a:stretch>
                  </pic:blipFill>
                  <pic:spPr>
                    <a:xfrm>
                      <a:off x="0" y="0"/>
                      <a:ext cx="5943600" cy="5262245"/>
                    </a:xfrm>
                    <a:prstGeom prst="rect">
                      <a:avLst/>
                    </a:prstGeom>
                  </pic:spPr>
                </pic:pic>
              </a:graphicData>
            </a:graphic>
          </wp:inline>
        </w:drawing>
      </w:r>
    </w:p>
    <w:p w14:paraId="7039EBE8" w14:textId="77777777" w:rsidR="009C5332" w:rsidRDefault="009C5332" w:rsidP="009C5332">
      <w:pPr>
        <w:jc w:val="center"/>
        <w:rPr>
          <w:rFonts w:asciiTheme="majorBidi" w:hAnsiTheme="majorBidi" w:cstheme="majorBidi"/>
        </w:rPr>
      </w:pPr>
    </w:p>
    <w:p w14:paraId="791C0EF3" w14:textId="77777777" w:rsidR="009C5332" w:rsidRDefault="009C5332" w:rsidP="009C5332">
      <w:pPr>
        <w:jc w:val="center"/>
        <w:rPr>
          <w:rFonts w:asciiTheme="majorBidi" w:hAnsiTheme="majorBidi" w:cstheme="majorBidi"/>
        </w:rPr>
      </w:pPr>
    </w:p>
    <w:p w14:paraId="4476813B" w14:textId="77777777" w:rsidR="009C5332" w:rsidRDefault="009C5332" w:rsidP="009C5332">
      <w:pPr>
        <w:spacing w:after="160" w:line="278" w:lineRule="auto"/>
        <w:rPr>
          <w:rFonts w:asciiTheme="majorBidi" w:hAnsiTheme="majorBidi" w:cstheme="majorBidi"/>
        </w:rPr>
      </w:pPr>
      <w:r>
        <w:rPr>
          <w:rFonts w:asciiTheme="majorBidi" w:hAnsiTheme="majorBidi" w:cstheme="majorBidi"/>
        </w:rPr>
        <w:br w:type="page"/>
      </w:r>
    </w:p>
    <w:p w14:paraId="11487F24" w14:textId="77777777" w:rsidR="009C5332" w:rsidRPr="00C128E7" w:rsidRDefault="009C5332" w:rsidP="009C5332">
      <w:pPr>
        <w:keepNext/>
        <w:rPr>
          <w:rFonts w:ascii="Times New Roman" w:hAnsi="Times New Roman" w:cs="Times New Roman"/>
          <w:b/>
          <w:bCs/>
        </w:rPr>
      </w:pPr>
      <w:r>
        <w:rPr>
          <w:rFonts w:ascii="Times New Roman" w:hAnsi="Times New Roman" w:cs="Times New Roman"/>
          <w:b/>
          <w:bCs/>
        </w:rPr>
        <w:lastRenderedPageBreak/>
        <w:t>Supplemental Figure S2. Traffic Redesign and Emission-Reduction Intervention</w:t>
      </w:r>
    </w:p>
    <w:p w14:paraId="25423F3A" w14:textId="77777777" w:rsidR="009C5332" w:rsidRPr="00C128E7" w:rsidRDefault="009C5332" w:rsidP="009C5332">
      <w:pPr>
        <w:keepNext/>
        <w:rPr>
          <w:rFonts w:ascii="Times New Roman" w:hAnsi="Times New Roman" w:cs="Times New Roman"/>
          <w:i/>
          <w:iCs/>
          <w:sz w:val="16"/>
          <w:szCs w:val="16"/>
        </w:rPr>
      </w:pPr>
      <w:r>
        <w:rPr>
          <w:rFonts w:ascii="Times New Roman" w:hAnsi="Times New Roman" w:cs="Times New Roman"/>
          <w:i/>
          <w:iCs/>
          <w:sz w:val="16"/>
          <w:szCs w:val="16"/>
        </w:rPr>
        <w:t>Map showing the highway underpass project (2015), which redirected traffic away from residential streets and the clinic zone to reduce local congestion and exposure to vehicle emissions.</w:t>
      </w:r>
    </w:p>
    <w:p w14:paraId="798061EB" w14:textId="77777777" w:rsidR="009C5332" w:rsidRDefault="009C5332" w:rsidP="009C5332">
      <w:pPr>
        <w:keepNext/>
        <w:rPr>
          <w:rFonts w:ascii="Times New Roman" w:hAnsi="Times New Roman" w:cs="Times New Roman"/>
        </w:rPr>
      </w:pPr>
    </w:p>
    <w:p w14:paraId="4D396A02" w14:textId="77777777" w:rsidR="009C5332" w:rsidRPr="00F97E62" w:rsidRDefault="009C5332" w:rsidP="009C5332">
      <w:pPr>
        <w:keepNext/>
        <w:jc w:val="center"/>
        <w:rPr>
          <w:rFonts w:ascii="Times New Roman" w:hAnsi="Times New Roman" w:cs="Times New Roman"/>
        </w:rPr>
      </w:pPr>
      <w:r>
        <w:rPr>
          <w:rFonts w:ascii="Times New Roman" w:hAnsi="Times New Roman" w:cs="Times New Roman"/>
          <w:noProof/>
        </w:rPr>
        <w:drawing>
          <wp:inline distT="0" distB="0" distL="0" distR="0" wp14:anchorId="63802DE1" wp14:editId="476D00C2">
            <wp:extent cx="4038600" cy="3695700"/>
            <wp:effectExtent l="0" t="0" r="0" b="0"/>
            <wp:docPr id="807519962" name="Picture 2" descr="A map of a road with a sign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519962" name="Picture 2" descr="A map of a road with a sign  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38600" cy="3695700"/>
                    </a:xfrm>
                    <a:prstGeom prst="rect">
                      <a:avLst/>
                    </a:prstGeom>
                  </pic:spPr>
                </pic:pic>
              </a:graphicData>
            </a:graphic>
          </wp:inline>
        </w:drawing>
      </w:r>
      <w:r w:rsidRPr="00EB0E5B">
        <w:rPr>
          <w:rFonts w:asciiTheme="majorBidi" w:hAnsiTheme="majorBidi" w:cstheme="majorBidi"/>
          <w:noProof/>
        </w:rPr>
        <w:drawing>
          <wp:anchor distT="0" distB="0" distL="114300" distR="114300" simplePos="0" relativeHeight="251659264" behindDoc="0" locked="0" layoutInCell="1" allowOverlap="1" wp14:anchorId="3BC2DB28" wp14:editId="3D5E6EB7">
            <wp:simplePos x="0" y="0"/>
            <wp:positionH relativeFrom="column">
              <wp:posOffset>1025837</wp:posOffset>
            </wp:positionH>
            <wp:positionV relativeFrom="paragraph">
              <wp:posOffset>3002284</wp:posOffset>
            </wp:positionV>
            <wp:extent cx="1057917" cy="618665"/>
            <wp:effectExtent l="38100" t="38100" r="85090" b="92710"/>
            <wp:wrapNone/>
            <wp:docPr id="21216566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656677" name="Picture 212165667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7917" cy="618665"/>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14:paraId="6D386FAC" w14:textId="77777777" w:rsidR="00EC7EAC" w:rsidRDefault="00EC7EAC"/>
    <w:sectPr w:rsidR="00EC7EAC">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8A85E" w14:textId="77777777" w:rsidR="00B87440" w:rsidRDefault="00B87440" w:rsidP="009C5332">
      <w:pPr>
        <w:spacing w:after="0"/>
      </w:pPr>
      <w:r>
        <w:separator/>
      </w:r>
    </w:p>
  </w:endnote>
  <w:endnote w:type="continuationSeparator" w:id="0">
    <w:p w14:paraId="7FEB939B" w14:textId="77777777" w:rsidR="00B87440" w:rsidRDefault="00B87440" w:rsidP="009C533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07CD5" w14:textId="77777777" w:rsidR="00B87440" w:rsidRDefault="00B87440" w:rsidP="009C5332">
      <w:pPr>
        <w:spacing w:after="0"/>
      </w:pPr>
      <w:r>
        <w:separator/>
      </w:r>
    </w:p>
  </w:footnote>
  <w:footnote w:type="continuationSeparator" w:id="0">
    <w:p w14:paraId="763391D4" w14:textId="77777777" w:rsidR="00B87440" w:rsidRDefault="00B87440" w:rsidP="009C533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D52DF" w14:textId="77777777" w:rsidR="00574508" w:rsidRDefault="00574508">
    <w:pPr>
      <w:pStyle w:val="Header"/>
      <w:rPr>
        <w:rFonts w:asciiTheme="majorBidi" w:hAnsiTheme="majorBidi" w:cstheme="majorBidi"/>
        <w:i/>
        <w:iCs/>
        <w:sz w:val="16"/>
        <w:szCs w:val="16"/>
      </w:rPr>
    </w:pPr>
    <w:r w:rsidRPr="00574508">
      <w:rPr>
        <w:rFonts w:asciiTheme="majorBidi" w:hAnsiTheme="majorBidi" w:cstheme="majorBidi"/>
        <w:i/>
        <w:iCs/>
        <w:sz w:val="16"/>
        <w:szCs w:val="16"/>
      </w:rPr>
      <w:t>A Decade of Asthma Care in Primary Care in Kuwait: Trends in Utilization, Prescribing, and the Reliever-to-Controller Ratio</w:t>
    </w:r>
  </w:p>
  <w:p w14:paraId="15C57D73" w14:textId="11B5BF01" w:rsidR="009C5332" w:rsidRDefault="009C5332">
    <w:pPr>
      <w:pStyle w:val="Header"/>
      <w:rPr>
        <w:rFonts w:asciiTheme="majorBidi" w:hAnsiTheme="majorBidi" w:cstheme="majorBidi"/>
        <w:i/>
        <w:iCs/>
        <w:sz w:val="16"/>
        <w:szCs w:val="16"/>
      </w:rPr>
    </w:pPr>
    <w:proofErr w:type="spellStart"/>
    <w:r w:rsidRPr="009C5332">
      <w:rPr>
        <w:rFonts w:asciiTheme="majorBidi" w:hAnsiTheme="majorBidi" w:cstheme="majorBidi"/>
        <w:i/>
        <w:iCs/>
        <w:sz w:val="16"/>
        <w:szCs w:val="16"/>
      </w:rPr>
      <w:t>Alkhamees</w:t>
    </w:r>
    <w:proofErr w:type="spellEnd"/>
    <w:r w:rsidRPr="009C5332">
      <w:rPr>
        <w:rFonts w:asciiTheme="majorBidi" w:hAnsiTheme="majorBidi" w:cstheme="majorBidi"/>
        <w:i/>
        <w:iCs/>
        <w:sz w:val="16"/>
        <w:szCs w:val="16"/>
      </w:rPr>
      <w:t xml:space="preserve">, M., </w:t>
    </w:r>
    <w:proofErr w:type="spellStart"/>
    <w:r w:rsidRPr="009C5332">
      <w:rPr>
        <w:rFonts w:asciiTheme="majorBidi" w:hAnsiTheme="majorBidi" w:cstheme="majorBidi"/>
        <w:i/>
        <w:iCs/>
        <w:sz w:val="16"/>
        <w:szCs w:val="16"/>
      </w:rPr>
      <w:t>Aljareki</w:t>
    </w:r>
    <w:proofErr w:type="spellEnd"/>
    <w:r w:rsidRPr="009C5332">
      <w:rPr>
        <w:rFonts w:asciiTheme="majorBidi" w:hAnsiTheme="majorBidi" w:cstheme="majorBidi"/>
        <w:i/>
        <w:iCs/>
        <w:sz w:val="16"/>
        <w:szCs w:val="16"/>
      </w:rPr>
      <w:t xml:space="preserve">, T., </w:t>
    </w:r>
    <w:proofErr w:type="spellStart"/>
    <w:r w:rsidRPr="009C5332">
      <w:rPr>
        <w:rFonts w:asciiTheme="majorBidi" w:hAnsiTheme="majorBidi" w:cstheme="majorBidi"/>
        <w:i/>
        <w:iCs/>
        <w:sz w:val="16"/>
        <w:szCs w:val="16"/>
      </w:rPr>
      <w:t>Alothman</w:t>
    </w:r>
    <w:proofErr w:type="spellEnd"/>
    <w:r w:rsidRPr="009C5332">
      <w:rPr>
        <w:rFonts w:asciiTheme="majorBidi" w:hAnsiTheme="majorBidi" w:cstheme="majorBidi"/>
        <w:i/>
        <w:iCs/>
        <w:sz w:val="16"/>
        <w:szCs w:val="16"/>
      </w:rPr>
      <w:t xml:space="preserve">, G., </w:t>
    </w:r>
    <w:proofErr w:type="spellStart"/>
    <w:r w:rsidRPr="009C5332">
      <w:rPr>
        <w:rFonts w:asciiTheme="majorBidi" w:hAnsiTheme="majorBidi" w:cstheme="majorBidi"/>
        <w:i/>
        <w:iCs/>
        <w:sz w:val="16"/>
        <w:szCs w:val="16"/>
      </w:rPr>
      <w:t>Aladsani</w:t>
    </w:r>
    <w:proofErr w:type="spellEnd"/>
    <w:r w:rsidRPr="009C5332">
      <w:rPr>
        <w:rFonts w:asciiTheme="majorBidi" w:hAnsiTheme="majorBidi" w:cstheme="majorBidi"/>
        <w:i/>
        <w:iCs/>
        <w:sz w:val="16"/>
        <w:szCs w:val="16"/>
      </w:rPr>
      <w:t xml:space="preserve">, R., </w:t>
    </w:r>
    <w:proofErr w:type="spellStart"/>
    <w:r w:rsidRPr="009C5332">
      <w:rPr>
        <w:rFonts w:asciiTheme="majorBidi" w:hAnsiTheme="majorBidi" w:cstheme="majorBidi"/>
        <w:i/>
        <w:iCs/>
        <w:sz w:val="16"/>
        <w:szCs w:val="16"/>
      </w:rPr>
      <w:t>Alduwaisan</w:t>
    </w:r>
    <w:proofErr w:type="spellEnd"/>
    <w:r w:rsidRPr="009C5332">
      <w:rPr>
        <w:rFonts w:asciiTheme="majorBidi" w:hAnsiTheme="majorBidi" w:cstheme="majorBidi"/>
        <w:i/>
        <w:iCs/>
        <w:sz w:val="16"/>
        <w:szCs w:val="16"/>
      </w:rPr>
      <w:t>, H.</w:t>
    </w:r>
  </w:p>
  <w:p w14:paraId="78ED7CC5" w14:textId="690AB09F" w:rsidR="009C5332" w:rsidRPr="009C5332" w:rsidRDefault="009C5332">
    <w:pPr>
      <w:pStyle w:val="Header"/>
      <w:rPr>
        <w:rFonts w:asciiTheme="majorBidi" w:hAnsiTheme="majorBidi" w:cstheme="majorBidi"/>
        <w:i/>
        <w:iCs/>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332"/>
    <w:rsid w:val="000157F8"/>
    <w:rsid w:val="000A3794"/>
    <w:rsid w:val="004E5E19"/>
    <w:rsid w:val="00574508"/>
    <w:rsid w:val="006F10B2"/>
    <w:rsid w:val="009C5332"/>
    <w:rsid w:val="00B87440"/>
    <w:rsid w:val="00D92E10"/>
    <w:rsid w:val="00EC7EAC"/>
    <w:rsid w:val="00F857BC"/>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14:docId w14:val="3FD3B996"/>
  <w15:chartTrackingRefBased/>
  <w15:docId w15:val="{A6F3B7C6-5CFE-2D4B-BF9D-1175C17F8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332"/>
    <w:pPr>
      <w:suppressAutoHyphens/>
      <w:spacing w:after="200" w:line="240" w:lineRule="auto"/>
    </w:pPr>
    <w:rPr>
      <w:kern w:val="0"/>
      <w:lang w:val="en-US"/>
      <w14:ligatures w14:val="none"/>
    </w:rPr>
  </w:style>
  <w:style w:type="paragraph" w:styleId="Heading1">
    <w:name w:val="heading 1"/>
    <w:basedOn w:val="Normal"/>
    <w:next w:val="Normal"/>
    <w:link w:val="Heading1Char"/>
    <w:uiPriority w:val="9"/>
    <w:qFormat/>
    <w:rsid w:val="009C5332"/>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lang w:val="en-CA"/>
      <w14:ligatures w14:val="standardContextual"/>
    </w:rPr>
  </w:style>
  <w:style w:type="paragraph" w:styleId="Heading2">
    <w:name w:val="heading 2"/>
    <w:basedOn w:val="Normal"/>
    <w:next w:val="Normal"/>
    <w:link w:val="Heading2Char"/>
    <w:uiPriority w:val="9"/>
    <w:unhideWhenUsed/>
    <w:qFormat/>
    <w:rsid w:val="009C5332"/>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lang w:val="en-CA"/>
      <w14:ligatures w14:val="standardContextual"/>
    </w:rPr>
  </w:style>
  <w:style w:type="paragraph" w:styleId="Heading3">
    <w:name w:val="heading 3"/>
    <w:basedOn w:val="Normal"/>
    <w:next w:val="Normal"/>
    <w:link w:val="Heading3Char"/>
    <w:uiPriority w:val="9"/>
    <w:semiHidden/>
    <w:unhideWhenUsed/>
    <w:qFormat/>
    <w:rsid w:val="009C5332"/>
    <w:pPr>
      <w:keepNext/>
      <w:keepLines/>
      <w:suppressAutoHyphens w:val="0"/>
      <w:spacing w:before="160" w:after="80" w:line="278" w:lineRule="auto"/>
      <w:outlineLvl w:val="2"/>
    </w:pPr>
    <w:rPr>
      <w:rFonts w:eastAsiaTheme="majorEastAsia" w:cstheme="majorBidi"/>
      <w:color w:val="0F4761" w:themeColor="accent1" w:themeShade="BF"/>
      <w:kern w:val="2"/>
      <w:sz w:val="28"/>
      <w:szCs w:val="28"/>
      <w:lang w:val="en-CA"/>
      <w14:ligatures w14:val="standardContextual"/>
    </w:rPr>
  </w:style>
  <w:style w:type="paragraph" w:styleId="Heading4">
    <w:name w:val="heading 4"/>
    <w:basedOn w:val="Normal"/>
    <w:next w:val="Normal"/>
    <w:link w:val="Heading4Char"/>
    <w:uiPriority w:val="9"/>
    <w:semiHidden/>
    <w:unhideWhenUsed/>
    <w:qFormat/>
    <w:rsid w:val="009C5332"/>
    <w:pPr>
      <w:keepNext/>
      <w:keepLines/>
      <w:suppressAutoHyphens w:val="0"/>
      <w:spacing w:before="80" w:after="40" w:line="278" w:lineRule="auto"/>
      <w:outlineLvl w:val="3"/>
    </w:pPr>
    <w:rPr>
      <w:rFonts w:eastAsiaTheme="majorEastAsia" w:cstheme="majorBidi"/>
      <w:i/>
      <w:iCs/>
      <w:color w:val="0F4761" w:themeColor="accent1" w:themeShade="BF"/>
      <w:kern w:val="2"/>
      <w:lang w:val="en-CA"/>
      <w14:ligatures w14:val="standardContextual"/>
    </w:rPr>
  </w:style>
  <w:style w:type="paragraph" w:styleId="Heading5">
    <w:name w:val="heading 5"/>
    <w:basedOn w:val="Normal"/>
    <w:next w:val="Normal"/>
    <w:link w:val="Heading5Char"/>
    <w:uiPriority w:val="9"/>
    <w:semiHidden/>
    <w:unhideWhenUsed/>
    <w:qFormat/>
    <w:rsid w:val="009C5332"/>
    <w:pPr>
      <w:keepNext/>
      <w:keepLines/>
      <w:suppressAutoHyphens w:val="0"/>
      <w:spacing w:before="80" w:after="40" w:line="278" w:lineRule="auto"/>
      <w:outlineLvl w:val="4"/>
    </w:pPr>
    <w:rPr>
      <w:rFonts w:eastAsiaTheme="majorEastAsia" w:cstheme="majorBidi"/>
      <w:color w:val="0F4761" w:themeColor="accent1" w:themeShade="BF"/>
      <w:kern w:val="2"/>
      <w:lang w:val="en-CA"/>
      <w14:ligatures w14:val="standardContextual"/>
    </w:rPr>
  </w:style>
  <w:style w:type="paragraph" w:styleId="Heading6">
    <w:name w:val="heading 6"/>
    <w:basedOn w:val="Normal"/>
    <w:next w:val="Normal"/>
    <w:link w:val="Heading6Char"/>
    <w:uiPriority w:val="9"/>
    <w:semiHidden/>
    <w:unhideWhenUsed/>
    <w:qFormat/>
    <w:rsid w:val="009C5332"/>
    <w:pPr>
      <w:keepNext/>
      <w:keepLines/>
      <w:suppressAutoHyphens w:val="0"/>
      <w:spacing w:before="40" w:after="0" w:line="278" w:lineRule="auto"/>
      <w:outlineLvl w:val="5"/>
    </w:pPr>
    <w:rPr>
      <w:rFonts w:eastAsiaTheme="majorEastAsia" w:cstheme="majorBidi"/>
      <w:i/>
      <w:iCs/>
      <w:color w:val="595959" w:themeColor="text1" w:themeTint="A6"/>
      <w:kern w:val="2"/>
      <w:lang w:val="en-CA"/>
      <w14:ligatures w14:val="standardContextual"/>
    </w:rPr>
  </w:style>
  <w:style w:type="paragraph" w:styleId="Heading7">
    <w:name w:val="heading 7"/>
    <w:basedOn w:val="Normal"/>
    <w:next w:val="Normal"/>
    <w:link w:val="Heading7Char"/>
    <w:uiPriority w:val="9"/>
    <w:semiHidden/>
    <w:unhideWhenUsed/>
    <w:qFormat/>
    <w:rsid w:val="009C5332"/>
    <w:pPr>
      <w:keepNext/>
      <w:keepLines/>
      <w:suppressAutoHyphens w:val="0"/>
      <w:spacing w:before="40" w:after="0" w:line="278" w:lineRule="auto"/>
      <w:outlineLvl w:val="6"/>
    </w:pPr>
    <w:rPr>
      <w:rFonts w:eastAsiaTheme="majorEastAsia" w:cstheme="majorBidi"/>
      <w:color w:val="595959" w:themeColor="text1" w:themeTint="A6"/>
      <w:kern w:val="2"/>
      <w:lang w:val="en-CA"/>
      <w14:ligatures w14:val="standardContextual"/>
    </w:rPr>
  </w:style>
  <w:style w:type="paragraph" w:styleId="Heading8">
    <w:name w:val="heading 8"/>
    <w:basedOn w:val="Normal"/>
    <w:next w:val="Normal"/>
    <w:link w:val="Heading8Char"/>
    <w:uiPriority w:val="9"/>
    <w:semiHidden/>
    <w:unhideWhenUsed/>
    <w:qFormat/>
    <w:rsid w:val="009C5332"/>
    <w:pPr>
      <w:keepNext/>
      <w:keepLines/>
      <w:suppressAutoHyphens w:val="0"/>
      <w:spacing w:after="0" w:line="278" w:lineRule="auto"/>
      <w:outlineLvl w:val="7"/>
    </w:pPr>
    <w:rPr>
      <w:rFonts w:eastAsiaTheme="majorEastAsia" w:cstheme="majorBidi"/>
      <w:i/>
      <w:iCs/>
      <w:color w:val="272727" w:themeColor="text1" w:themeTint="D8"/>
      <w:kern w:val="2"/>
      <w:lang w:val="en-CA"/>
      <w14:ligatures w14:val="standardContextual"/>
    </w:rPr>
  </w:style>
  <w:style w:type="paragraph" w:styleId="Heading9">
    <w:name w:val="heading 9"/>
    <w:basedOn w:val="Normal"/>
    <w:next w:val="Normal"/>
    <w:link w:val="Heading9Char"/>
    <w:uiPriority w:val="9"/>
    <w:semiHidden/>
    <w:unhideWhenUsed/>
    <w:qFormat/>
    <w:rsid w:val="009C5332"/>
    <w:pPr>
      <w:keepNext/>
      <w:keepLines/>
      <w:suppressAutoHyphens w:val="0"/>
      <w:spacing w:after="0" w:line="278" w:lineRule="auto"/>
      <w:outlineLvl w:val="8"/>
    </w:pPr>
    <w:rPr>
      <w:rFonts w:eastAsiaTheme="majorEastAsia" w:cstheme="majorBidi"/>
      <w:color w:val="272727" w:themeColor="text1" w:themeTint="D8"/>
      <w:kern w:val="2"/>
      <w:lang w:val="en-C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Research">
    <w:name w:val="Research"/>
    <w:basedOn w:val="TableNormal"/>
    <w:uiPriority w:val="99"/>
    <w:rsid w:val="004E5E19"/>
    <w:pPr>
      <w:spacing w:after="0" w:line="240" w:lineRule="auto"/>
    </w:pPr>
    <w:rPr>
      <w:rFonts w:ascii="Times New Roman" w:eastAsia="Times New Roman" w:hAnsi="Times New Roman" w:cs="Times New Roman"/>
      <w:kern w:val="0"/>
      <w:sz w:val="22"/>
      <w:szCs w:val="22"/>
      <w14:ligatures w14:val="none"/>
    </w:rPr>
    <w:tblPr>
      <w:tblBorders>
        <w:top w:val="single" w:sz="4" w:space="0" w:color="auto"/>
        <w:bottom w:val="single" w:sz="4" w:space="0" w:color="auto"/>
        <w:insideH w:val="single" w:sz="4" w:space="0" w:color="auto"/>
      </w:tblBorders>
    </w:tblPr>
  </w:style>
  <w:style w:type="character" w:customStyle="1" w:styleId="Heading1Char">
    <w:name w:val="Heading 1 Char"/>
    <w:basedOn w:val="DefaultParagraphFont"/>
    <w:link w:val="Heading1"/>
    <w:uiPriority w:val="9"/>
    <w:rsid w:val="009C53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53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53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53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53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53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53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53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5332"/>
    <w:rPr>
      <w:rFonts w:eastAsiaTheme="majorEastAsia" w:cstheme="majorBidi"/>
      <w:color w:val="272727" w:themeColor="text1" w:themeTint="D8"/>
    </w:rPr>
  </w:style>
  <w:style w:type="paragraph" w:styleId="Title">
    <w:name w:val="Title"/>
    <w:basedOn w:val="Normal"/>
    <w:next w:val="Normal"/>
    <w:link w:val="TitleChar"/>
    <w:uiPriority w:val="10"/>
    <w:qFormat/>
    <w:rsid w:val="009C5332"/>
    <w:pPr>
      <w:suppressAutoHyphens w:val="0"/>
      <w:spacing w:after="80"/>
      <w:contextualSpacing/>
    </w:pPr>
    <w:rPr>
      <w:rFonts w:asciiTheme="majorHAnsi" w:eastAsiaTheme="majorEastAsia" w:hAnsiTheme="majorHAnsi" w:cstheme="majorBidi"/>
      <w:spacing w:val="-10"/>
      <w:kern w:val="28"/>
      <w:sz w:val="56"/>
      <w:szCs w:val="56"/>
      <w:lang w:val="en-CA"/>
      <w14:ligatures w14:val="standardContextual"/>
    </w:rPr>
  </w:style>
  <w:style w:type="character" w:customStyle="1" w:styleId="TitleChar">
    <w:name w:val="Title Char"/>
    <w:basedOn w:val="DefaultParagraphFont"/>
    <w:link w:val="Title"/>
    <w:uiPriority w:val="10"/>
    <w:rsid w:val="009C53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5332"/>
    <w:pPr>
      <w:numPr>
        <w:ilvl w:val="1"/>
      </w:numPr>
      <w:suppressAutoHyphens w:val="0"/>
      <w:spacing w:after="160" w:line="278" w:lineRule="auto"/>
    </w:pPr>
    <w:rPr>
      <w:rFonts w:eastAsiaTheme="majorEastAsia" w:cstheme="majorBidi"/>
      <w:color w:val="595959" w:themeColor="text1" w:themeTint="A6"/>
      <w:spacing w:val="15"/>
      <w:kern w:val="2"/>
      <w:sz w:val="28"/>
      <w:szCs w:val="28"/>
      <w:lang w:val="en-CA"/>
      <w14:ligatures w14:val="standardContextual"/>
    </w:rPr>
  </w:style>
  <w:style w:type="character" w:customStyle="1" w:styleId="SubtitleChar">
    <w:name w:val="Subtitle Char"/>
    <w:basedOn w:val="DefaultParagraphFont"/>
    <w:link w:val="Subtitle"/>
    <w:uiPriority w:val="11"/>
    <w:rsid w:val="009C53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5332"/>
    <w:pPr>
      <w:suppressAutoHyphens w:val="0"/>
      <w:spacing w:before="160" w:after="160" w:line="278" w:lineRule="auto"/>
      <w:jc w:val="center"/>
    </w:pPr>
    <w:rPr>
      <w:i/>
      <w:iCs/>
      <w:color w:val="404040" w:themeColor="text1" w:themeTint="BF"/>
      <w:kern w:val="2"/>
      <w:lang w:val="en-CA"/>
      <w14:ligatures w14:val="standardContextual"/>
    </w:rPr>
  </w:style>
  <w:style w:type="character" w:customStyle="1" w:styleId="QuoteChar">
    <w:name w:val="Quote Char"/>
    <w:basedOn w:val="DefaultParagraphFont"/>
    <w:link w:val="Quote"/>
    <w:uiPriority w:val="29"/>
    <w:rsid w:val="009C5332"/>
    <w:rPr>
      <w:i/>
      <w:iCs/>
      <w:color w:val="404040" w:themeColor="text1" w:themeTint="BF"/>
    </w:rPr>
  </w:style>
  <w:style w:type="paragraph" w:styleId="ListParagraph">
    <w:name w:val="List Paragraph"/>
    <w:basedOn w:val="Normal"/>
    <w:uiPriority w:val="34"/>
    <w:qFormat/>
    <w:rsid w:val="009C5332"/>
    <w:pPr>
      <w:suppressAutoHyphens w:val="0"/>
      <w:spacing w:after="160" w:line="278" w:lineRule="auto"/>
      <w:ind w:left="720"/>
      <w:contextualSpacing/>
    </w:pPr>
    <w:rPr>
      <w:kern w:val="2"/>
      <w:lang w:val="en-CA"/>
      <w14:ligatures w14:val="standardContextual"/>
    </w:rPr>
  </w:style>
  <w:style w:type="character" w:styleId="IntenseEmphasis">
    <w:name w:val="Intense Emphasis"/>
    <w:basedOn w:val="DefaultParagraphFont"/>
    <w:uiPriority w:val="21"/>
    <w:qFormat/>
    <w:rsid w:val="009C5332"/>
    <w:rPr>
      <w:i/>
      <w:iCs/>
      <w:color w:val="0F4761" w:themeColor="accent1" w:themeShade="BF"/>
    </w:rPr>
  </w:style>
  <w:style w:type="paragraph" w:styleId="IntenseQuote">
    <w:name w:val="Intense Quote"/>
    <w:basedOn w:val="Normal"/>
    <w:next w:val="Normal"/>
    <w:link w:val="IntenseQuoteChar"/>
    <w:uiPriority w:val="30"/>
    <w:qFormat/>
    <w:rsid w:val="009C5332"/>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i/>
      <w:iCs/>
      <w:color w:val="0F4761" w:themeColor="accent1" w:themeShade="BF"/>
      <w:kern w:val="2"/>
      <w:lang w:val="en-CA"/>
      <w14:ligatures w14:val="standardContextual"/>
    </w:rPr>
  </w:style>
  <w:style w:type="character" w:customStyle="1" w:styleId="IntenseQuoteChar">
    <w:name w:val="Intense Quote Char"/>
    <w:basedOn w:val="DefaultParagraphFont"/>
    <w:link w:val="IntenseQuote"/>
    <w:uiPriority w:val="30"/>
    <w:rsid w:val="009C5332"/>
    <w:rPr>
      <w:i/>
      <w:iCs/>
      <w:color w:val="0F4761" w:themeColor="accent1" w:themeShade="BF"/>
    </w:rPr>
  </w:style>
  <w:style w:type="character" w:styleId="IntenseReference">
    <w:name w:val="Intense Reference"/>
    <w:basedOn w:val="DefaultParagraphFont"/>
    <w:uiPriority w:val="32"/>
    <w:qFormat/>
    <w:rsid w:val="009C5332"/>
    <w:rPr>
      <w:b/>
      <w:bCs/>
      <w:smallCaps/>
      <w:color w:val="0F4761" w:themeColor="accent1" w:themeShade="BF"/>
      <w:spacing w:val="5"/>
    </w:rPr>
  </w:style>
  <w:style w:type="character" w:customStyle="1" w:styleId="CaptionChar">
    <w:name w:val="Caption Char"/>
    <w:basedOn w:val="DefaultParagraphFont"/>
    <w:link w:val="Caption"/>
    <w:qFormat/>
    <w:rsid w:val="009C5332"/>
  </w:style>
  <w:style w:type="paragraph" w:styleId="BodyText">
    <w:name w:val="Body Text"/>
    <w:basedOn w:val="Normal"/>
    <w:link w:val="BodyTextChar"/>
    <w:qFormat/>
    <w:rsid w:val="009C5332"/>
    <w:pPr>
      <w:spacing w:before="180" w:after="180"/>
    </w:pPr>
  </w:style>
  <w:style w:type="character" w:customStyle="1" w:styleId="BodyTextChar">
    <w:name w:val="Body Text Char"/>
    <w:basedOn w:val="DefaultParagraphFont"/>
    <w:link w:val="BodyText"/>
    <w:rsid w:val="009C5332"/>
    <w:rPr>
      <w:kern w:val="0"/>
      <w:lang w:val="en-US"/>
      <w14:ligatures w14:val="none"/>
    </w:rPr>
  </w:style>
  <w:style w:type="paragraph" w:styleId="Caption">
    <w:name w:val="caption"/>
    <w:basedOn w:val="Normal"/>
    <w:link w:val="CaptionChar"/>
    <w:qFormat/>
    <w:rsid w:val="009C5332"/>
    <w:pPr>
      <w:spacing w:after="120"/>
    </w:pPr>
    <w:rPr>
      <w:kern w:val="2"/>
      <w:lang w:val="en-CA"/>
      <w14:ligatures w14:val="standardContextual"/>
    </w:rPr>
  </w:style>
  <w:style w:type="paragraph" w:customStyle="1" w:styleId="FirstParagraph">
    <w:name w:val="First Paragraph"/>
    <w:basedOn w:val="BodyText"/>
    <w:next w:val="BodyText"/>
    <w:qFormat/>
    <w:rsid w:val="009C5332"/>
  </w:style>
  <w:style w:type="table" w:styleId="TableGrid">
    <w:name w:val="Table Grid"/>
    <w:basedOn w:val="TableNormal"/>
    <w:uiPriority w:val="39"/>
    <w:rsid w:val="009C5332"/>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5332"/>
    <w:pPr>
      <w:tabs>
        <w:tab w:val="center" w:pos="4680"/>
        <w:tab w:val="right" w:pos="9360"/>
      </w:tabs>
      <w:spacing w:after="0"/>
    </w:pPr>
  </w:style>
  <w:style w:type="character" w:customStyle="1" w:styleId="HeaderChar">
    <w:name w:val="Header Char"/>
    <w:basedOn w:val="DefaultParagraphFont"/>
    <w:link w:val="Header"/>
    <w:uiPriority w:val="99"/>
    <w:rsid w:val="009C5332"/>
    <w:rPr>
      <w:kern w:val="0"/>
      <w:lang w:val="en-US"/>
      <w14:ligatures w14:val="none"/>
    </w:rPr>
  </w:style>
  <w:style w:type="paragraph" w:styleId="Footer">
    <w:name w:val="footer"/>
    <w:basedOn w:val="Normal"/>
    <w:link w:val="FooterChar"/>
    <w:uiPriority w:val="99"/>
    <w:unhideWhenUsed/>
    <w:rsid w:val="009C5332"/>
    <w:pPr>
      <w:tabs>
        <w:tab w:val="center" w:pos="4680"/>
        <w:tab w:val="right" w:pos="9360"/>
      </w:tabs>
      <w:spacing w:after="0"/>
    </w:pPr>
  </w:style>
  <w:style w:type="character" w:customStyle="1" w:styleId="FooterChar">
    <w:name w:val="Footer Char"/>
    <w:basedOn w:val="DefaultParagraphFont"/>
    <w:link w:val="Footer"/>
    <w:uiPriority w:val="99"/>
    <w:rsid w:val="009C5332"/>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1139</Words>
  <Characters>7364</Characters>
  <Application>Microsoft Office Word</Application>
  <DocSecurity>0</DocSecurity>
  <Lines>433</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 Al Khamees</dc:creator>
  <cp:keywords/>
  <dc:description/>
  <cp:lastModifiedBy>Maryam Al Khamees</cp:lastModifiedBy>
  <cp:revision>1</cp:revision>
  <dcterms:created xsi:type="dcterms:W3CDTF">2026-04-22T22:29:00Z</dcterms:created>
  <dcterms:modified xsi:type="dcterms:W3CDTF">2026-04-22T23:18:00Z</dcterms:modified>
</cp:coreProperties>
</file>