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D708" w14:textId="77777777" w:rsidR="006F69AD" w:rsidRDefault="00000000">
      <w:pPr>
        <w:pStyle w:val="Heading1"/>
      </w:pPr>
      <w:r>
        <w:t>SUPPLEMENTAL TABLES</w:t>
      </w:r>
    </w:p>
    <w:p w14:paraId="4DFDD9E3" w14:textId="20AC65CC" w:rsidR="006F69AD" w:rsidRDefault="00000000">
      <w:pPr>
        <w:spacing w:before="200" w:after="100"/>
      </w:pPr>
      <w:r>
        <w:rPr>
          <w:b/>
          <w:bCs/>
        </w:rPr>
        <w:t xml:space="preserve">Supplemental Table </w:t>
      </w:r>
      <w:r w:rsidR="004C5549">
        <w:rPr>
          <w:b/>
          <w:bCs/>
        </w:rPr>
        <w:t>1</w:t>
      </w:r>
      <w:r>
        <w:rPr>
          <w:b/>
          <w:bCs/>
        </w:rPr>
        <w:t>. Strategic action schedule (intervention plan)</w:t>
      </w:r>
    </w:p>
    <w:tbl>
      <w:tblPr>
        <w:tblStyle w:val="Research"/>
        <w:tblW w:w="9360" w:type="dxa"/>
        <w:tblLook w:val="04A0" w:firstRow="1" w:lastRow="0" w:firstColumn="1" w:lastColumn="0" w:noHBand="0" w:noVBand="1"/>
      </w:tblPr>
      <w:tblGrid>
        <w:gridCol w:w="1800"/>
        <w:gridCol w:w="2800"/>
        <w:gridCol w:w="2200"/>
        <w:gridCol w:w="2560"/>
      </w:tblGrid>
      <w:tr w:rsidR="006F69AD" w14:paraId="5E139200" w14:textId="77777777" w:rsidTr="00CD52C6">
        <w:tc>
          <w:tcPr>
            <w:tcW w:w="1800" w:type="dxa"/>
          </w:tcPr>
          <w:p w14:paraId="1E9CBFD2" w14:textId="77777777" w:rsidR="006F69AD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Intervention Domain</w:t>
            </w:r>
          </w:p>
        </w:tc>
        <w:tc>
          <w:tcPr>
            <w:tcW w:w="2800" w:type="dxa"/>
          </w:tcPr>
          <w:p w14:paraId="7E779368" w14:textId="77777777" w:rsidR="006F69AD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200" w:type="dxa"/>
          </w:tcPr>
          <w:p w14:paraId="4C5EFEDB" w14:textId="77777777" w:rsidR="006F69AD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2560" w:type="dxa"/>
          </w:tcPr>
          <w:p w14:paraId="7363FDFC" w14:textId="77777777" w:rsidR="006F69AD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Responsible Parties</w:t>
            </w:r>
          </w:p>
        </w:tc>
      </w:tr>
      <w:tr w:rsidR="006F69AD" w14:paraId="1C549528" w14:textId="77777777" w:rsidTr="00CD52C6">
        <w:tc>
          <w:tcPr>
            <w:tcW w:w="1800" w:type="dxa"/>
          </w:tcPr>
          <w:p w14:paraId="2FD4E198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Clinical Care Improvement</w:t>
            </w:r>
          </w:p>
        </w:tc>
        <w:tc>
          <w:tcPr>
            <w:tcW w:w="2800" w:type="dxa"/>
          </w:tcPr>
          <w:p w14:paraId="14DF44A9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Develop standardised asthma protocol</w:t>
            </w:r>
          </w:p>
        </w:tc>
        <w:tc>
          <w:tcPr>
            <w:tcW w:w="2200" w:type="dxa"/>
          </w:tcPr>
          <w:p w14:paraId="5459C2F6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Months 12–24; ongoing updates per GINA</w:t>
            </w:r>
          </w:p>
        </w:tc>
        <w:tc>
          <w:tcPr>
            <w:tcW w:w="2560" w:type="dxa"/>
          </w:tcPr>
          <w:p w14:paraId="129940B8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Clinical Quality Committee; PHC Management</w:t>
            </w:r>
          </w:p>
        </w:tc>
      </w:tr>
      <w:tr w:rsidR="006F69AD" w14:paraId="355AB049" w14:textId="77777777" w:rsidTr="00CD52C6">
        <w:tc>
          <w:tcPr>
            <w:tcW w:w="1800" w:type="dxa"/>
          </w:tcPr>
          <w:p w14:paraId="73EAEFDA" w14:textId="77777777" w:rsidR="006F69AD" w:rsidRDefault="006F69AD">
            <w:pPr>
              <w:spacing w:after="40"/>
            </w:pPr>
          </w:p>
        </w:tc>
        <w:tc>
          <w:tcPr>
            <w:tcW w:w="2800" w:type="dxa"/>
          </w:tcPr>
          <w:p w14:paraId="1700739C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Train staff (spirometry, inhaler technique, education)</w:t>
            </w:r>
          </w:p>
        </w:tc>
        <w:tc>
          <w:tcPr>
            <w:tcW w:w="2200" w:type="dxa"/>
          </w:tcPr>
          <w:p w14:paraId="075FF36E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Months 12–24; refreshers as guidelines update</w:t>
            </w:r>
          </w:p>
        </w:tc>
        <w:tc>
          <w:tcPr>
            <w:tcW w:w="2560" w:type="dxa"/>
          </w:tcPr>
          <w:p w14:paraId="070A6894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Family Medicine Dept; CME Unit</w:t>
            </w:r>
          </w:p>
        </w:tc>
      </w:tr>
      <w:tr w:rsidR="006F69AD" w14:paraId="208B2680" w14:textId="77777777" w:rsidTr="00CD52C6">
        <w:tc>
          <w:tcPr>
            <w:tcW w:w="1800" w:type="dxa"/>
          </w:tcPr>
          <w:p w14:paraId="7329B509" w14:textId="77777777" w:rsidR="006F69AD" w:rsidRDefault="006F69AD">
            <w:pPr>
              <w:spacing w:after="40"/>
            </w:pPr>
          </w:p>
        </w:tc>
        <w:tc>
          <w:tcPr>
            <w:tcW w:w="2800" w:type="dxa"/>
          </w:tcPr>
          <w:p w14:paraId="22131647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Apply Kaizen/PDCA cycles to reduce care variability</w:t>
            </w:r>
          </w:p>
        </w:tc>
        <w:tc>
          <w:tcPr>
            <w:tcW w:w="2200" w:type="dxa"/>
          </w:tcPr>
          <w:p w14:paraId="514A6CF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Start month 4; review every 6 months</w:t>
            </w:r>
          </w:p>
        </w:tc>
        <w:tc>
          <w:tcPr>
            <w:tcW w:w="2560" w:type="dxa"/>
          </w:tcPr>
          <w:p w14:paraId="2F4260DF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QI team; nursing &amp; medical staff</w:t>
            </w:r>
          </w:p>
        </w:tc>
      </w:tr>
      <w:tr w:rsidR="006F69AD" w14:paraId="4C32EAC4" w14:textId="77777777" w:rsidTr="00CD52C6">
        <w:tc>
          <w:tcPr>
            <w:tcW w:w="1800" w:type="dxa"/>
          </w:tcPr>
          <w:p w14:paraId="1550CE06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Environmental Health Integration</w:t>
            </w:r>
          </w:p>
        </w:tc>
        <w:tc>
          <w:tcPr>
            <w:tcW w:w="2800" w:type="dxa"/>
          </w:tcPr>
          <w:p w14:paraId="57FC87A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Integrate air-pollution data with clinical asthma records</w:t>
            </w:r>
          </w:p>
        </w:tc>
        <w:tc>
          <w:tcPr>
            <w:tcW w:w="2200" w:type="dxa"/>
          </w:tcPr>
          <w:p w14:paraId="0DEC285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Every 6–12 months</w:t>
            </w:r>
          </w:p>
        </w:tc>
        <w:tc>
          <w:tcPr>
            <w:tcW w:w="2560" w:type="dxa"/>
          </w:tcPr>
          <w:p w14:paraId="37D39CCB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Health IT; Environmental Public Authority</w:t>
            </w:r>
          </w:p>
        </w:tc>
      </w:tr>
      <w:tr w:rsidR="006F69AD" w14:paraId="5F89FC62" w14:textId="77777777" w:rsidTr="00CD52C6">
        <w:tc>
          <w:tcPr>
            <w:tcW w:w="1800" w:type="dxa"/>
          </w:tcPr>
          <w:p w14:paraId="586544EE" w14:textId="77777777" w:rsidR="006F69AD" w:rsidRDefault="006F69AD">
            <w:pPr>
              <w:spacing w:after="40"/>
            </w:pPr>
          </w:p>
        </w:tc>
        <w:tc>
          <w:tcPr>
            <w:tcW w:w="2800" w:type="dxa"/>
          </w:tcPr>
          <w:p w14:paraId="40125599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Develop asthma–air-quality dashboard with alerts</w:t>
            </w:r>
          </w:p>
        </w:tc>
        <w:tc>
          <w:tcPr>
            <w:tcW w:w="2200" w:type="dxa"/>
          </w:tcPr>
          <w:p w14:paraId="1A6AA115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Months 12–24</w:t>
            </w:r>
          </w:p>
        </w:tc>
        <w:tc>
          <w:tcPr>
            <w:tcW w:w="2560" w:type="dxa"/>
          </w:tcPr>
          <w:p w14:paraId="07B25595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IT team; Public Health Unit</w:t>
            </w:r>
          </w:p>
        </w:tc>
      </w:tr>
      <w:tr w:rsidR="006F69AD" w14:paraId="34A91FCD" w14:textId="77777777" w:rsidTr="00CD52C6">
        <w:tc>
          <w:tcPr>
            <w:tcW w:w="1800" w:type="dxa"/>
          </w:tcPr>
          <w:p w14:paraId="4BA431D7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Community Engagement</w:t>
            </w:r>
          </w:p>
        </w:tc>
        <w:tc>
          <w:tcPr>
            <w:tcW w:w="2800" w:type="dxa"/>
          </w:tcPr>
          <w:p w14:paraId="7518D0B5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Public awareness campaigns on environmental triggers; support road redesign</w:t>
            </w:r>
          </w:p>
        </w:tc>
        <w:tc>
          <w:tcPr>
            <w:tcW w:w="2200" w:type="dxa"/>
          </w:tcPr>
          <w:p w14:paraId="540B9428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Seasonal/annual</w:t>
            </w:r>
          </w:p>
        </w:tc>
        <w:tc>
          <w:tcPr>
            <w:tcW w:w="2560" w:type="dxa"/>
          </w:tcPr>
          <w:p w14:paraId="5B3FABA8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Health Promotion Team; Municipality</w:t>
            </w:r>
          </w:p>
        </w:tc>
      </w:tr>
      <w:tr w:rsidR="006F69AD" w14:paraId="49FA9D08" w14:textId="77777777" w:rsidTr="00CD52C6">
        <w:tc>
          <w:tcPr>
            <w:tcW w:w="1800" w:type="dxa"/>
          </w:tcPr>
          <w:p w14:paraId="5735D828" w14:textId="77777777" w:rsidR="006F69AD" w:rsidRDefault="006F69AD">
            <w:pPr>
              <w:spacing w:after="40"/>
            </w:pPr>
          </w:p>
        </w:tc>
        <w:tc>
          <w:tcPr>
            <w:tcW w:w="2800" w:type="dxa"/>
          </w:tcPr>
          <w:p w14:paraId="47B26AD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Distribute educational materials via schools, clinics, social media</w:t>
            </w:r>
          </w:p>
        </w:tc>
        <w:tc>
          <w:tcPr>
            <w:tcW w:w="2200" w:type="dxa"/>
          </w:tcPr>
          <w:p w14:paraId="22B8D089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Annual (ongoing)</w:t>
            </w:r>
          </w:p>
        </w:tc>
        <w:tc>
          <w:tcPr>
            <w:tcW w:w="2560" w:type="dxa"/>
          </w:tcPr>
          <w:p w14:paraId="2724CDDF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Community health workers; clinic staff</w:t>
            </w:r>
          </w:p>
        </w:tc>
      </w:tr>
    </w:tbl>
    <w:p w14:paraId="2E671E83" w14:textId="77777777" w:rsidR="006F69AD" w:rsidRDefault="006F69AD">
      <w:pPr>
        <w:spacing w:after="60"/>
      </w:pPr>
    </w:p>
    <w:p w14:paraId="2620A295" w14:textId="0D31B909" w:rsidR="006F69AD" w:rsidRDefault="00000000" w:rsidP="004C5549">
      <w:r>
        <w:br w:type="page"/>
      </w:r>
    </w:p>
    <w:p w14:paraId="13AFD47A" w14:textId="7A4D434C" w:rsidR="006F69AD" w:rsidRDefault="00000000" w:rsidP="004C5549">
      <w:r>
        <w:rPr>
          <w:b/>
          <w:bCs/>
        </w:rPr>
        <w:lastRenderedPageBreak/>
        <w:t xml:space="preserve">Supplemental Table </w:t>
      </w:r>
      <w:r w:rsidR="004C5549">
        <w:rPr>
          <w:b/>
          <w:bCs/>
        </w:rPr>
        <w:t>2</w:t>
      </w:r>
      <w:r>
        <w:rPr>
          <w:b/>
          <w:bCs/>
        </w:rPr>
        <w:t>. Implementation barriers and adaptations</w:t>
      </w:r>
    </w:p>
    <w:tbl>
      <w:tblPr>
        <w:tblStyle w:val="Research"/>
        <w:tblW w:w="9360" w:type="dxa"/>
        <w:tblLook w:val="04A0" w:firstRow="1" w:lastRow="0" w:firstColumn="1" w:lastColumn="0" w:noHBand="0" w:noVBand="1"/>
      </w:tblPr>
      <w:tblGrid>
        <w:gridCol w:w="2800"/>
        <w:gridCol w:w="3280"/>
        <w:gridCol w:w="3280"/>
      </w:tblGrid>
      <w:tr w:rsidR="006F69AD" w14:paraId="75B7C184" w14:textId="77777777" w:rsidTr="00CD52C6">
        <w:tc>
          <w:tcPr>
            <w:tcW w:w="2800" w:type="dxa"/>
          </w:tcPr>
          <w:p w14:paraId="5B770E2E" w14:textId="77777777" w:rsidR="006F69AD" w:rsidRDefault="00000000">
            <w:pPr>
              <w:spacing w:after="40"/>
            </w:pPr>
            <w:r>
              <w:rPr>
                <w:b/>
                <w:bCs/>
              </w:rPr>
              <w:t>Barrier</w:t>
            </w:r>
          </w:p>
        </w:tc>
        <w:tc>
          <w:tcPr>
            <w:tcW w:w="3280" w:type="dxa"/>
          </w:tcPr>
          <w:p w14:paraId="0167EDF4" w14:textId="77777777" w:rsidR="006F69AD" w:rsidRDefault="00000000">
            <w:pPr>
              <w:spacing w:after="40"/>
            </w:pPr>
            <w:r>
              <w:rPr>
                <w:b/>
                <w:bCs/>
              </w:rPr>
              <w:t>Adaptation</w:t>
            </w:r>
          </w:p>
        </w:tc>
        <w:tc>
          <w:tcPr>
            <w:tcW w:w="3280" w:type="dxa"/>
          </w:tcPr>
          <w:p w14:paraId="0B206B0E" w14:textId="77777777" w:rsidR="006F69AD" w:rsidRDefault="00000000">
            <w:pPr>
              <w:spacing w:after="40"/>
            </w:pPr>
            <w:r>
              <w:rPr>
                <w:b/>
                <w:bCs/>
              </w:rPr>
              <w:t>Effect</w:t>
            </w:r>
          </w:p>
        </w:tc>
      </w:tr>
      <w:tr w:rsidR="006F69AD" w14:paraId="7483B08D" w14:textId="77777777" w:rsidTr="00CD52C6">
        <w:tc>
          <w:tcPr>
            <w:tcW w:w="2800" w:type="dxa"/>
          </w:tcPr>
          <w:p w14:paraId="2587CA98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Limited availability of spirometry (PFT) equipment</w:t>
            </w:r>
          </w:p>
        </w:tc>
        <w:tc>
          <w:tcPr>
            <w:tcW w:w="3280" w:type="dxa"/>
          </w:tcPr>
          <w:p w14:paraId="6573FF0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Partnered with private donors and the cooperative society to fund and purchase devices</w:t>
            </w:r>
          </w:p>
        </w:tc>
        <w:tc>
          <w:tcPr>
            <w:tcW w:w="3280" w:type="dxa"/>
          </w:tcPr>
          <w:p w14:paraId="2E0AEF1B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Enabled access to diagnostic testing and inclusion of lung function data</w:t>
            </w:r>
          </w:p>
        </w:tc>
      </w:tr>
      <w:tr w:rsidR="006F69AD" w14:paraId="6B10DC3D" w14:textId="77777777" w:rsidTr="00CD52C6">
        <w:tc>
          <w:tcPr>
            <w:tcW w:w="2800" w:type="dxa"/>
          </w:tcPr>
          <w:p w14:paraId="7B1917F1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Inadequate staff training in asthma protocols and device use</w:t>
            </w:r>
          </w:p>
        </w:tc>
        <w:tc>
          <w:tcPr>
            <w:tcW w:w="3280" w:type="dxa"/>
          </w:tcPr>
          <w:p w14:paraId="0CB86906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Organised CME-certified workshops in collaboration with the Ministry of Health</w:t>
            </w:r>
          </w:p>
        </w:tc>
        <w:tc>
          <w:tcPr>
            <w:tcW w:w="3280" w:type="dxa"/>
          </w:tcPr>
          <w:p w14:paraId="19A1B105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Improved staff competence and adherence to standardised care</w:t>
            </w:r>
          </w:p>
        </w:tc>
      </w:tr>
      <w:tr w:rsidR="006F69AD" w14:paraId="13DFBAEC" w14:textId="77777777" w:rsidTr="00CD52C6">
        <w:tc>
          <w:tcPr>
            <w:tcW w:w="2800" w:type="dxa"/>
          </w:tcPr>
          <w:p w14:paraId="00DDFEAF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Lack of air quality data integration into clinical system</w:t>
            </w:r>
          </w:p>
        </w:tc>
        <w:tc>
          <w:tcPr>
            <w:tcW w:w="3280" w:type="dxa"/>
          </w:tcPr>
          <w:p w14:paraId="5F80300D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Collaborated with the Environmental Public Authority to access pollution data feeds</w:t>
            </w:r>
          </w:p>
        </w:tc>
        <w:tc>
          <w:tcPr>
            <w:tcW w:w="3280" w:type="dxa"/>
          </w:tcPr>
          <w:p w14:paraId="53C05091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Allowed linkage of environmental exposure data with patient records</w:t>
            </w:r>
          </w:p>
        </w:tc>
      </w:tr>
      <w:tr w:rsidR="006F69AD" w14:paraId="457645CB" w14:textId="77777777" w:rsidTr="00CD52C6">
        <w:tc>
          <w:tcPr>
            <w:tcW w:w="2800" w:type="dxa"/>
          </w:tcPr>
          <w:p w14:paraId="0912A6F6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Resistance to traffic diversion for emission reduction</w:t>
            </w:r>
          </w:p>
        </w:tc>
        <w:tc>
          <w:tcPr>
            <w:tcW w:w="3280" w:type="dxa"/>
          </w:tcPr>
          <w:p w14:paraId="2B9BD9D3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Formed the Study Area Asthma Task Force to build consensus and share accountability</w:t>
            </w:r>
          </w:p>
        </w:tc>
        <w:tc>
          <w:tcPr>
            <w:tcW w:w="3280" w:type="dxa"/>
          </w:tcPr>
          <w:p w14:paraId="15003ECF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Increased </w:t>
            </w:r>
            <w:proofErr w:type="gramStart"/>
            <w:r>
              <w:rPr>
                <w:sz w:val="20"/>
                <w:szCs w:val="20"/>
              </w:rPr>
              <w:t>stakeholder</w:t>
            </w:r>
            <w:proofErr w:type="gramEnd"/>
            <w:r>
              <w:rPr>
                <w:sz w:val="20"/>
                <w:szCs w:val="20"/>
              </w:rPr>
              <w:t xml:space="preserve"> buy-in for environmental interventions</w:t>
            </w:r>
          </w:p>
        </w:tc>
      </w:tr>
      <w:tr w:rsidR="006F69AD" w14:paraId="42E500FE" w14:textId="77777777" w:rsidTr="00CD52C6">
        <w:tc>
          <w:tcPr>
            <w:tcW w:w="2800" w:type="dxa"/>
          </w:tcPr>
          <w:p w14:paraId="6560583B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Community under-awareness of asthma triggers (e.g., incense, smoking)</w:t>
            </w:r>
          </w:p>
        </w:tc>
        <w:tc>
          <w:tcPr>
            <w:tcW w:w="3280" w:type="dxa"/>
          </w:tcPr>
          <w:p w14:paraId="3C25C75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Launched culturally sensitive campaigns through schools, mosques, and social media</w:t>
            </w:r>
          </w:p>
        </w:tc>
        <w:tc>
          <w:tcPr>
            <w:tcW w:w="3280" w:type="dxa"/>
          </w:tcPr>
          <w:p w14:paraId="105C603F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Enhanced public knowledge and engagement with prevention strategies</w:t>
            </w:r>
          </w:p>
        </w:tc>
      </w:tr>
      <w:tr w:rsidR="006F69AD" w14:paraId="29E86E05" w14:textId="77777777" w:rsidTr="00CD52C6">
        <w:tc>
          <w:tcPr>
            <w:tcW w:w="2800" w:type="dxa"/>
          </w:tcPr>
          <w:p w14:paraId="6663DB46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Difficulty sustaining educational momentum post-training</w:t>
            </w:r>
          </w:p>
        </w:tc>
        <w:tc>
          <w:tcPr>
            <w:tcW w:w="3280" w:type="dxa"/>
          </w:tcPr>
          <w:p w14:paraId="1FE005D1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Established refresher training and peer coaching programme</w:t>
            </w:r>
          </w:p>
        </w:tc>
        <w:tc>
          <w:tcPr>
            <w:tcW w:w="3280" w:type="dxa"/>
          </w:tcPr>
          <w:p w14:paraId="704BE04A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Maintained consistent staff performance and reinforced protocol use</w:t>
            </w:r>
          </w:p>
        </w:tc>
      </w:tr>
      <w:tr w:rsidR="006F69AD" w14:paraId="3AC19603" w14:textId="77777777" w:rsidTr="00CD52C6">
        <w:tc>
          <w:tcPr>
            <w:tcW w:w="2800" w:type="dxa"/>
          </w:tcPr>
          <w:p w14:paraId="54D18850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Absence of a baseline asthma registry</w:t>
            </w:r>
          </w:p>
        </w:tc>
        <w:tc>
          <w:tcPr>
            <w:tcW w:w="3280" w:type="dxa"/>
          </w:tcPr>
          <w:p w14:paraId="05673E62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Created an electronic asthma case log linked to primary care files and monthly reporting</w:t>
            </w:r>
          </w:p>
        </w:tc>
        <w:tc>
          <w:tcPr>
            <w:tcW w:w="3280" w:type="dxa"/>
          </w:tcPr>
          <w:p w14:paraId="64D0D67E" w14:textId="77777777" w:rsidR="006F69AD" w:rsidRDefault="00000000">
            <w:pPr>
              <w:spacing w:after="40"/>
            </w:pPr>
            <w:r>
              <w:rPr>
                <w:sz w:val="20"/>
                <w:szCs w:val="20"/>
              </w:rPr>
              <w:t>Standardised data collection and enabled monitoring of trends</w:t>
            </w:r>
          </w:p>
        </w:tc>
      </w:tr>
    </w:tbl>
    <w:p w14:paraId="2FA4BCB2" w14:textId="77777777" w:rsidR="006F69AD" w:rsidRDefault="006F69AD">
      <w:pPr>
        <w:spacing w:after="60"/>
      </w:pPr>
    </w:p>
    <w:p w14:paraId="5DE7B6B4" w14:textId="77777777" w:rsidR="006F69AD" w:rsidRDefault="00000000">
      <w:r>
        <w:br w:type="page"/>
      </w:r>
    </w:p>
    <w:p w14:paraId="1D590084" w14:textId="77777777" w:rsidR="006F69AD" w:rsidRDefault="00000000">
      <w:pPr>
        <w:pStyle w:val="Heading1"/>
      </w:pPr>
      <w:r>
        <w:lastRenderedPageBreak/>
        <w:t>SUPPLEMENTAL FIGURES</w:t>
      </w:r>
    </w:p>
    <w:p w14:paraId="7A759BB8" w14:textId="77777777" w:rsidR="006F69AD" w:rsidRDefault="00000000">
      <w:pPr>
        <w:spacing w:before="200" w:after="100"/>
      </w:pPr>
      <w:r>
        <w:rPr>
          <w:b/>
          <w:bCs/>
        </w:rPr>
        <w:t>Supplemental Figure 1. Framework for Kaizen-based continuous improvement in asthma services</w:t>
      </w:r>
    </w:p>
    <w:p w14:paraId="0CE3E4E6" w14:textId="77777777" w:rsidR="006F69AD" w:rsidRDefault="00000000">
      <w:pPr>
        <w:spacing w:after="100" w:line="320" w:lineRule="auto"/>
      </w:pPr>
      <w:r>
        <w:t>Overview of system, human resource, non-human resource, and environmental interventions implemented under the Plan–Do–Check–Act (PDCA) quality improvement cycle.</w:t>
      </w:r>
    </w:p>
    <w:p w14:paraId="740E7C02" w14:textId="0298C232" w:rsidR="006F69AD" w:rsidRDefault="001729FE" w:rsidP="001729FE">
      <w:pPr>
        <w:spacing w:after="100" w:line="320" w:lineRule="auto"/>
        <w:jc w:val="center"/>
      </w:pPr>
      <w:r w:rsidRPr="00F97E62">
        <w:rPr>
          <w:noProof/>
        </w:rPr>
        <w:drawing>
          <wp:inline distT="0" distB="0" distL="0" distR="0" wp14:anchorId="58BCE9DD" wp14:editId="3A5EEE46">
            <wp:extent cx="5234501" cy="2796208"/>
            <wp:effectExtent l="0" t="0" r="0" b="0"/>
            <wp:docPr id="1998021211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21211" name="Picture 1" descr="A diagram of a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000" cy="281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8576E" w14:textId="77777777" w:rsidR="006F69AD" w:rsidRDefault="00000000">
      <w:pPr>
        <w:spacing w:before="200" w:after="100"/>
      </w:pPr>
      <w:r>
        <w:rPr>
          <w:b/>
          <w:bCs/>
        </w:rPr>
        <w:t>Supplemental Figure 2. Traffic redesign and emission-reduction intervention around study clinic</w:t>
      </w:r>
    </w:p>
    <w:p w14:paraId="652EFFB4" w14:textId="77777777" w:rsidR="00CD52C6" w:rsidRDefault="00CD52C6" w:rsidP="00CD52C6">
      <w:pPr>
        <w:spacing w:after="100" w:line="320" w:lineRule="auto"/>
        <w:jc w:val="center"/>
      </w:pPr>
      <w:r w:rsidRPr="00F97E62">
        <w:rPr>
          <w:noProof/>
        </w:rPr>
        <w:drawing>
          <wp:inline distT="0" distB="0" distL="0" distR="0" wp14:anchorId="6C3041E8" wp14:editId="74AD6093">
            <wp:extent cx="3779738" cy="3458817"/>
            <wp:effectExtent l="0" t="0" r="5080" b="0"/>
            <wp:docPr id="807519962" name="Picture 2" descr="A map of a road with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19962" name="Picture 2" descr="A map of a road with a sig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454" cy="347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AFCD" w14:textId="407F74B7" w:rsidR="006F69AD" w:rsidRDefault="00000000" w:rsidP="001729FE">
      <w:pPr>
        <w:spacing w:after="100" w:line="320" w:lineRule="auto"/>
      </w:pPr>
      <w:r>
        <w:t>Map showing the highway underpass project (2015), which redirected traffic away from residential streets and the clinic zone to reduce local congestion and exposure to vehicle emissions.</w:t>
      </w:r>
    </w:p>
    <w:sectPr w:rsidR="006F69A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917"/>
    <w:multiLevelType w:val="hybridMultilevel"/>
    <w:tmpl w:val="CC44F508"/>
    <w:lvl w:ilvl="0" w:tplc="C33EB3E8">
      <w:start w:val="1"/>
      <w:numFmt w:val="bullet"/>
      <w:lvlText w:val="●"/>
      <w:lvlJc w:val="left"/>
      <w:pPr>
        <w:ind w:left="720" w:hanging="360"/>
      </w:pPr>
    </w:lvl>
    <w:lvl w:ilvl="1" w:tplc="38849C50">
      <w:start w:val="1"/>
      <w:numFmt w:val="bullet"/>
      <w:lvlText w:val="○"/>
      <w:lvlJc w:val="left"/>
      <w:pPr>
        <w:ind w:left="1440" w:hanging="360"/>
      </w:pPr>
    </w:lvl>
    <w:lvl w:ilvl="2" w:tplc="43884CCC">
      <w:start w:val="1"/>
      <w:numFmt w:val="bullet"/>
      <w:lvlText w:val="■"/>
      <w:lvlJc w:val="left"/>
      <w:pPr>
        <w:ind w:left="2160" w:hanging="360"/>
      </w:pPr>
    </w:lvl>
    <w:lvl w:ilvl="3" w:tplc="B14C4D9A">
      <w:start w:val="1"/>
      <w:numFmt w:val="bullet"/>
      <w:lvlText w:val="●"/>
      <w:lvlJc w:val="left"/>
      <w:pPr>
        <w:ind w:left="2880" w:hanging="360"/>
      </w:pPr>
    </w:lvl>
    <w:lvl w:ilvl="4" w:tplc="91DE5FDC">
      <w:start w:val="1"/>
      <w:numFmt w:val="bullet"/>
      <w:lvlText w:val="○"/>
      <w:lvlJc w:val="left"/>
      <w:pPr>
        <w:ind w:left="3600" w:hanging="360"/>
      </w:pPr>
    </w:lvl>
    <w:lvl w:ilvl="5" w:tplc="E390AB16">
      <w:start w:val="1"/>
      <w:numFmt w:val="bullet"/>
      <w:lvlText w:val="■"/>
      <w:lvlJc w:val="left"/>
      <w:pPr>
        <w:ind w:left="4320" w:hanging="360"/>
      </w:pPr>
    </w:lvl>
    <w:lvl w:ilvl="6" w:tplc="0C44CD82">
      <w:start w:val="1"/>
      <w:numFmt w:val="bullet"/>
      <w:lvlText w:val="●"/>
      <w:lvlJc w:val="left"/>
      <w:pPr>
        <w:ind w:left="5040" w:hanging="360"/>
      </w:pPr>
    </w:lvl>
    <w:lvl w:ilvl="7" w:tplc="97204A2E">
      <w:start w:val="1"/>
      <w:numFmt w:val="bullet"/>
      <w:lvlText w:val="●"/>
      <w:lvlJc w:val="left"/>
      <w:pPr>
        <w:ind w:left="5760" w:hanging="360"/>
      </w:pPr>
    </w:lvl>
    <w:lvl w:ilvl="8" w:tplc="44EA1B72">
      <w:start w:val="1"/>
      <w:numFmt w:val="bullet"/>
      <w:lvlText w:val="●"/>
      <w:lvlJc w:val="left"/>
      <w:pPr>
        <w:ind w:left="6480" w:hanging="360"/>
      </w:pPr>
    </w:lvl>
  </w:abstractNum>
  <w:num w:numId="1" w16cid:durableId="11880626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AD"/>
    <w:rsid w:val="001729FE"/>
    <w:rsid w:val="004C5549"/>
    <w:rsid w:val="006F10B2"/>
    <w:rsid w:val="006F69AD"/>
    <w:rsid w:val="00CD52C6"/>
    <w:rsid w:val="00F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2574E"/>
  <w15:docId w15:val="{37BA3AF7-E3DA-F644-964B-4820083D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CD5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earch">
    <w:name w:val="Research"/>
    <w:basedOn w:val="TableNormal"/>
    <w:uiPriority w:val="99"/>
    <w:rsid w:val="00CD52C6"/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2731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Maryam Al Khamees</cp:lastModifiedBy>
  <cp:revision>2</cp:revision>
  <dcterms:created xsi:type="dcterms:W3CDTF">2026-03-15T20:47:00Z</dcterms:created>
  <dcterms:modified xsi:type="dcterms:W3CDTF">2026-03-15T20:47:00Z</dcterms:modified>
</cp:coreProperties>
</file>