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64CBD" w14:textId="77777777" w:rsidR="008B7905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114300" distB="114300" distL="114300" distR="114300" wp14:anchorId="101ACCC3" wp14:editId="6F2E0FBB">
            <wp:extent cx="5943600" cy="1524000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4"/>
                    <a:srcRect b="769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A9D7E" w14:textId="77777777" w:rsidR="008B7905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Supplementary figure </w:t>
      </w:r>
      <w:proofErr w:type="gram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1.Subclonal</w:t>
      </w:r>
      <w:proofErr w:type="gram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composition across the dataset. a: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X axis shows number of subclones across patients, colored by cancer type. T indicates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transient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samples.</w:t>
      </w:r>
    </w:p>
    <w:p w14:paraId="2FDA8A80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6CCC422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82D4C6C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6DD81B6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5ABF586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DE200E2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A7AAD95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32FF608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E2E6F9F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AD97D12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040505D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64B3A16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9BAB1E6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A4C2693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F2D2A99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CBFC131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7928FDE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02992D3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25CDAC3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C04D31F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6C7FA41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91E9B23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C084737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CCE1127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967E133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55E8E03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F388373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B53555D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178B269" w14:textId="77777777" w:rsidR="008B7905" w:rsidRDefault="008B7905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E610C23" w14:textId="77777777" w:rsidR="008B7905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lastRenderedPageBreak/>
        <w:drawing>
          <wp:inline distT="114300" distB="114300" distL="114300" distR="114300" wp14:anchorId="551E704B" wp14:editId="0BC6D4BA">
            <wp:extent cx="4562475" cy="20193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 r="23237" b="6940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1B51B7" w14:textId="77777777" w:rsidR="008B7905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Supplementary figure 2. Genetic constraints on phenotype. a</w:t>
      </w:r>
      <w:r>
        <w:rPr>
          <w:rFonts w:ascii="Times New Roman" w:eastAsia="Times New Roman" w:hAnsi="Times New Roman" w:cs="Times New Roman"/>
          <w:sz w:val="18"/>
          <w:szCs w:val="18"/>
        </w:rPr>
        <w:t>: Mean R</w:t>
      </w:r>
      <w:r>
        <w:rPr>
          <w:rFonts w:ascii="Times New Roman" w:eastAsia="Times New Roman" w:hAnsi="Times New Roman" w:cs="Times New Roman"/>
          <w:sz w:val="18"/>
          <w:szCs w:val="18"/>
          <w:vertAlign w:val="superscript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from a linear model given T (tumor type), P (patient) and C (clone) of all tumor cells from patients that have subclones Error bars indicate standard deviation of the mean (SEM). Wilcoxon rank-sum test was used for p value statistics. All p values were &lt;2.2e-16. Tumor type explains most of the variance, while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subclonality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increases R2 by approximately 5% of total, or 10% of the additional variance explained by the patient identity.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Pairwise analysis of clone pairs, genetic events plotted against transcriptomic distance. Vertical dotted line indicates 0.5. </w:t>
      </w:r>
    </w:p>
    <w:p w14:paraId="7F1AA4E4" w14:textId="77777777" w:rsidR="008B7905" w:rsidRDefault="008B790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3C34CB65" w14:textId="77777777" w:rsidR="008B7905" w:rsidRDefault="008B790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506BB23D" w14:textId="77777777" w:rsidR="008B7905" w:rsidRDefault="008B790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4EA1B21D" w14:textId="77777777" w:rsidR="008B7905" w:rsidRDefault="008B790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2C3AE837" w14:textId="77777777" w:rsidR="008B7905" w:rsidRDefault="008B790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6AEB4C1C" w14:textId="77777777" w:rsidR="008B7905" w:rsidRDefault="008B790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5FD3CEF9" w14:textId="77777777" w:rsidR="008B7905" w:rsidRDefault="008B790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5BB80996" w14:textId="77777777" w:rsidR="008B7905" w:rsidRDefault="008B790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3E54A53F" w14:textId="77777777" w:rsidR="008B7905" w:rsidRDefault="008B790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50542EFD" w14:textId="77777777" w:rsidR="008B7905" w:rsidRDefault="008B790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489B763A" w14:textId="77777777" w:rsidR="008B7905" w:rsidRDefault="008B790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0F137281" w14:textId="77777777" w:rsidR="008B7905" w:rsidRDefault="008B790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781C73C2" w14:textId="77777777" w:rsidR="008B7905" w:rsidRDefault="008B790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7691E2D1" w14:textId="77777777" w:rsidR="008B7905" w:rsidRDefault="008B790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55B76A2E" w14:textId="77777777" w:rsidR="008B7905" w:rsidRDefault="008B790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78714318" w14:textId="77777777" w:rsidR="008B7905" w:rsidRDefault="008B790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2C27EE80" w14:textId="77777777" w:rsidR="008B7905" w:rsidRDefault="008B790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12F564DE" w14:textId="77777777" w:rsidR="008B7905" w:rsidRDefault="008B790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6B2B4D3F" w14:textId="77777777" w:rsidR="008B7905" w:rsidRDefault="00000000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sz w:val="18"/>
          <w:szCs w:val="18"/>
        </w:rPr>
        <w:lastRenderedPageBreak/>
        <w:drawing>
          <wp:inline distT="114300" distB="114300" distL="114300" distR="114300" wp14:anchorId="65DB9120" wp14:editId="335B6340">
            <wp:extent cx="5943600" cy="7105650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103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3F575B" w14:textId="77777777" w:rsidR="008B7905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Supplementary figure 3. Genome-wide dosage effects across cancer types. a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Top: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Pearson correlation across all chromosomes split by sex of the patient. Bottom: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Normalised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coefficient (slope) across all chromosomes split by sex of the patient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Mean slope +/- standard error of the mean (SEM) of oncogenes and tumor suppressor genes. P values were calculated with a Wilcoxon rank-sum test, significance threshold was at 0.05.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Dosage effects of individual genes. The slope of each line is from single-cell robust linear models and the data shown are single cells. Table values are Pearson correlation (r) and Pearson p value (p) and linear model slope (s) based on single-cell data.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Same as in c except the dots shown are subclones. </w:t>
      </w:r>
    </w:p>
    <w:p w14:paraId="5407266F" w14:textId="77777777" w:rsidR="008B7905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lastRenderedPageBreak/>
        <w:drawing>
          <wp:inline distT="114300" distB="114300" distL="114300" distR="114300" wp14:anchorId="53FB53EF" wp14:editId="6BCFCED0">
            <wp:extent cx="5943600" cy="1487151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571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71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5A4B37" w14:textId="77777777" w:rsidR="008B7905" w:rsidRDefault="008B7905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0043D1E" w14:textId="77777777" w:rsidR="008B7905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Supplementary figure 4. Predictions of CN by expression based on CNV segment size and amplification. 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Adjusted R squared of random forest predictions of CN by expression. Wilcoxon rank-sum test was used for p value statistics. Star indicates significance p&lt;0.05. </w:t>
      </w:r>
    </w:p>
    <w:p w14:paraId="0365E7FB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4BDA9DA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F2A0DCA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8894246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0AFD919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F8B94AE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6991250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6B39311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AAB3701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DA99451" w14:textId="77777777" w:rsidR="008B7905" w:rsidRDefault="008B7905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DABE156" w14:textId="77777777" w:rsidR="008B7905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lastRenderedPageBreak/>
        <w:drawing>
          <wp:inline distT="114300" distB="114300" distL="114300" distR="114300" wp14:anchorId="1E3DFD59" wp14:editId="4B2CF581">
            <wp:extent cx="5943600" cy="49530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444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F06819" w14:textId="77777777" w:rsidR="008B7905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Supplementary figure 5. Non-cancer cell CNVs. 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All CNVs found in non-cancer cells, split by cell type, annotated by transcriptomic class.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All fibroblasts with amplifications on chr 7, chr 12 or chr 18, split by patient. </w:t>
      </w:r>
    </w:p>
    <w:p w14:paraId="52D66857" w14:textId="77777777" w:rsidR="008B7905" w:rsidRDefault="008B7905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1B39F14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7E7895E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3281443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FBB6077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83DDCE3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56D7966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3767BE8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3D2627B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F688A4A" w14:textId="77777777" w:rsidR="00241422" w:rsidRDefault="0024142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66DA29B" w14:textId="77777777" w:rsidR="008B7905" w:rsidRDefault="008B790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3703D559" w14:textId="77777777" w:rsidR="008B7905" w:rsidRDefault="00000000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sz w:val="18"/>
          <w:szCs w:val="18"/>
        </w:rPr>
        <w:lastRenderedPageBreak/>
        <w:drawing>
          <wp:inline distT="114300" distB="114300" distL="114300" distR="114300" wp14:anchorId="16D33C38" wp14:editId="40B9E877">
            <wp:extent cx="5943600" cy="1440392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818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0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1C8449" w14:textId="77777777" w:rsidR="008B7905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Supplementary figure </w:t>
      </w:r>
      <w:proofErr w:type="gram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6.Transient</w:t>
      </w:r>
      <w:proofErr w:type="gram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clonality. 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Pearson correlation of dosage effect in clonal and transient samples.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CN heatmap of OC8. Heatmap shows each single cell as a row and copy numbers are indicated by color. Aneuploid and diploid cells are separated as blocks.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: Same as b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for BC8. </w:t>
      </w:r>
    </w:p>
    <w:p w14:paraId="460BACE6" w14:textId="77777777" w:rsidR="008B7905" w:rsidRDefault="008B7905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8F4DF3A" w14:textId="77777777" w:rsidR="008B7905" w:rsidRDefault="008B7905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5248E95" w14:textId="77777777" w:rsidR="008B7905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3717F8F2" wp14:editId="2DB61BFB">
            <wp:extent cx="5943600" cy="6071658"/>
            <wp:effectExtent l="0" t="0" r="0" b="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233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1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AD1C12" w14:textId="188E3C62" w:rsidR="008B7905" w:rsidRPr="00241422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Supplementary figure 7. Phenotypic effects of transient clonality in solid tumors. 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Pathway analysis of BC, OC and SRC. Color shows normalized enrichment score (NES) clonal over transient cases. P value between the clonal and transient patients is shown as size. Pathways are hallmark pathways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Z scores per tumor type for the three hallmark pathways from 6A split by genotype.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All non-immune related pathways that have normalized enrichment scores (NES) in the same direction and are significant in all subtypes between transient and clonal samples.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: 20 most significantly enriched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Reactome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Hallmark and KEGG pathways between transient and clonal leiomyosarcomas. Colored by NES, shape indicates significance (&lt;0.05)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: Same as d for OC.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f</w:t>
      </w:r>
      <w:r>
        <w:rPr>
          <w:rFonts w:ascii="Times New Roman" w:eastAsia="Times New Roman" w:hAnsi="Times New Roman" w:cs="Times New Roman"/>
          <w:sz w:val="18"/>
          <w:szCs w:val="18"/>
        </w:rPr>
        <w:t>: Same as d and e for TNBC.</w:t>
      </w:r>
    </w:p>
    <w:sectPr w:rsidR="008B7905" w:rsidRPr="0024142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382DC01-BC9B-244D-932E-1E7F48017B0D}"/>
    <w:embedItalic r:id="rId2" w:fontKey="{4688095A-C8BA-6143-BF53-1B7DB9ADBA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8AEB54E-10D2-0C46-8305-62FCF466EFDB}"/>
    <w:embedBold r:id="rId4" w:fontKey="{4333B967-CE08-5B46-B1B0-378E17EFDD09}"/>
    <w:embedItalic r:id="rId5" w:fontKey="{23D4E7FA-CD1B-5C46-BEFC-579BEAFAC2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1A4ADE0-94AA-EC46-B804-9FDB3EE834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351D5CB-66DF-2345-9FEA-AB48FF6A61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905"/>
    <w:rsid w:val="00241422"/>
    <w:rsid w:val="004B7D98"/>
    <w:rsid w:val="008B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A357155"/>
  <w15:docId w15:val="{7C6F60C4-3591-FA40-9CC1-F1A976C62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506</Words>
  <Characters>2692</Characters>
  <Application>Microsoft Office Word</Application>
  <DocSecurity>0</DocSecurity>
  <Lines>65</Lines>
  <Paragraphs>8</Paragraphs>
  <ScaleCrop>false</ScaleCrop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Solrun Kolbeinsdottir</cp:lastModifiedBy>
  <cp:revision>2</cp:revision>
  <dcterms:created xsi:type="dcterms:W3CDTF">2026-03-15T12:49:00Z</dcterms:created>
  <dcterms:modified xsi:type="dcterms:W3CDTF">2026-03-15T12:50:00Z</dcterms:modified>
</cp:coreProperties>
</file>