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rPr>
          <w:rFonts w:ascii="Arial" w:hAnsi="Arial"/>
        </w:rPr>
        <w:t>Workflow Decisions Document</w:t>
      </w:r>
    </w:p>
    <w:p>
      <w:r>
        <w:rPr>
          <w:rFonts w:ascii="Arial" w:hAnsi="Arial"/>
          <w:b/>
          <w:sz w:val="20"/>
        </w:rPr>
        <w:t>Study: SCOPA-AUT Items Predicting Cognitive Milestones in PPMI PD</w:t>
      </w:r>
    </w:p>
    <w:p>
      <w:r>
        <w:rPr>
          <w:rFonts w:ascii="Arial" w:hAnsi="Arial"/>
          <w:b w:val="0"/>
          <w:sz w:val="20"/>
        </w:rPr>
        <w:t>Date: March 2026 | Author: Ahmed Negida, MD, PhD</w:t>
      </w:r>
    </w:p>
    <w:p>
      <w:pPr>
        <w:pStyle w:val="Heading2"/>
      </w:pPr>
      <w:r>
        <w:rPr>
          <w:rFonts w:ascii="Arial" w:hAnsi="Arial"/>
        </w:rPr>
        <w:t>1. Data Source</w:t>
      </w:r>
    </w:p>
    <w:p>
      <w:r>
        <w:rPr>
          <w:rFonts w:ascii="Arial" w:hAnsi="Arial"/>
          <w:b w:val="0"/>
          <w:sz w:val="20"/>
        </w:rPr>
        <w:t>PPMI Master Merged (data freeze: 26 Jan 2026)</w:t>
      </w:r>
    </w:p>
    <w:p>
      <w:pPr>
        <w:pStyle w:val="Heading2"/>
      </w:pPr>
      <w:r>
        <w:rPr>
          <w:rFonts w:ascii="Arial" w:hAnsi="Arial"/>
        </w:rPr>
        <w:t>2. Cohort Selection</w:t>
      </w:r>
    </w:p>
    <w:p>
      <w:r>
        <w:rPr>
          <w:rFonts w:ascii="Arial" w:hAnsi="Arial"/>
          <w:b w:val="0"/>
          <w:sz w:val="20"/>
        </w:rPr>
        <w:t>Step 1: BL subjects → PD (COHORT=1): 4,697 → 1,585 (excl 3,112)</w:t>
      </w:r>
    </w:p>
    <w:p>
      <w:r>
        <w:rPr>
          <w:rFonts w:ascii="Arial" w:hAnsi="Arial"/>
          <w:b w:val="0"/>
          <w:sz w:val="20"/>
        </w:rPr>
        <w:t>Step 2: Require BL SCOPA-AUT: 1,585 → 1,269 (excl 316)</w:t>
      </w:r>
    </w:p>
    <w:p>
      <w:r>
        <w:rPr>
          <w:rFonts w:ascii="Arial" w:hAnsi="Arial"/>
          <w:b w:val="0"/>
          <w:sz w:val="20"/>
        </w:rPr>
        <w:t>Step 3: Require BL MoCA: 1,269 → 1,265 (excl 4)</w:t>
      </w:r>
    </w:p>
    <w:p>
      <w:r>
        <w:rPr>
          <w:rFonts w:ascii="Arial" w:hAnsi="Arial"/>
          <w:b w:val="0"/>
          <w:sz w:val="20"/>
        </w:rPr>
        <w:t>Step 4: Exclude BL PD-Dementia (Cognitive_Group=3): 1,265 → 1,251 (excl 14)</w:t>
      </w:r>
    </w:p>
    <w:p>
      <w:r>
        <w:rPr>
          <w:rFonts w:ascii="Arial" w:hAnsi="Arial"/>
          <w:b w:val="0"/>
          <w:sz w:val="20"/>
        </w:rPr>
        <w:t>Step 5: Event or ≥2y follow-up: 1,251 → 960 (excl 291)</w:t>
      </w:r>
    </w:p>
    <w:p>
      <w:r>
        <w:rPr>
          <w:rFonts w:ascii="Arial" w:hAnsi="Arial"/>
          <w:b/>
          <w:sz w:val="20"/>
        </w:rPr>
        <w:t>FINAL: N = 960, Events = 227 (23.6%)</w:t>
      </w:r>
    </w:p>
    <w:p>
      <w:pPr>
        <w:pStyle w:val="Heading2"/>
      </w:pPr>
      <w:r>
        <w:rPr>
          <w:rFonts w:ascii="Arial" w:hAnsi="Arial"/>
        </w:rPr>
        <w:t>3. Outcome: Cognitive Milestones (dom3)</w:t>
      </w:r>
    </w:p>
    <w:p>
      <w:r>
        <w:rPr>
          <w:rFonts w:ascii="Arial" w:hAnsi="Arial"/>
          <w:b w:val="0"/>
          <w:sz w:val="20"/>
        </w:rPr>
        <w:t>m10: MoCA &lt; 21 | m11: NP1COG &gt; 3 | m12: NP1HALL &gt; 3</w:t>
      </w:r>
    </w:p>
    <w:p>
      <w:r>
        <w:rPr>
          <w:rFonts w:ascii="Arial" w:hAnsi="Arial"/>
          <w:b w:val="0"/>
          <w:sz w:val="20"/>
        </w:rPr>
        <w:t>m13: NP1APAT &gt; 3 | m14: COGSTATE = 3 (investigator dementia)</w:t>
      </w:r>
    </w:p>
    <w:p>
      <w:r>
        <w:rPr>
          <w:rFonts w:ascii="Arial" w:hAnsi="Arial"/>
          <w:b w:val="0"/>
          <w:sz w:val="20"/>
        </w:rPr>
        <w:t>m15: Cognitive_Group = 3 (PD-Dementia per MDS: PD-MCI + functional impairment)</w:t>
      </w:r>
    </w:p>
    <w:p>
      <w:r>
        <w:rPr>
          <w:rFonts w:ascii="Arial" w:hAnsi="Arial"/>
          <w:b w:val="0"/>
          <w:sz w:val="20"/>
        </w:rPr>
        <w:t>Composite: any of m10–m15 reached. Time-to-event from BL.</w:t>
      </w:r>
    </w:p>
    <w:p>
      <w:pPr>
        <w:pStyle w:val="Heading2"/>
      </w:pPr>
      <w:r>
        <w:rPr>
          <w:rFonts w:ascii="Arial" w:hAnsi="Arial"/>
        </w:rPr>
        <w:t>4. Covariates</w:t>
      </w:r>
    </w:p>
    <w:p>
      <w:r>
        <w:rPr>
          <w:rFonts w:ascii="Arial" w:hAnsi="Arial"/>
          <w:b w:val="0"/>
          <w:sz w:val="20"/>
        </w:rPr>
        <w:t>Age, sex, education, baseline MoCA, MDS-UPDRS III (best)</w:t>
      </w:r>
    </w:p>
    <w:p>
      <w:pPr>
        <w:pStyle w:val="Heading2"/>
      </w:pPr>
      <w:r>
        <w:rPr>
          <w:rFonts w:ascii="Arial" w:hAnsi="Arial"/>
        </w:rPr>
        <w:t>5. Statistical Methods</w:t>
      </w:r>
    </w:p>
    <w:p>
      <w:r>
        <w:rPr>
          <w:rFonts w:ascii="Arial" w:hAnsi="Arial"/>
          <w:b w:val="0"/>
          <w:sz w:val="20"/>
        </w:rPr>
        <w:t>Primary: Cox PH (time to first cognitive milestone), FDR across 25 items</w:t>
      </w:r>
    </w:p>
    <w:p>
      <w:r>
        <w:rPr>
          <w:rFonts w:ascii="Arial" w:hAnsi="Arial"/>
          <w:b w:val="0"/>
          <w:sz w:val="20"/>
        </w:rPr>
        <w:t>Secondary: logistic regression (binary milestone reached)</w:t>
      </w:r>
    </w:p>
    <w:p>
      <w:r>
        <w:rPr>
          <w:rFonts w:ascii="Arial" w:hAnsi="Arial"/>
          <w:b w:val="0"/>
          <w:sz w:val="20"/>
        </w:rPr>
        <w:t>Domain-level: sum of items within each of 6 SCOPA-AUT domains</w:t>
      </w:r>
    </w:p>
    <w:p>
      <w:pPr>
        <w:pStyle w:val="Heading2"/>
      </w:pPr>
      <w:r>
        <w:rPr>
          <w:rFonts w:ascii="Arial" w:hAnsi="Arial"/>
        </w:rPr>
        <w:t>6. Sensitivity Analyses</w:t>
      </w:r>
    </w:p>
    <w:p>
      <w:r>
        <w:rPr>
          <w:rFonts w:ascii="Arial" w:hAnsi="Arial"/>
          <w:b w:val="0"/>
          <w:sz w:val="20"/>
        </w:rPr>
        <w:t>1. 4-year minimum follow-up (N=612, 227 events)</w:t>
      </w:r>
    </w:p>
    <w:p>
      <w:r>
        <w:rPr>
          <w:rFonts w:ascii="Arial" w:hAnsi="Arial"/>
          <w:b w:val="0"/>
          <w:sz w:val="20"/>
        </w:rPr>
        <w:t>2. Individual milestones: m10 (MoCA&lt;21), m14 (dementia), m15 (PDD)</w:t>
      </w:r>
    </w:p>
    <w:p>
      <w:r>
        <w:rPr>
          <w:rFonts w:ascii="Arial" w:hAnsi="Arial"/>
          <w:b w:val="0"/>
          <w:sz w:val="20"/>
        </w:rPr>
        <w:t>3. Completers vs dropouts comparison</w:t>
      </w:r>
    </w:p>
    <w:p>
      <w:pPr>
        <w:pStyle w:val="Heading2"/>
      </w:pPr>
      <w:r>
        <w:rPr>
          <w:rFonts w:ascii="Arial" w:hAnsi="Arial"/>
        </w:rPr>
        <w:t>7. Key Results</w:t>
      </w:r>
    </w:p>
    <w:p>
      <w:r>
        <w:rPr>
          <w:rFonts w:ascii="Arial" w:hAnsi="Arial"/>
          <w:b w:val="0"/>
          <w:sz w:val="20"/>
        </w:rPr>
        <w:t>8 items FDR-significant in adjusted Cox: SCAU1, SCAU2, SCAU6, SCAU8, SCAU9, SCAU14, SCAU15, SCAU20</w:t>
      </w:r>
    </w:p>
    <w:p>
      <w:r>
        <w:rPr>
          <w:rFonts w:ascii="Arial" w:hAnsi="Arial"/>
          <w:b w:val="0"/>
          <w:sz w:val="20"/>
        </w:rPr>
        <w:t>4 domains significant: GI, URI, CV, THERM</w:t>
      </w:r>
    </w:p>
    <w:p>
      <w:r>
        <w:rPr>
          <w:rFonts w:ascii="Arial" w:hAnsi="Arial"/>
          <w:b w:val="0"/>
          <w:sz w:val="20"/>
        </w:rPr>
        <w:t>SCOPA-AUT total: aHR 1.04, p &lt; 0.001</w:t>
      </w:r>
    </w:p>
    <w:p>
      <w:r>
        <w:rPr>
          <w:rFonts w:ascii="Arial" w:hAnsi="Arial"/>
          <w:b w:val="0"/>
          <w:sz w:val="20"/>
        </w:rPr>
        <w:t>KM tertiles: log-rank p &lt; 0.001</w:t>
      </w:r>
    </w:p>
    <w:p>
      <w:pPr>
        <w:pStyle w:val="Heading2"/>
      </w:pPr>
      <w:r>
        <w:rPr>
          <w:rFonts w:ascii="Arial" w:hAnsi="Arial"/>
        </w:rPr>
        <w:t>8. Reproducibility</w:t>
      </w:r>
    </w:p>
    <w:p>
      <w:r>
        <w:rPr>
          <w:rFonts w:ascii="Arial" w:hAnsi="Arial"/>
          <w:b w:val="0"/>
          <w:sz w:val="20"/>
        </w:rPr>
        <w:t>Seed: 42 | Locked dataset: data/analytical_dataset.csv (N=960)</w:t>
      </w:r>
    </w:p>
    <w:p>
      <w:r>
        <w:rPr>
          <w:rFonts w:ascii="Arial" w:hAnsi="Arial"/>
          <w:b w:val="0"/>
          <w:sz w:val="20"/>
        </w:rPr>
        <w:t>Python 3.13, statsmodels, lifelines, scipy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