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5677" w:rsidRPr="002E20AC" w:rsidRDefault="00305677" w:rsidP="00305677">
      <w:pPr>
        <w:pStyle w:val="1"/>
        <w:rPr>
          <w:rFonts w:ascii="Times New Roman" w:hAnsi="Times New Roman" w:cs="Times New Roman"/>
          <w:sz w:val="24"/>
          <w:szCs w:val="24"/>
        </w:rPr>
      </w:pPr>
      <w:r w:rsidRPr="002E20AC">
        <w:rPr>
          <w:rFonts w:ascii="Times New Roman" w:hAnsi="Times New Roman" w:cs="Times New Roman"/>
          <w:sz w:val="24"/>
          <w:szCs w:val="24"/>
        </w:rPr>
        <w:t>Table S1 Complete variable list and definitions</w:t>
      </w:r>
    </w:p>
    <w:p w:rsidR="00305677" w:rsidRPr="002E20AC" w:rsidRDefault="00305677" w:rsidP="00305677">
      <w:pPr>
        <w:rPr>
          <w:rFonts w:ascii="Times New Roman" w:hAnsi="Times New Roman" w:cs="Times New Roman"/>
        </w:rPr>
      </w:pPr>
      <w:r w:rsidRPr="002E20AC">
        <w:rPr>
          <w:rStyle w:val="a7"/>
          <w:rFonts w:ascii="Times New Roman" w:hAnsi="Times New Roman" w:cs="Times New Roman"/>
        </w:rPr>
        <w:t>Baseline characteristics of patients according to postoperative complications</w:t>
      </w:r>
      <w:r w:rsidRPr="002E20AC">
        <w:rPr>
          <w:rFonts w:ascii="Times New Roman" w:hAnsi="Times New Roman" w:cs="Times New Roman"/>
        </w:rPr>
        <w:t xml:space="preserve"> – Full variable names, abbreviations and clinical definitions</w:t>
      </w:r>
    </w:p>
    <w:p w:rsidR="002E20AC" w:rsidRPr="002E20AC" w:rsidRDefault="002E20AC" w:rsidP="002E20AC">
      <w:pPr>
        <w:widowControl/>
        <w:jc w:val="left"/>
        <w:cnfStyle w:val="101000000000" w:firstRow="1" w:lastRow="0" w:firstColumn="1" w:lastColumn="0" w:oddVBand="0" w:evenVBand="0" w:oddHBand="0" w:evenHBand="0" w:firstRowFirstColumn="0" w:firstRowLastColumn="0" w:lastRowFirstColumn="0" w:lastRowLastColumn="0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</w:p>
    <w:tbl>
      <w:tblPr>
        <w:tblW w:w="5000" w:type="pct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01"/>
        <w:gridCol w:w="2977"/>
        <w:gridCol w:w="1703"/>
        <w:gridCol w:w="1925"/>
      </w:tblGrid>
      <w:tr w:rsidR="002E20AC" w:rsidRPr="002E20AC" w:rsidTr="002E20AC">
        <w:trPr>
          <w:trHeight w:val="585"/>
          <w:tblHeader/>
        </w:trPr>
        <w:tc>
          <w:tcPr>
            <w:tcW w:w="1024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3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Category</w:t>
            </w:r>
          </w:p>
        </w:tc>
        <w:tc>
          <w:tcPr>
            <w:tcW w:w="1792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3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Variable Full English Name</w:t>
            </w:r>
          </w:p>
        </w:tc>
        <w:tc>
          <w:tcPr>
            <w:tcW w:w="1025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3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Abbreviation</w:t>
            </w:r>
          </w:p>
        </w:tc>
        <w:tc>
          <w:tcPr>
            <w:tcW w:w="1159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3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Definition</w:t>
            </w:r>
          </w:p>
        </w:tc>
      </w:tr>
      <w:tr w:rsidR="002E20AC" w:rsidRPr="002E20AC" w:rsidTr="002E20AC">
        <w:trPr>
          <w:trHeight w:val="585"/>
        </w:trPr>
        <w:tc>
          <w:tcPr>
            <w:tcW w:w="1024" w:type="pct"/>
            <w:vMerge w:val="restart"/>
            <w:tcBorders>
              <w:top w:val="single" w:sz="4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Demographics</w:t>
            </w:r>
          </w:p>
        </w:tc>
        <w:tc>
          <w:tcPr>
            <w:tcW w:w="1792" w:type="pct"/>
            <w:tcBorders>
              <w:top w:val="single" w:sz="4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Age</w:t>
            </w:r>
          </w:p>
        </w:tc>
        <w:tc>
          <w:tcPr>
            <w:tcW w:w="1025" w:type="pct"/>
            <w:tcBorders>
              <w:top w:val="single" w:sz="4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Age</w:t>
            </w:r>
          </w:p>
        </w:tc>
        <w:tc>
          <w:tcPr>
            <w:tcW w:w="1159" w:type="pct"/>
            <w:tcBorders>
              <w:top w:val="single" w:sz="4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Age at the time of surgery, unit: years</w:t>
            </w:r>
          </w:p>
        </w:tc>
      </w:tr>
      <w:tr w:rsidR="002E20AC" w:rsidRPr="002E20AC" w:rsidTr="002E20AC">
        <w:trPr>
          <w:trHeight w:val="585"/>
        </w:trPr>
        <w:tc>
          <w:tcPr>
            <w:tcW w:w="1024" w:type="pct"/>
            <w:vMerge/>
            <w:vAlign w:val="center"/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792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Sex</w:t>
            </w:r>
          </w:p>
        </w:tc>
        <w:tc>
          <w:tcPr>
            <w:tcW w:w="1025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Sex</w:t>
            </w:r>
          </w:p>
        </w:tc>
        <w:tc>
          <w:tcPr>
            <w:tcW w:w="1159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Gender of patients, categorized as male or female</w:t>
            </w:r>
          </w:p>
        </w:tc>
      </w:tr>
      <w:tr w:rsidR="002E20AC" w:rsidRPr="002E20AC" w:rsidTr="002E20AC">
        <w:trPr>
          <w:trHeight w:val="585"/>
        </w:trPr>
        <w:tc>
          <w:tcPr>
            <w:tcW w:w="1024" w:type="pct"/>
            <w:vMerge/>
            <w:vAlign w:val="center"/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792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Body Mass Index</w:t>
            </w:r>
          </w:p>
        </w:tc>
        <w:tc>
          <w:tcPr>
            <w:tcW w:w="1025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BMI</w:t>
            </w:r>
          </w:p>
        </w:tc>
        <w:tc>
          <w:tcPr>
            <w:tcW w:w="1159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Body mass index, calculated as weight/height², unit: kg/m²</w:t>
            </w:r>
          </w:p>
        </w:tc>
      </w:tr>
      <w:tr w:rsidR="002E20AC" w:rsidRPr="002E20AC" w:rsidTr="002E20AC">
        <w:trPr>
          <w:trHeight w:val="585"/>
        </w:trPr>
        <w:tc>
          <w:tcPr>
            <w:tcW w:w="1024" w:type="pct"/>
            <w:vMerge/>
            <w:vAlign w:val="center"/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792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Operative Route</w:t>
            </w:r>
          </w:p>
        </w:tc>
        <w:tc>
          <w:tcPr>
            <w:tcW w:w="1025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–</w:t>
            </w:r>
          </w:p>
        </w:tc>
        <w:tc>
          <w:tcPr>
            <w:tcW w:w="1159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Surgical approach, categorized as laparoscopic or open surgery</w:t>
            </w:r>
          </w:p>
        </w:tc>
      </w:tr>
      <w:tr w:rsidR="002E20AC" w:rsidRPr="002E20AC" w:rsidTr="002E20AC">
        <w:trPr>
          <w:trHeight w:val="585"/>
        </w:trPr>
        <w:tc>
          <w:tcPr>
            <w:tcW w:w="1024" w:type="pct"/>
            <w:vMerge/>
            <w:vAlign w:val="center"/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792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American Society of Anesthesiologists Score</w:t>
            </w:r>
          </w:p>
        </w:tc>
        <w:tc>
          <w:tcPr>
            <w:tcW w:w="1025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ASA score</w:t>
            </w:r>
          </w:p>
        </w:tc>
        <w:tc>
          <w:tcPr>
            <w:tcW w:w="1159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Preoperative physical status classification, graded as I, II, III–IV</w:t>
            </w:r>
          </w:p>
        </w:tc>
      </w:tr>
      <w:tr w:rsidR="002E20AC" w:rsidRPr="002E20AC" w:rsidTr="002E20AC">
        <w:trPr>
          <w:trHeight w:val="585"/>
        </w:trPr>
        <w:tc>
          <w:tcPr>
            <w:tcW w:w="1024" w:type="pct"/>
            <w:vMerge/>
            <w:vAlign w:val="center"/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792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Eastern Cooperative Oncology Group Performance Status</w:t>
            </w:r>
          </w:p>
        </w:tc>
        <w:tc>
          <w:tcPr>
            <w:tcW w:w="1025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ECOG</w:t>
            </w:r>
          </w:p>
        </w:tc>
        <w:tc>
          <w:tcPr>
            <w:tcW w:w="1159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Preoperative functional activity status, graded as 0, 1, 2–4</w:t>
            </w:r>
          </w:p>
        </w:tc>
      </w:tr>
      <w:tr w:rsidR="002E20AC" w:rsidRPr="002E20AC" w:rsidTr="002E20AC">
        <w:trPr>
          <w:trHeight w:val="585"/>
        </w:trPr>
        <w:tc>
          <w:tcPr>
            <w:tcW w:w="1024" w:type="pct"/>
            <w:vMerge/>
            <w:vAlign w:val="center"/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792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Nutritional Risk Screening 2002</w:t>
            </w:r>
          </w:p>
        </w:tc>
        <w:tc>
          <w:tcPr>
            <w:tcW w:w="1025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NRS2002</w:t>
            </w:r>
          </w:p>
        </w:tc>
        <w:tc>
          <w:tcPr>
            <w:tcW w:w="1159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 xml:space="preserve">Preoperative nutritional risk </w:t>
            </w: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lastRenderedPageBreak/>
              <w:t>assessment score, graded as 0, 1, 2, ≥3</w:t>
            </w:r>
          </w:p>
        </w:tc>
      </w:tr>
      <w:tr w:rsidR="002E20AC" w:rsidRPr="002E20AC" w:rsidTr="002E20AC">
        <w:trPr>
          <w:trHeight w:val="585"/>
        </w:trPr>
        <w:tc>
          <w:tcPr>
            <w:tcW w:w="1024" w:type="pct"/>
            <w:vMerge w:val="restar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lastRenderedPageBreak/>
              <w:t>History &amp; Comorbidities</w:t>
            </w:r>
          </w:p>
        </w:tc>
        <w:tc>
          <w:tcPr>
            <w:tcW w:w="1792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Smoking History</w:t>
            </w:r>
          </w:p>
        </w:tc>
        <w:tc>
          <w:tcPr>
            <w:tcW w:w="1025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–</w:t>
            </w:r>
          </w:p>
        </w:tc>
        <w:tc>
          <w:tcPr>
            <w:tcW w:w="1159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History of smoking, categorized as yes or no</w:t>
            </w:r>
          </w:p>
        </w:tc>
      </w:tr>
      <w:tr w:rsidR="002E20AC" w:rsidRPr="002E20AC" w:rsidTr="002E20AC">
        <w:trPr>
          <w:trHeight w:val="585"/>
        </w:trPr>
        <w:tc>
          <w:tcPr>
            <w:tcW w:w="1024" w:type="pct"/>
            <w:vMerge/>
            <w:vAlign w:val="center"/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792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Past Surgical History</w:t>
            </w:r>
          </w:p>
        </w:tc>
        <w:tc>
          <w:tcPr>
            <w:tcW w:w="1025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–</w:t>
            </w:r>
          </w:p>
        </w:tc>
        <w:tc>
          <w:tcPr>
            <w:tcW w:w="1159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History of previous surgical operations, categorized as yes or no</w:t>
            </w:r>
          </w:p>
        </w:tc>
      </w:tr>
      <w:tr w:rsidR="002E20AC" w:rsidRPr="002E20AC" w:rsidTr="002E20AC">
        <w:trPr>
          <w:trHeight w:val="585"/>
        </w:trPr>
        <w:tc>
          <w:tcPr>
            <w:tcW w:w="1024" w:type="pct"/>
            <w:vMerge/>
            <w:vAlign w:val="center"/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792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Diabetes</w:t>
            </w:r>
          </w:p>
        </w:tc>
        <w:tc>
          <w:tcPr>
            <w:tcW w:w="1025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–</w:t>
            </w:r>
          </w:p>
        </w:tc>
        <w:tc>
          <w:tcPr>
            <w:tcW w:w="1159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Preoperative diagnosis of diabetes mellitus, categorized as yes or no</w:t>
            </w:r>
          </w:p>
        </w:tc>
      </w:tr>
      <w:tr w:rsidR="002E20AC" w:rsidRPr="002E20AC" w:rsidTr="002E20AC">
        <w:trPr>
          <w:trHeight w:val="585"/>
        </w:trPr>
        <w:tc>
          <w:tcPr>
            <w:tcW w:w="1024" w:type="pct"/>
            <w:vMerge/>
            <w:vAlign w:val="center"/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792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Cardiovascular/cerebrovascular Disease</w:t>
            </w:r>
          </w:p>
        </w:tc>
        <w:tc>
          <w:tcPr>
            <w:tcW w:w="1025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–</w:t>
            </w:r>
          </w:p>
        </w:tc>
        <w:tc>
          <w:tcPr>
            <w:tcW w:w="1159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Preoperative cardiovascular or cerebrovascular diseases, categorized as yes or no</w:t>
            </w:r>
          </w:p>
        </w:tc>
      </w:tr>
      <w:tr w:rsidR="002E20AC" w:rsidRPr="002E20AC" w:rsidTr="002E20AC">
        <w:trPr>
          <w:trHeight w:val="585"/>
        </w:trPr>
        <w:tc>
          <w:tcPr>
            <w:tcW w:w="1024" w:type="pct"/>
            <w:vMerge/>
            <w:vAlign w:val="center"/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792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Respiratory Disease</w:t>
            </w:r>
          </w:p>
        </w:tc>
        <w:tc>
          <w:tcPr>
            <w:tcW w:w="1025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–</w:t>
            </w:r>
          </w:p>
        </w:tc>
        <w:tc>
          <w:tcPr>
            <w:tcW w:w="1159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Preoperative chronic respiratory diseases, categorized as yes or no</w:t>
            </w:r>
          </w:p>
        </w:tc>
      </w:tr>
      <w:tr w:rsidR="002E20AC" w:rsidRPr="002E20AC" w:rsidTr="002E20AC">
        <w:trPr>
          <w:trHeight w:val="585"/>
        </w:trPr>
        <w:tc>
          <w:tcPr>
            <w:tcW w:w="1024" w:type="pct"/>
            <w:vMerge/>
            <w:vAlign w:val="center"/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792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Hepatopathy</w:t>
            </w:r>
          </w:p>
        </w:tc>
        <w:tc>
          <w:tcPr>
            <w:tcW w:w="1025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–</w:t>
            </w:r>
          </w:p>
        </w:tc>
        <w:tc>
          <w:tcPr>
            <w:tcW w:w="1159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Preoperative liver dysfunction or liver diseases, categorized as yes or no</w:t>
            </w:r>
          </w:p>
        </w:tc>
      </w:tr>
      <w:tr w:rsidR="002E20AC" w:rsidRPr="002E20AC" w:rsidTr="002E20AC">
        <w:trPr>
          <w:trHeight w:val="585"/>
        </w:trPr>
        <w:tc>
          <w:tcPr>
            <w:tcW w:w="1024" w:type="pct"/>
            <w:vMerge/>
            <w:vAlign w:val="center"/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792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Gastric Cancer Related Disease</w:t>
            </w:r>
          </w:p>
        </w:tc>
        <w:tc>
          <w:tcPr>
            <w:tcW w:w="1025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–</w:t>
            </w:r>
          </w:p>
        </w:tc>
        <w:tc>
          <w:tcPr>
            <w:tcW w:w="1159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Preoperative diseases associated with gastric cancer, categorized as yes or no</w:t>
            </w:r>
          </w:p>
        </w:tc>
      </w:tr>
      <w:tr w:rsidR="002E20AC" w:rsidRPr="002E20AC" w:rsidTr="002E20AC">
        <w:trPr>
          <w:trHeight w:val="585"/>
        </w:trPr>
        <w:tc>
          <w:tcPr>
            <w:tcW w:w="1024" w:type="pct"/>
            <w:vMerge/>
            <w:vAlign w:val="center"/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792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Ileus</w:t>
            </w:r>
          </w:p>
        </w:tc>
        <w:tc>
          <w:tcPr>
            <w:tcW w:w="1025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–</w:t>
            </w:r>
          </w:p>
        </w:tc>
        <w:tc>
          <w:tcPr>
            <w:tcW w:w="1159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Preoperative intestinal obstruction, categorized as yes or no</w:t>
            </w:r>
          </w:p>
        </w:tc>
      </w:tr>
      <w:tr w:rsidR="002E20AC" w:rsidRPr="002E20AC" w:rsidTr="002E20AC">
        <w:trPr>
          <w:trHeight w:val="585"/>
        </w:trPr>
        <w:tc>
          <w:tcPr>
            <w:tcW w:w="1024" w:type="pct"/>
            <w:vMerge/>
            <w:vAlign w:val="center"/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792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Haemorrhage</w:t>
            </w:r>
          </w:p>
        </w:tc>
        <w:tc>
          <w:tcPr>
            <w:tcW w:w="1025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–</w:t>
            </w:r>
          </w:p>
        </w:tc>
        <w:tc>
          <w:tcPr>
            <w:tcW w:w="1159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Preoperative hemorrhage related to gastric cancer, categorized as yes or no</w:t>
            </w:r>
          </w:p>
        </w:tc>
      </w:tr>
      <w:tr w:rsidR="002E20AC" w:rsidRPr="002E20AC" w:rsidTr="002E20AC">
        <w:trPr>
          <w:trHeight w:val="585"/>
        </w:trPr>
        <w:tc>
          <w:tcPr>
            <w:tcW w:w="1024" w:type="pct"/>
            <w:vMerge/>
            <w:vAlign w:val="center"/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792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Anemia</w:t>
            </w:r>
          </w:p>
        </w:tc>
        <w:tc>
          <w:tcPr>
            <w:tcW w:w="1025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–</w:t>
            </w:r>
          </w:p>
        </w:tc>
        <w:tc>
          <w:tcPr>
            <w:tcW w:w="1159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Preoperative anemia, categorized as yes or no</w:t>
            </w:r>
          </w:p>
        </w:tc>
      </w:tr>
      <w:tr w:rsidR="002E20AC" w:rsidRPr="002E20AC" w:rsidTr="002E20AC">
        <w:trPr>
          <w:trHeight w:val="585"/>
        </w:trPr>
        <w:tc>
          <w:tcPr>
            <w:tcW w:w="1024" w:type="pct"/>
            <w:vMerge/>
            <w:vAlign w:val="center"/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792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Neoadjuvant Chemotherapy</w:t>
            </w:r>
          </w:p>
        </w:tc>
        <w:tc>
          <w:tcPr>
            <w:tcW w:w="1025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–</w:t>
            </w:r>
          </w:p>
        </w:tc>
        <w:tc>
          <w:tcPr>
            <w:tcW w:w="1159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Received preoperative neoadjuvant chemotherapy, categorized as yes or no</w:t>
            </w:r>
          </w:p>
        </w:tc>
      </w:tr>
      <w:tr w:rsidR="002E20AC" w:rsidRPr="002E20AC" w:rsidTr="002E20AC">
        <w:trPr>
          <w:trHeight w:val="585"/>
        </w:trPr>
        <w:tc>
          <w:tcPr>
            <w:tcW w:w="1024" w:type="pct"/>
            <w:vMerge/>
            <w:vAlign w:val="center"/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792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Hyperthermic Intraperitoneal Chemotherapy</w:t>
            </w:r>
          </w:p>
        </w:tc>
        <w:tc>
          <w:tcPr>
            <w:tcW w:w="1025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HIPEC</w:t>
            </w:r>
          </w:p>
        </w:tc>
        <w:tc>
          <w:tcPr>
            <w:tcW w:w="1159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Received intraoperative hyperthermic intraperitoneal chemotherapy, categorized as yes or no</w:t>
            </w:r>
          </w:p>
        </w:tc>
      </w:tr>
      <w:tr w:rsidR="002E20AC" w:rsidRPr="002E20AC" w:rsidTr="002E20AC">
        <w:trPr>
          <w:trHeight w:val="585"/>
        </w:trPr>
        <w:tc>
          <w:tcPr>
            <w:tcW w:w="1024" w:type="pct"/>
            <w:vMerge w:val="restar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Laboratory Tests</w:t>
            </w:r>
          </w:p>
        </w:tc>
        <w:tc>
          <w:tcPr>
            <w:tcW w:w="1792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Hemoglobin</w:t>
            </w:r>
          </w:p>
        </w:tc>
        <w:tc>
          <w:tcPr>
            <w:tcW w:w="1025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–</w:t>
            </w:r>
          </w:p>
        </w:tc>
        <w:tc>
          <w:tcPr>
            <w:tcW w:w="1159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 xml:space="preserve">Preoperative hemoglobin level </w:t>
            </w: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lastRenderedPageBreak/>
              <w:t>in peripheral blood, unit: g/L</w:t>
            </w:r>
          </w:p>
        </w:tc>
      </w:tr>
      <w:tr w:rsidR="002E20AC" w:rsidRPr="002E20AC" w:rsidTr="002E20AC">
        <w:trPr>
          <w:trHeight w:val="585"/>
        </w:trPr>
        <w:tc>
          <w:tcPr>
            <w:tcW w:w="1024" w:type="pct"/>
            <w:vMerge/>
            <w:vAlign w:val="center"/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792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Platelet Count</w:t>
            </w:r>
          </w:p>
        </w:tc>
        <w:tc>
          <w:tcPr>
            <w:tcW w:w="1025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–</w:t>
            </w:r>
          </w:p>
        </w:tc>
        <w:tc>
          <w:tcPr>
            <w:tcW w:w="1159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Preoperative platelet count in peripheral blood, unit: ×10⁹/L</w:t>
            </w:r>
          </w:p>
        </w:tc>
      </w:tr>
      <w:tr w:rsidR="002E20AC" w:rsidRPr="002E20AC" w:rsidTr="002E20AC">
        <w:trPr>
          <w:trHeight w:val="585"/>
        </w:trPr>
        <w:tc>
          <w:tcPr>
            <w:tcW w:w="1024" w:type="pct"/>
            <w:vMerge/>
            <w:vAlign w:val="center"/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792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White Blood Cell Count</w:t>
            </w:r>
          </w:p>
        </w:tc>
        <w:tc>
          <w:tcPr>
            <w:tcW w:w="1025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–</w:t>
            </w:r>
          </w:p>
        </w:tc>
        <w:tc>
          <w:tcPr>
            <w:tcW w:w="1159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Preoperative white blood cell count in peripheral blood, unit: ×10⁹/L</w:t>
            </w:r>
          </w:p>
        </w:tc>
      </w:tr>
      <w:tr w:rsidR="002E20AC" w:rsidRPr="002E20AC" w:rsidTr="002E20AC">
        <w:trPr>
          <w:trHeight w:val="585"/>
        </w:trPr>
        <w:tc>
          <w:tcPr>
            <w:tcW w:w="1024" w:type="pct"/>
            <w:vMerge/>
            <w:vAlign w:val="center"/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792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Neutrophil to Lymphocyte Ratio</w:t>
            </w:r>
          </w:p>
        </w:tc>
        <w:tc>
          <w:tcPr>
            <w:tcW w:w="1025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NLR</w:t>
            </w:r>
          </w:p>
        </w:tc>
        <w:tc>
          <w:tcPr>
            <w:tcW w:w="1159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Ratio of peripheral blood neutrophils to lymphocytes, calculated value</w:t>
            </w:r>
          </w:p>
        </w:tc>
      </w:tr>
      <w:tr w:rsidR="002E20AC" w:rsidRPr="002E20AC" w:rsidTr="002E20AC">
        <w:trPr>
          <w:trHeight w:val="585"/>
        </w:trPr>
        <w:tc>
          <w:tcPr>
            <w:tcW w:w="1024" w:type="pct"/>
            <w:vMerge/>
            <w:vAlign w:val="center"/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792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Prealbumin</w:t>
            </w:r>
          </w:p>
        </w:tc>
        <w:tc>
          <w:tcPr>
            <w:tcW w:w="1025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–</w:t>
            </w:r>
          </w:p>
        </w:tc>
        <w:tc>
          <w:tcPr>
            <w:tcW w:w="1159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Preoperative serum prealbumin level, unit: g/L</w:t>
            </w:r>
          </w:p>
        </w:tc>
      </w:tr>
      <w:tr w:rsidR="002E20AC" w:rsidRPr="002E20AC" w:rsidTr="002E20AC">
        <w:trPr>
          <w:trHeight w:val="585"/>
        </w:trPr>
        <w:tc>
          <w:tcPr>
            <w:tcW w:w="1024" w:type="pct"/>
            <w:vMerge/>
            <w:vAlign w:val="center"/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792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Albumin</w:t>
            </w:r>
          </w:p>
        </w:tc>
        <w:tc>
          <w:tcPr>
            <w:tcW w:w="1025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–</w:t>
            </w:r>
          </w:p>
        </w:tc>
        <w:tc>
          <w:tcPr>
            <w:tcW w:w="1159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Preoperative serum albumin level, unit: g/L</w:t>
            </w:r>
          </w:p>
        </w:tc>
      </w:tr>
      <w:tr w:rsidR="002E20AC" w:rsidRPr="002E20AC" w:rsidTr="002E20AC">
        <w:trPr>
          <w:trHeight w:val="585"/>
        </w:trPr>
        <w:tc>
          <w:tcPr>
            <w:tcW w:w="1024" w:type="pct"/>
            <w:vMerge/>
            <w:vAlign w:val="center"/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792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Carbohydrate Antigen 199</w:t>
            </w:r>
          </w:p>
        </w:tc>
        <w:tc>
          <w:tcPr>
            <w:tcW w:w="1025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CA199</w:t>
            </w:r>
          </w:p>
        </w:tc>
        <w:tc>
          <w:tcPr>
            <w:tcW w:w="1159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Preoperative serum tumor marker CA199 level, unit: U/mL</w:t>
            </w:r>
          </w:p>
        </w:tc>
      </w:tr>
      <w:tr w:rsidR="002E20AC" w:rsidRPr="002E20AC" w:rsidTr="002E20AC">
        <w:trPr>
          <w:trHeight w:val="585"/>
        </w:trPr>
        <w:tc>
          <w:tcPr>
            <w:tcW w:w="1024" w:type="pct"/>
            <w:vMerge/>
            <w:vAlign w:val="center"/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792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Carbohydrate Antigen 125</w:t>
            </w:r>
          </w:p>
        </w:tc>
        <w:tc>
          <w:tcPr>
            <w:tcW w:w="1025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CA125</w:t>
            </w:r>
          </w:p>
        </w:tc>
        <w:tc>
          <w:tcPr>
            <w:tcW w:w="1159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Preoperative serum tumor marker CA125 level, unit: U/mL</w:t>
            </w:r>
          </w:p>
        </w:tc>
      </w:tr>
      <w:tr w:rsidR="002E20AC" w:rsidRPr="002E20AC" w:rsidTr="002E20AC">
        <w:trPr>
          <w:trHeight w:val="585"/>
        </w:trPr>
        <w:tc>
          <w:tcPr>
            <w:tcW w:w="1024" w:type="pct"/>
            <w:vMerge/>
            <w:vAlign w:val="center"/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792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Alpha-fetoprotein</w:t>
            </w:r>
          </w:p>
        </w:tc>
        <w:tc>
          <w:tcPr>
            <w:tcW w:w="1025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AFP</w:t>
            </w:r>
          </w:p>
        </w:tc>
        <w:tc>
          <w:tcPr>
            <w:tcW w:w="1159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Preoperative serum tumor marker AFP level, unit: U/mL</w:t>
            </w:r>
          </w:p>
        </w:tc>
      </w:tr>
      <w:tr w:rsidR="002E20AC" w:rsidRPr="002E20AC" w:rsidTr="002E20AC">
        <w:trPr>
          <w:trHeight w:val="585"/>
        </w:trPr>
        <w:tc>
          <w:tcPr>
            <w:tcW w:w="1024" w:type="pct"/>
            <w:vMerge/>
            <w:vAlign w:val="center"/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792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Carcinoembryonic Antigen</w:t>
            </w:r>
          </w:p>
        </w:tc>
        <w:tc>
          <w:tcPr>
            <w:tcW w:w="1025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CEA</w:t>
            </w:r>
          </w:p>
        </w:tc>
        <w:tc>
          <w:tcPr>
            <w:tcW w:w="1159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Preoperative serum tumor marker CEA level, unit: U/mL</w:t>
            </w:r>
          </w:p>
        </w:tc>
      </w:tr>
      <w:tr w:rsidR="002E20AC" w:rsidRPr="002E20AC" w:rsidTr="002E20AC">
        <w:trPr>
          <w:trHeight w:val="585"/>
        </w:trPr>
        <w:tc>
          <w:tcPr>
            <w:tcW w:w="1024" w:type="pct"/>
            <w:vMerge/>
            <w:vAlign w:val="center"/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792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Carbohydrate Antigen 724</w:t>
            </w:r>
          </w:p>
        </w:tc>
        <w:tc>
          <w:tcPr>
            <w:tcW w:w="1025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CA724</w:t>
            </w:r>
          </w:p>
        </w:tc>
        <w:tc>
          <w:tcPr>
            <w:tcW w:w="1159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Preoperative serum tumor marker CA724 level, unit: U/mL</w:t>
            </w:r>
          </w:p>
        </w:tc>
      </w:tr>
      <w:tr w:rsidR="002E20AC" w:rsidRPr="002E20AC" w:rsidTr="002E20AC">
        <w:trPr>
          <w:trHeight w:val="585"/>
        </w:trPr>
        <w:tc>
          <w:tcPr>
            <w:tcW w:w="1024" w:type="pct"/>
            <w:vMerge/>
            <w:vAlign w:val="center"/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792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C-reactive Protein on Postoperative Day 3</w:t>
            </w:r>
          </w:p>
        </w:tc>
        <w:tc>
          <w:tcPr>
            <w:tcW w:w="1025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CRP day 3</w:t>
            </w:r>
          </w:p>
        </w:tc>
        <w:tc>
          <w:tcPr>
            <w:tcW w:w="1159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Serum CRP level on the 3rd day after surgery, unit: mg/L</w:t>
            </w:r>
          </w:p>
        </w:tc>
      </w:tr>
      <w:tr w:rsidR="002E20AC" w:rsidRPr="002E20AC" w:rsidTr="002E20AC">
        <w:trPr>
          <w:trHeight w:val="585"/>
        </w:trPr>
        <w:tc>
          <w:tcPr>
            <w:tcW w:w="1024" w:type="pct"/>
            <w:vMerge/>
            <w:vAlign w:val="center"/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792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Procalcitonin on Postoperative Day 3</w:t>
            </w:r>
          </w:p>
        </w:tc>
        <w:tc>
          <w:tcPr>
            <w:tcW w:w="1025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PCT day 3</w:t>
            </w:r>
          </w:p>
        </w:tc>
        <w:tc>
          <w:tcPr>
            <w:tcW w:w="1159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Serum PCT level on the 3rd day after surgery, unit: ng/mL</w:t>
            </w:r>
          </w:p>
        </w:tc>
      </w:tr>
      <w:tr w:rsidR="002E20AC" w:rsidRPr="002E20AC" w:rsidTr="002E20AC">
        <w:trPr>
          <w:trHeight w:val="585"/>
        </w:trPr>
        <w:tc>
          <w:tcPr>
            <w:tcW w:w="1024" w:type="pct"/>
            <w:vMerge/>
            <w:vAlign w:val="center"/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792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C-reactive Protein on Postoperative Day 5</w:t>
            </w:r>
          </w:p>
        </w:tc>
        <w:tc>
          <w:tcPr>
            <w:tcW w:w="1025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CRP day 5</w:t>
            </w:r>
          </w:p>
        </w:tc>
        <w:tc>
          <w:tcPr>
            <w:tcW w:w="1159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Serum CRP level on the 5th day after surgery, unit: mg/L</w:t>
            </w:r>
          </w:p>
        </w:tc>
      </w:tr>
      <w:tr w:rsidR="002E20AC" w:rsidRPr="002E20AC" w:rsidTr="002E20AC">
        <w:trPr>
          <w:trHeight w:val="585"/>
        </w:trPr>
        <w:tc>
          <w:tcPr>
            <w:tcW w:w="1024" w:type="pct"/>
            <w:vMerge/>
            <w:vAlign w:val="center"/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792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Procalcitonin on Postoperative Day 5</w:t>
            </w:r>
          </w:p>
        </w:tc>
        <w:tc>
          <w:tcPr>
            <w:tcW w:w="1025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PCT day 5</w:t>
            </w:r>
          </w:p>
        </w:tc>
        <w:tc>
          <w:tcPr>
            <w:tcW w:w="1159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Serum PCT level on the 5th day after surgery, unit: ng/mL</w:t>
            </w:r>
          </w:p>
        </w:tc>
      </w:tr>
      <w:tr w:rsidR="002E20AC" w:rsidRPr="002E20AC" w:rsidTr="002E20AC">
        <w:trPr>
          <w:trHeight w:val="585"/>
        </w:trPr>
        <w:tc>
          <w:tcPr>
            <w:tcW w:w="1024" w:type="pct"/>
            <w:vMerge/>
            <w:vAlign w:val="center"/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792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Human Epidermal Growth Factor Receptor 2</w:t>
            </w:r>
          </w:p>
        </w:tc>
        <w:tc>
          <w:tcPr>
            <w:tcW w:w="1025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HER2</w:t>
            </w:r>
          </w:p>
        </w:tc>
        <w:tc>
          <w:tcPr>
            <w:tcW w:w="1159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Expression level of HER2 in gastric cancer tissue</w:t>
            </w:r>
          </w:p>
        </w:tc>
      </w:tr>
      <w:tr w:rsidR="002E20AC" w:rsidRPr="002E20AC" w:rsidTr="002E20AC">
        <w:trPr>
          <w:trHeight w:val="585"/>
        </w:trPr>
        <w:tc>
          <w:tcPr>
            <w:tcW w:w="1024" w:type="pct"/>
            <w:vMerge w:val="restar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Treatment &amp; Surgery</w:t>
            </w:r>
          </w:p>
        </w:tc>
        <w:tc>
          <w:tcPr>
            <w:tcW w:w="1792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Operative Time</w:t>
            </w:r>
          </w:p>
        </w:tc>
        <w:tc>
          <w:tcPr>
            <w:tcW w:w="1025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–</w:t>
            </w:r>
          </w:p>
        </w:tc>
        <w:tc>
          <w:tcPr>
            <w:tcW w:w="1159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Duration of the surgical operation, unit: minutes</w:t>
            </w:r>
          </w:p>
        </w:tc>
      </w:tr>
      <w:tr w:rsidR="002E20AC" w:rsidRPr="002E20AC" w:rsidTr="002E20AC">
        <w:trPr>
          <w:trHeight w:val="585"/>
        </w:trPr>
        <w:tc>
          <w:tcPr>
            <w:tcW w:w="1024" w:type="pct"/>
            <w:vMerge/>
            <w:vAlign w:val="center"/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792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Surgical Options</w:t>
            </w:r>
          </w:p>
        </w:tc>
        <w:tc>
          <w:tcPr>
            <w:tcW w:w="1025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–</w:t>
            </w:r>
          </w:p>
        </w:tc>
        <w:tc>
          <w:tcPr>
            <w:tcW w:w="1159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 xml:space="preserve">Type of gastrectomy, categorized as </w:t>
            </w: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lastRenderedPageBreak/>
              <w:t>total gastrectomy, distal subtotal gastrectomy, others</w:t>
            </w:r>
          </w:p>
        </w:tc>
      </w:tr>
      <w:tr w:rsidR="002E20AC" w:rsidRPr="002E20AC" w:rsidTr="002E20AC">
        <w:trPr>
          <w:trHeight w:val="585"/>
        </w:trPr>
        <w:tc>
          <w:tcPr>
            <w:tcW w:w="1024" w:type="pct"/>
            <w:vMerge/>
            <w:vAlign w:val="center"/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792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Anastomotic Methods</w:t>
            </w:r>
          </w:p>
        </w:tc>
        <w:tc>
          <w:tcPr>
            <w:tcW w:w="1025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–</w:t>
            </w:r>
          </w:p>
        </w:tc>
        <w:tc>
          <w:tcPr>
            <w:tcW w:w="1159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Digestive tract reconstruction method, categorized as Roux en Y, others</w:t>
            </w:r>
          </w:p>
        </w:tc>
      </w:tr>
      <w:tr w:rsidR="002E20AC" w:rsidRPr="002E20AC" w:rsidTr="002E20AC">
        <w:trPr>
          <w:trHeight w:val="585"/>
        </w:trPr>
        <w:tc>
          <w:tcPr>
            <w:tcW w:w="1024" w:type="pct"/>
            <w:vMerge/>
            <w:vAlign w:val="center"/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792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Intraoperative Blood Transfusion</w:t>
            </w:r>
          </w:p>
        </w:tc>
        <w:tc>
          <w:tcPr>
            <w:tcW w:w="1025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–</w:t>
            </w:r>
          </w:p>
        </w:tc>
        <w:tc>
          <w:tcPr>
            <w:tcW w:w="1159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Received blood transfusion during surgery, categorized as yes or no</w:t>
            </w:r>
          </w:p>
        </w:tc>
      </w:tr>
      <w:tr w:rsidR="002E20AC" w:rsidRPr="002E20AC" w:rsidTr="002E20AC">
        <w:trPr>
          <w:trHeight w:val="585"/>
        </w:trPr>
        <w:tc>
          <w:tcPr>
            <w:tcW w:w="1024" w:type="pct"/>
            <w:vMerge/>
            <w:vAlign w:val="center"/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792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Intraoperative Blood Loss</w:t>
            </w:r>
          </w:p>
        </w:tc>
        <w:tc>
          <w:tcPr>
            <w:tcW w:w="1025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–</w:t>
            </w:r>
          </w:p>
        </w:tc>
        <w:tc>
          <w:tcPr>
            <w:tcW w:w="1159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Volume of blood loss during surgery, unit: mL</w:t>
            </w:r>
          </w:p>
        </w:tc>
      </w:tr>
      <w:tr w:rsidR="002E20AC" w:rsidRPr="002E20AC" w:rsidTr="002E20AC">
        <w:trPr>
          <w:trHeight w:val="585"/>
        </w:trPr>
        <w:tc>
          <w:tcPr>
            <w:tcW w:w="1024" w:type="pct"/>
            <w:vMerge/>
            <w:vAlign w:val="center"/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792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AJCC 8th Stage</w:t>
            </w:r>
          </w:p>
        </w:tc>
        <w:tc>
          <w:tcPr>
            <w:tcW w:w="1025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–</w:t>
            </w:r>
          </w:p>
        </w:tc>
        <w:tc>
          <w:tcPr>
            <w:tcW w:w="1159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Tumor stage based on AJCC 8th edition, categorized as I–II, III–IV</w:t>
            </w:r>
          </w:p>
        </w:tc>
      </w:tr>
      <w:tr w:rsidR="002E20AC" w:rsidRPr="002E20AC" w:rsidTr="002E20AC">
        <w:trPr>
          <w:trHeight w:val="585"/>
        </w:trPr>
        <w:tc>
          <w:tcPr>
            <w:tcW w:w="1024" w:type="pct"/>
            <w:vMerge/>
            <w:vAlign w:val="center"/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792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Tumor Location</w:t>
            </w:r>
          </w:p>
        </w:tc>
        <w:tc>
          <w:tcPr>
            <w:tcW w:w="1025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–</w:t>
            </w:r>
          </w:p>
        </w:tc>
        <w:tc>
          <w:tcPr>
            <w:tcW w:w="1159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Location of gastric tumor, categorized as lower, others</w:t>
            </w:r>
          </w:p>
        </w:tc>
      </w:tr>
      <w:tr w:rsidR="002E20AC" w:rsidRPr="002E20AC" w:rsidTr="002E20AC">
        <w:trPr>
          <w:trHeight w:val="585"/>
        </w:trPr>
        <w:tc>
          <w:tcPr>
            <w:tcW w:w="1024" w:type="pct"/>
            <w:vMerge/>
            <w:vAlign w:val="center"/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792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Tumor Size ≥10 cm</w:t>
            </w:r>
          </w:p>
        </w:tc>
        <w:tc>
          <w:tcPr>
            <w:tcW w:w="1025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–</w:t>
            </w:r>
          </w:p>
        </w:tc>
        <w:tc>
          <w:tcPr>
            <w:tcW w:w="1159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Maximum diameter of gastric tumor ≥10 cm, categorized as yes or no</w:t>
            </w:r>
          </w:p>
        </w:tc>
      </w:tr>
      <w:tr w:rsidR="002E20AC" w:rsidRPr="002E20AC" w:rsidTr="002E20AC">
        <w:trPr>
          <w:trHeight w:val="585"/>
        </w:trPr>
        <w:tc>
          <w:tcPr>
            <w:tcW w:w="1024" w:type="pct"/>
            <w:vMerge w:val="restar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lastRenderedPageBreak/>
              <w:t>Tumor Characteristics</w:t>
            </w:r>
          </w:p>
        </w:tc>
        <w:tc>
          <w:tcPr>
            <w:tcW w:w="1792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Adenoca</w:t>
            </w:r>
            <w:bookmarkStart w:id="0" w:name="_GoBack"/>
            <w:bookmarkEnd w:id="0"/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rcinoma</w:t>
            </w:r>
          </w:p>
        </w:tc>
        <w:tc>
          <w:tcPr>
            <w:tcW w:w="1025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–</w:t>
            </w:r>
          </w:p>
        </w:tc>
        <w:tc>
          <w:tcPr>
            <w:tcW w:w="1159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Histopathological type of gastric cancer, categorized as adenocarcinoma, others</w:t>
            </w:r>
          </w:p>
        </w:tc>
      </w:tr>
      <w:tr w:rsidR="002E20AC" w:rsidRPr="002E20AC" w:rsidTr="002E20AC">
        <w:trPr>
          <w:trHeight w:val="585"/>
        </w:trPr>
        <w:tc>
          <w:tcPr>
            <w:tcW w:w="1024" w:type="pct"/>
            <w:vMerge/>
            <w:vAlign w:val="center"/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792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Vascular Cancer Embolus</w:t>
            </w:r>
          </w:p>
        </w:tc>
        <w:tc>
          <w:tcPr>
            <w:tcW w:w="1025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–</w:t>
            </w:r>
          </w:p>
        </w:tc>
        <w:tc>
          <w:tcPr>
            <w:tcW w:w="1159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Presence of vascular invasion in tumor tissue, categorized as yes or no</w:t>
            </w:r>
          </w:p>
        </w:tc>
      </w:tr>
      <w:tr w:rsidR="002E20AC" w:rsidRPr="002E20AC" w:rsidTr="002E20AC">
        <w:trPr>
          <w:trHeight w:val="585"/>
        </w:trPr>
        <w:tc>
          <w:tcPr>
            <w:tcW w:w="1024" w:type="pct"/>
            <w:vMerge/>
            <w:vAlign w:val="center"/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792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Neuroaggression</w:t>
            </w:r>
          </w:p>
        </w:tc>
        <w:tc>
          <w:tcPr>
            <w:tcW w:w="1025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–</w:t>
            </w:r>
          </w:p>
        </w:tc>
        <w:tc>
          <w:tcPr>
            <w:tcW w:w="1159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Presence of neural invasion in tumor tissue, categorized as yes or no</w:t>
            </w:r>
          </w:p>
        </w:tc>
      </w:tr>
      <w:tr w:rsidR="002E20AC" w:rsidRPr="002E20AC" w:rsidTr="002E20AC">
        <w:trPr>
          <w:trHeight w:val="585"/>
        </w:trPr>
        <w:tc>
          <w:tcPr>
            <w:tcW w:w="1024" w:type="pct"/>
            <w:vMerge/>
            <w:vAlign w:val="center"/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792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Energy to Nitrogen Ratio</w:t>
            </w:r>
          </w:p>
        </w:tc>
        <w:tc>
          <w:tcPr>
            <w:tcW w:w="1025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–</w:t>
            </w:r>
          </w:p>
        </w:tc>
        <w:tc>
          <w:tcPr>
            <w:tcW w:w="1159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Ratio of energy supply to nitrogen intake during perioperative period</w:t>
            </w:r>
          </w:p>
        </w:tc>
      </w:tr>
      <w:tr w:rsidR="002E20AC" w:rsidRPr="002E20AC" w:rsidTr="002E20AC">
        <w:trPr>
          <w:trHeight w:val="585"/>
        </w:trPr>
        <w:tc>
          <w:tcPr>
            <w:tcW w:w="1024" w:type="pct"/>
            <w:vMerge w:val="restar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Perioperative Recovery</w:t>
            </w:r>
          </w:p>
        </w:tc>
        <w:tc>
          <w:tcPr>
            <w:tcW w:w="1792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Amino Acid Contents</w:t>
            </w:r>
          </w:p>
        </w:tc>
        <w:tc>
          <w:tcPr>
            <w:tcW w:w="1025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–</w:t>
            </w:r>
          </w:p>
        </w:tc>
        <w:tc>
          <w:tcPr>
            <w:tcW w:w="1159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Perioperative intake of amino acids</w:t>
            </w:r>
          </w:p>
        </w:tc>
      </w:tr>
      <w:tr w:rsidR="002E20AC" w:rsidRPr="002E20AC" w:rsidTr="002E20AC">
        <w:trPr>
          <w:trHeight w:val="585"/>
        </w:trPr>
        <w:tc>
          <w:tcPr>
            <w:tcW w:w="1024" w:type="pct"/>
            <w:vMerge/>
            <w:vAlign w:val="center"/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792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Alanyl Glutamine</w:t>
            </w:r>
          </w:p>
        </w:tc>
        <w:tc>
          <w:tcPr>
            <w:tcW w:w="1025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–</w:t>
            </w:r>
          </w:p>
        </w:tc>
        <w:tc>
          <w:tcPr>
            <w:tcW w:w="1159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Application of alanyl glutamine during perioperative period, categorized as yes or no</w:t>
            </w:r>
          </w:p>
        </w:tc>
      </w:tr>
      <w:tr w:rsidR="002E20AC" w:rsidRPr="002E20AC" w:rsidTr="002E20AC">
        <w:trPr>
          <w:trHeight w:val="585"/>
        </w:trPr>
        <w:tc>
          <w:tcPr>
            <w:tcW w:w="1024" w:type="pct"/>
            <w:vMerge/>
            <w:vAlign w:val="center"/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792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Ventilation Duration</w:t>
            </w:r>
          </w:p>
        </w:tc>
        <w:tc>
          <w:tcPr>
            <w:tcW w:w="1025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–</w:t>
            </w:r>
          </w:p>
        </w:tc>
        <w:tc>
          <w:tcPr>
            <w:tcW w:w="1159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 xml:space="preserve">Duration of postoperative mechanical </w:t>
            </w: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lastRenderedPageBreak/>
              <w:t>ventilation, unit: days</w:t>
            </w:r>
          </w:p>
        </w:tc>
      </w:tr>
      <w:tr w:rsidR="002E20AC" w:rsidRPr="002E20AC" w:rsidTr="002E20AC">
        <w:trPr>
          <w:trHeight w:val="585"/>
        </w:trPr>
        <w:tc>
          <w:tcPr>
            <w:tcW w:w="1024" w:type="pct"/>
            <w:vMerge/>
            <w:vAlign w:val="center"/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792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First Oral Feeding</w:t>
            </w:r>
          </w:p>
        </w:tc>
        <w:tc>
          <w:tcPr>
            <w:tcW w:w="1025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–</w:t>
            </w:r>
          </w:p>
        </w:tc>
        <w:tc>
          <w:tcPr>
            <w:tcW w:w="1159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Time to first oral intake after surgery, unit: days</w:t>
            </w:r>
          </w:p>
        </w:tc>
      </w:tr>
      <w:tr w:rsidR="002E20AC" w:rsidRPr="002E20AC" w:rsidTr="002E20AC">
        <w:trPr>
          <w:trHeight w:val="585"/>
        </w:trPr>
        <w:tc>
          <w:tcPr>
            <w:tcW w:w="1024" w:type="pct"/>
            <w:vMerge/>
            <w:vAlign w:val="center"/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792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Gastric Tube Duration</w:t>
            </w:r>
          </w:p>
        </w:tc>
        <w:tc>
          <w:tcPr>
            <w:tcW w:w="1025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–</w:t>
            </w:r>
          </w:p>
        </w:tc>
        <w:tc>
          <w:tcPr>
            <w:tcW w:w="1159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Indwelling time of postoperative gastric tube, unit: days</w:t>
            </w:r>
          </w:p>
        </w:tc>
      </w:tr>
      <w:tr w:rsidR="002E20AC" w:rsidRPr="002E20AC" w:rsidTr="002E20AC">
        <w:trPr>
          <w:trHeight w:val="585"/>
        </w:trPr>
        <w:tc>
          <w:tcPr>
            <w:tcW w:w="1024" w:type="pct"/>
            <w:vMerge/>
            <w:vAlign w:val="center"/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792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Drainage Tube Duration</w:t>
            </w:r>
          </w:p>
        </w:tc>
        <w:tc>
          <w:tcPr>
            <w:tcW w:w="1025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–</w:t>
            </w:r>
          </w:p>
        </w:tc>
        <w:tc>
          <w:tcPr>
            <w:tcW w:w="1159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Indwelling time of postoperative abdominal drainage tube, unit: days</w:t>
            </w:r>
          </w:p>
        </w:tc>
      </w:tr>
      <w:tr w:rsidR="002E20AC" w:rsidRPr="002E20AC" w:rsidTr="002E20AC">
        <w:trPr>
          <w:trHeight w:val="585"/>
        </w:trPr>
        <w:tc>
          <w:tcPr>
            <w:tcW w:w="1024" w:type="pct"/>
            <w:vMerge/>
            <w:vAlign w:val="center"/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792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Postoperative Hospital Stay</w:t>
            </w:r>
          </w:p>
        </w:tc>
        <w:tc>
          <w:tcPr>
            <w:tcW w:w="1025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–</w:t>
            </w:r>
          </w:p>
        </w:tc>
        <w:tc>
          <w:tcPr>
            <w:tcW w:w="1159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Length of postoperative hospital stay, unit: days</w:t>
            </w:r>
          </w:p>
        </w:tc>
      </w:tr>
      <w:tr w:rsidR="002E20AC" w:rsidRPr="002E20AC" w:rsidTr="002E20AC">
        <w:trPr>
          <w:trHeight w:val="585"/>
        </w:trPr>
        <w:tc>
          <w:tcPr>
            <w:tcW w:w="1024" w:type="pct"/>
            <w:vMerge/>
            <w:vAlign w:val="center"/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792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Postoperative Hospital Stay &gt;14 days</w:t>
            </w:r>
          </w:p>
        </w:tc>
        <w:tc>
          <w:tcPr>
            <w:tcW w:w="1025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–</w:t>
            </w:r>
          </w:p>
        </w:tc>
        <w:tc>
          <w:tcPr>
            <w:tcW w:w="1159" w:type="pct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Postoperative hospital stay longer than 14 days, categorized as yes or no</w:t>
            </w:r>
          </w:p>
        </w:tc>
      </w:tr>
      <w:tr w:rsidR="002E20AC" w:rsidRPr="002E20AC" w:rsidTr="002E20AC">
        <w:trPr>
          <w:trHeight w:val="585"/>
        </w:trPr>
        <w:tc>
          <w:tcPr>
            <w:tcW w:w="1024" w:type="pct"/>
            <w:vMerge/>
            <w:tcBorders>
              <w:bottom w:val="single" w:sz="4" w:space="0" w:color="auto"/>
            </w:tcBorders>
            <w:vAlign w:val="center"/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792" w:type="pct"/>
            <w:tcBorders>
              <w:bottom w:val="single" w:sz="4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Postoperative Complications</w:t>
            </w:r>
          </w:p>
        </w:tc>
        <w:tc>
          <w:tcPr>
            <w:tcW w:w="1025" w:type="pct"/>
            <w:tcBorders>
              <w:bottom w:val="single" w:sz="4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CD</w:t>
            </w:r>
          </w:p>
        </w:tc>
        <w:tc>
          <w:tcPr>
            <w:tcW w:w="1159" w:type="pct"/>
            <w:tcBorders>
              <w:bottom w:val="single" w:sz="4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05677" w:rsidRPr="002E20AC" w:rsidRDefault="00305677" w:rsidP="002E20A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0AC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Postoperative complications graded by Clavien-Dindo classification, categorized as No complication (CD I), Complication (CD II–IV)</w:t>
            </w:r>
          </w:p>
        </w:tc>
      </w:tr>
    </w:tbl>
    <w:p w:rsidR="00305677" w:rsidRPr="002E20AC" w:rsidRDefault="00305677" w:rsidP="002E20AC">
      <w:pPr>
        <w:widowControl/>
        <w:jc w:val="left"/>
        <w:cnfStyle w:val="101000000000" w:firstRow="1" w:lastRow="0" w:firstColumn="1" w:lastColumn="0" w:oddVBand="0" w:evenVBand="0" w:oddHBand="0" w:evenHBand="0" w:firstRowFirstColumn="0" w:firstRowLastColumn="0" w:lastRowFirstColumn="0" w:lastRowLastColumn="0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</w:p>
    <w:p w:rsidR="003E3F5F" w:rsidRPr="002E20AC" w:rsidRDefault="003E3F5F" w:rsidP="002E20AC">
      <w:pPr>
        <w:widowControl/>
        <w:jc w:val="left"/>
        <w:cnfStyle w:val="101000000000" w:firstRow="1" w:lastRow="0" w:firstColumn="1" w:lastColumn="0" w:oddVBand="0" w:evenVBand="0" w:oddHBand="0" w:evenHBand="0" w:firstRowFirstColumn="0" w:firstRowLastColumn="0" w:lastRowFirstColumn="0" w:lastRowLastColumn="0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</w:p>
    <w:sectPr w:rsidR="003E3F5F" w:rsidRPr="002E20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7839" w:rsidRDefault="00327839" w:rsidP="00305677">
      <w:r>
        <w:separator/>
      </w:r>
    </w:p>
  </w:endnote>
  <w:endnote w:type="continuationSeparator" w:id="0">
    <w:p w:rsidR="00327839" w:rsidRDefault="00327839" w:rsidP="003056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7839" w:rsidRDefault="00327839" w:rsidP="00305677">
      <w:r>
        <w:separator/>
      </w:r>
    </w:p>
  </w:footnote>
  <w:footnote w:type="continuationSeparator" w:id="0">
    <w:p w:rsidR="00327839" w:rsidRDefault="00327839" w:rsidP="003056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1C10"/>
    <w:rsid w:val="002E20AC"/>
    <w:rsid w:val="00305677"/>
    <w:rsid w:val="00327839"/>
    <w:rsid w:val="003E3F5F"/>
    <w:rsid w:val="00571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B0F65E"/>
  <w15:chartTrackingRefBased/>
  <w15:docId w15:val="{2C122322-CFB1-4EA8-B5FF-EB6AE40C9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0567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link w:val="30"/>
    <w:uiPriority w:val="9"/>
    <w:qFormat/>
    <w:rsid w:val="00305677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56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567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56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5677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305677"/>
    <w:rPr>
      <w:rFonts w:ascii="宋体" w:eastAsia="宋体" w:hAnsi="宋体" w:cs="宋体"/>
      <w:b/>
      <w:bCs/>
      <w:kern w:val="0"/>
      <w:sz w:val="27"/>
      <w:szCs w:val="27"/>
    </w:rPr>
  </w:style>
  <w:style w:type="character" w:styleId="a7">
    <w:name w:val="Strong"/>
    <w:basedOn w:val="a0"/>
    <w:uiPriority w:val="22"/>
    <w:qFormat/>
    <w:rsid w:val="00305677"/>
    <w:rPr>
      <w:b/>
      <w:bCs/>
    </w:rPr>
  </w:style>
  <w:style w:type="character" w:customStyle="1" w:styleId="10">
    <w:name w:val="标题 1 字符"/>
    <w:basedOn w:val="a0"/>
    <w:link w:val="1"/>
    <w:uiPriority w:val="9"/>
    <w:rsid w:val="00305677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441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5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48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11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34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326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9542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185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2115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221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67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463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646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164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520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04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1998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1059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944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290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1717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411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729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05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3301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761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3625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6493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8901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642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1249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9212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527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2020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2186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6115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461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2179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093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7973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6469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4349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273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731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8626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2962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8911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297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6157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0373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3287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7920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641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7906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550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809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891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9569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7997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6949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6426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9833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2837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350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88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649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9573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3421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473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8577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600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3288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3986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963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4022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815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399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9523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7122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4913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6437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9688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252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572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384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5861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80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362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104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5194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759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6988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254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319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71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6775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5449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1153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6511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3463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013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1853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6992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4268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7206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899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4855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8218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342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5483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9704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2151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421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493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4565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803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525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2202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301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4040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6091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398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690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531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8244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188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9747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773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3979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7154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1425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1110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4769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605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1205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556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2258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935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0325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9786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54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6502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520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9534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1624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777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31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158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790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290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8993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2329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492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6937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320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132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6631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2374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977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3772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7179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878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2644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499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1867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690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7613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981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2471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8527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7677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9089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914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6865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919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3510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4950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0215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367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282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6474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0335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9954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5705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323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026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1886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FED4A4"/>
                        <w:left w:val="none" w:sz="0" w:space="0" w:color="FED4A4"/>
                        <w:bottom w:val="none" w:sz="0" w:space="0" w:color="FED4A4"/>
                        <w:right w:val="none" w:sz="0" w:space="0" w:color="FED4A4"/>
                      </w:divBdr>
                    </w:div>
                  </w:divsChild>
                </w:div>
              </w:divsChild>
            </w:div>
          </w:divsChild>
        </w:div>
      </w:divsChild>
    </w:div>
    <w:div w:id="207303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8</Pages>
  <Words>825</Words>
  <Characters>4709</Characters>
  <Application>Microsoft Office Word</Application>
  <DocSecurity>0</DocSecurity>
  <Lines>39</Lines>
  <Paragraphs>11</Paragraphs>
  <ScaleCrop>false</ScaleCrop>
  <Company/>
  <LinksUpToDate>false</LinksUpToDate>
  <CharactersWithSpaces>5523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gong'yan</dc:creator>
  <cp:keywords/>
  <dc:description/>
  <cp:lastModifiedBy>gong'yan</cp:lastModifiedBy>
  <cp:revision>2</cp:revision>
  <dcterms:created xsi:type="dcterms:W3CDTF">2026-03-15T12:57:00Z</dcterms:created>
  <dcterms:modified xsi:type="dcterms:W3CDTF">2026-03-15T13:18:00Z</dcterms:modified>
</cp:coreProperties>
</file>