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C2C78">
      <w:pPr>
        <w:widowControl w:val="0"/>
        <w:spacing w:after="156"/>
        <w:jc w:val="both"/>
        <w:rPr>
          <w:color w:val="FF0000"/>
        </w:rPr>
      </w:pPr>
      <w:bookmarkStart w:id="0" w:name="_GoBack"/>
      <w:bookmarkEnd w:id="0"/>
    </w:p>
    <w:p w14:paraId="3B02947B">
      <w:pPr>
        <w:pStyle w:val="2"/>
        <w:shd w:val="clear" w:color="auto" w:fill="FFFFFF"/>
        <w:spacing w:before="90" w:beforeAutospacing="0" w:after="90" w:afterAutospacing="0" w:line="270" w:lineRule="atLeast"/>
        <w:rPr>
          <w:rFonts w:ascii="Times New Roman" w:hAnsi="Times New Roman" w:cs="Times New Roman"/>
          <w:color w:val="000000"/>
          <w:sz w:val="21"/>
          <w:szCs w:val="21"/>
        </w:rPr>
      </w:pPr>
      <w:r>
        <w:rPr>
          <w:rFonts w:ascii="Times New Roman" w:hAnsi="Times New Roman" w:cs="Times New Roman"/>
          <w:color w:val="000000"/>
          <w:sz w:val="21"/>
          <w:szCs w:val="21"/>
        </w:rPr>
        <w:t>Table S2 Studies appeared to meet the criteria but excluded (Not all the excluded studies were listed).</w:t>
      </w:r>
    </w:p>
    <w:tbl>
      <w:tblPr>
        <w:tblStyle w:val="5"/>
        <w:tblW w:w="900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276"/>
        <w:gridCol w:w="2222"/>
        <w:gridCol w:w="1874"/>
        <w:gridCol w:w="2991"/>
      </w:tblGrid>
      <w:tr w14:paraId="4FE0CC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42" w:type="dxa"/>
            <w:tcBorders>
              <w:top w:val="single" w:color="auto" w:sz="4" w:space="0"/>
              <w:bottom w:val="single" w:color="auto" w:sz="4" w:space="0"/>
            </w:tcBorders>
          </w:tcPr>
          <w:p w14:paraId="6F554068">
            <w:pPr>
              <w:widowControl w:val="0"/>
              <w:spacing w:after="120"/>
              <w:jc w:val="center"/>
              <w:rPr>
                <w:rFonts w:ascii="Times New Roman" w:hAnsi="Times New Roman" w:cs="Times New Roman"/>
                <w:sz w:val="15"/>
                <w:szCs w:val="15"/>
              </w:rPr>
            </w:pPr>
            <w:r>
              <w:rPr>
                <w:rFonts w:ascii="Times New Roman" w:hAnsi="Times New Roman" w:cs="Times New Roman"/>
                <w:sz w:val="15"/>
                <w:szCs w:val="15"/>
              </w:rPr>
              <w:t>Index</w:t>
            </w:r>
          </w:p>
        </w:tc>
        <w:tc>
          <w:tcPr>
            <w:tcW w:w="1276" w:type="dxa"/>
            <w:tcBorders>
              <w:top w:val="single" w:color="auto" w:sz="4" w:space="0"/>
              <w:bottom w:val="single" w:color="auto" w:sz="4" w:space="0"/>
            </w:tcBorders>
          </w:tcPr>
          <w:p w14:paraId="3494C606">
            <w:pPr>
              <w:widowControl w:val="0"/>
              <w:spacing w:after="120"/>
              <w:jc w:val="center"/>
              <w:rPr>
                <w:rFonts w:ascii="Times New Roman" w:hAnsi="Times New Roman" w:cs="Times New Roman"/>
                <w:sz w:val="15"/>
                <w:szCs w:val="15"/>
              </w:rPr>
            </w:pPr>
            <w:r>
              <w:rPr>
                <w:rFonts w:ascii="Times New Roman" w:hAnsi="Times New Roman" w:cs="Times New Roman"/>
                <w:sz w:val="15"/>
                <w:szCs w:val="15"/>
              </w:rPr>
              <w:t xml:space="preserve">Author </w:t>
            </w:r>
          </w:p>
        </w:tc>
        <w:tc>
          <w:tcPr>
            <w:tcW w:w="2222" w:type="dxa"/>
            <w:tcBorders>
              <w:top w:val="single" w:color="auto" w:sz="4" w:space="0"/>
              <w:bottom w:val="single" w:color="auto" w:sz="4" w:space="0"/>
            </w:tcBorders>
          </w:tcPr>
          <w:p w14:paraId="4A7DB1C4">
            <w:pPr>
              <w:widowControl w:val="0"/>
              <w:spacing w:after="120"/>
              <w:jc w:val="center"/>
              <w:rPr>
                <w:rFonts w:hint="eastAsia" w:ascii="Times New Roman" w:hAnsi="Times New Roman" w:cs="Times New Roman"/>
                <w:sz w:val="15"/>
                <w:szCs w:val="15"/>
              </w:rPr>
            </w:pPr>
            <w:r>
              <w:rPr>
                <w:rFonts w:ascii="Times New Roman" w:hAnsi="Times New Roman" w:cs="Times New Roman"/>
                <w:sz w:val="15"/>
                <w:szCs w:val="15"/>
              </w:rPr>
              <w:t>doi</w:t>
            </w:r>
          </w:p>
        </w:tc>
        <w:tc>
          <w:tcPr>
            <w:tcW w:w="1874" w:type="dxa"/>
            <w:tcBorders>
              <w:top w:val="single" w:color="auto" w:sz="4" w:space="0"/>
              <w:bottom w:val="single" w:color="auto" w:sz="4" w:space="0"/>
            </w:tcBorders>
          </w:tcPr>
          <w:p w14:paraId="53198105">
            <w:pPr>
              <w:widowControl w:val="0"/>
              <w:spacing w:after="120"/>
              <w:jc w:val="center"/>
              <w:rPr>
                <w:rFonts w:ascii="Times New Roman" w:hAnsi="Times New Roman" w:cs="Times New Roman"/>
                <w:sz w:val="15"/>
                <w:szCs w:val="15"/>
              </w:rPr>
            </w:pPr>
            <w:r>
              <w:rPr>
                <w:rFonts w:ascii="Times New Roman" w:hAnsi="Times New Roman" w:cs="Times New Roman"/>
                <w:sz w:val="15"/>
                <w:szCs w:val="15"/>
              </w:rPr>
              <w:t>PMID</w:t>
            </w:r>
          </w:p>
        </w:tc>
        <w:tc>
          <w:tcPr>
            <w:tcW w:w="2991" w:type="dxa"/>
            <w:tcBorders>
              <w:top w:val="single" w:color="auto" w:sz="4" w:space="0"/>
              <w:bottom w:val="single" w:color="auto" w:sz="4" w:space="0"/>
            </w:tcBorders>
          </w:tcPr>
          <w:p w14:paraId="14778E56">
            <w:pPr>
              <w:widowControl w:val="0"/>
              <w:spacing w:after="120"/>
              <w:jc w:val="center"/>
              <w:rPr>
                <w:rFonts w:ascii="Times New Roman" w:hAnsi="Times New Roman" w:cs="Times New Roman"/>
                <w:sz w:val="15"/>
                <w:szCs w:val="15"/>
              </w:rPr>
            </w:pPr>
            <w:r>
              <w:rPr>
                <w:rFonts w:hint="eastAsia" w:ascii="Times New Roman" w:hAnsi="Times New Roman" w:cs="Times New Roman"/>
                <w:sz w:val="15"/>
                <w:szCs w:val="15"/>
              </w:rPr>
              <w:t>Reason</w:t>
            </w:r>
            <w:r>
              <w:rPr>
                <w:rFonts w:ascii="Times New Roman" w:hAnsi="Times New Roman" w:cs="Times New Roman"/>
                <w:sz w:val="15"/>
                <w:szCs w:val="15"/>
              </w:rPr>
              <w:t xml:space="preserve"> for exclusion</w:t>
            </w:r>
          </w:p>
        </w:tc>
      </w:tr>
      <w:tr w14:paraId="6D7251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42" w:type="dxa"/>
            <w:tcBorders>
              <w:top w:val="single" w:color="auto" w:sz="4" w:space="0"/>
              <w:bottom w:val="nil"/>
            </w:tcBorders>
            <w:vAlign w:val="center"/>
          </w:tcPr>
          <w:p w14:paraId="7E239E74">
            <w:pPr>
              <w:widowControl w:val="0"/>
              <w:spacing w:after="120"/>
              <w:jc w:val="center"/>
              <w:rPr>
                <w:rFonts w:ascii="Times New Roman" w:hAnsi="Times New Roman" w:cs="Times New Roman"/>
                <w:sz w:val="15"/>
                <w:szCs w:val="15"/>
              </w:rPr>
            </w:pPr>
            <w:r>
              <w:rPr>
                <w:rFonts w:ascii="Times New Roman" w:hAnsi="Times New Roman" w:cs="Times New Roman"/>
                <w:sz w:val="15"/>
                <w:szCs w:val="15"/>
              </w:rPr>
              <w:t>1</w:t>
            </w:r>
          </w:p>
        </w:tc>
        <w:tc>
          <w:tcPr>
            <w:tcW w:w="1276" w:type="dxa"/>
            <w:tcBorders>
              <w:top w:val="single" w:color="auto" w:sz="4" w:space="0"/>
              <w:bottom w:val="nil"/>
            </w:tcBorders>
          </w:tcPr>
          <w:p w14:paraId="3782C4F9">
            <w:pPr>
              <w:widowControl w:val="0"/>
              <w:spacing w:after="120"/>
              <w:jc w:val="left"/>
              <w:rPr>
                <w:rFonts w:ascii="Times New Roman" w:hAnsi="Times New Roman" w:cs="Times New Roman"/>
                <w:sz w:val="15"/>
                <w:szCs w:val="15"/>
              </w:rPr>
            </w:pPr>
            <w:r>
              <w:rPr>
                <w:rFonts w:ascii="Times New Roman" w:hAnsi="Times New Roman" w:cs="Times New Roman"/>
                <w:sz w:val="15"/>
                <w:szCs w:val="15"/>
              </w:rPr>
              <w:t>Cheng et al.</w:t>
            </w:r>
          </w:p>
        </w:tc>
        <w:tc>
          <w:tcPr>
            <w:tcW w:w="2222" w:type="dxa"/>
            <w:tcBorders>
              <w:top w:val="single" w:color="auto" w:sz="4" w:space="0"/>
              <w:bottom w:val="nil"/>
            </w:tcBorders>
            <w:vAlign w:val="center"/>
          </w:tcPr>
          <w:p w14:paraId="2ECB4F76">
            <w:pPr>
              <w:widowControl w:val="0"/>
              <w:spacing w:after="120"/>
              <w:jc w:val="left"/>
              <w:rPr>
                <w:rFonts w:ascii="Times New Roman" w:hAnsi="Times New Roman" w:cs="Times New Roman"/>
                <w:sz w:val="15"/>
                <w:szCs w:val="15"/>
              </w:rPr>
            </w:pPr>
            <w:r>
              <w:rPr>
                <w:rFonts w:ascii="Times New Roman" w:hAnsi="Times New Roman" w:cs="Times New Roman"/>
                <w:sz w:val="15"/>
                <w:szCs w:val="15"/>
              </w:rPr>
              <w:t>10.3389/fimmu.2023.1191130</w:t>
            </w:r>
          </w:p>
        </w:tc>
        <w:tc>
          <w:tcPr>
            <w:tcW w:w="1874" w:type="dxa"/>
            <w:tcBorders>
              <w:top w:val="single" w:color="auto" w:sz="4" w:space="0"/>
              <w:bottom w:val="nil"/>
            </w:tcBorders>
            <w:vAlign w:val="center"/>
          </w:tcPr>
          <w:p w14:paraId="48B434E3">
            <w:pPr>
              <w:widowControl w:val="0"/>
              <w:spacing w:after="120"/>
              <w:jc w:val="left"/>
              <w:rPr>
                <w:rFonts w:ascii="Times New Roman" w:hAnsi="Times New Roman" w:cs="Times New Roman"/>
                <w:sz w:val="15"/>
                <w:szCs w:val="15"/>
              </w:rPr>
            </w:pPr>
            <w:r>
              <w:rPr>
                <w:rFonts w:ascii="Times New Roman" w:hAnsi="Times New Roman" w:cs="Times New Roman"/>
                <w:sz w:val="15"/>
                <w:szCs w:val="15"/>
              </w:rPr>
              <w:t>3760083</w:t>
            </w:r>
          </w:p>
        </w:tc>
        <w:tc>
          <w:tcPr>
            <w:tcW w:w="2991" w:type="dxa"/>
            <w:tcBorders>
              <w:top w:val="single" w:color="auto" w:sz="4" w:space="0"/>
              <w:bottom w:val="nil"/>
            </w:tcBorders>
            <w:vAlign w:val="center"/>
          </w:tcPr>
          <w:p w14:paraId="445DCC32">
            <w:pPr>
              <w:widowControl w:val="0"/>
              <w:spacing w:after="120"/>
              <w:jc w:val="left"/>
              <w:rPr>
                <w:rFonts w:ascii="Times New Roman" w:hAnsi="Times New Roman" w:cs="Times New Roman"/>
                <w:sz w:val="15"/>
                <w:szCs w:val="15"/>
              </w:rPr>
            </w:pPr>
            <w:r>
              <w:rPr>
                <w:rFonts w:ascii="Times New Roman" w:hAnsi="Times New Roman" w:cs="Times New Roman"/>
                <w:sz w:val="15"/>
                <w:szCs w:val="15"/>
              </w:rPr>
              <w:t>Not patients with acute pancreatitis</w:t>
            </w:r>
          </w:p>
        </w:tc>
      </w:tr>
      <w:tr w14:paraId="05DE80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42" w:type="dxa"/>
            <w:tcBorders>
              <w:top w:val="nil"/>
              <w:bottom w:val="nil"/>
            </w:tcBorders>
            <w:vAlign w:val="center"/>
          </w:tcPr>
          <w:p w14:paraId="55BC5F15">
            <w:pPr>
              <w:widowControl w:val="0"/>
              <w:spacing w:after="120"/>
              <w:jc w:val="center"/>
              <w:rPr>
                <w:rFonts w:ascii="Times New Roman" w:hAnsi="Times New Roman" w:cs="Times New Roman"/>
                <w:sz w:val="15"/>
                <w:szCs w:val="15"/>
              </w:rPr>
            </w:pPr>
            <w:r>
              <w:rPr>
                <w:rFonts w:ascii="Times New Roman" w:hAnsi="Times New Roman" w:cs="Times New Roman"/>
                <w:sz w:val="15"/>
                <w:szCs w:val="15"/>
              </w:rPr>
              <w:t>2</w:t>
            </w:r>
          </w:p>
        </w:tc>
        <w:tc>
          <w:tcPr>
            <w:tcW w:w="1276" w:type="dxa"/>
            <w:tcBorders>
              <w:top w:val="nil"/>
              <w:bottom w:val="nil"/>
            </w:tcBorders>
          </w:tcPr>
          <w:p w14:paraId="36989EF1">
            <w:pPr>
              <w:widowControl w:val="0"/>
              <w:spacing w:after="120"/>
              <w:jc w:val="left"/>
              <w:rPr>
                <w:rFonts w:ascii="Times New Roman" w:hAnsi="Times New Roman" w:cs="Times New Roman"/>
                <w:sz w:val="15"/>
                <w:szCs w:val="15"/>
              </w:rPr>
            </w:pPr>
            <w:r>
              <w:rPr>
                <w:rFonts w:ascii="Times New Roman" w:hAnsi="Times New Roman" w:cs="Times New Roman"/>
                <w:sz w:val="15"/>
                <w:szCs w:val="15"/>
              </w:rPr>
              <w:t>Frøkjær et al.</w:t>
            </w:r>
          </w:p>
        </w:tc>
        <w:tc>
          <w:tcPr>
            <w:tcW w:w="2222" w:type="dxa"/>
            <w:tcBorders>
              <w:top w:val="nil"/>
              <w:bottom w:val="nil"/>
            </w:tcBorders>
            <w:vAlign w:val="center"/>
          </w:tcPr>
          <w:p w14:paraId="18165620">
            <w:pPr>
              <w:widowControl w:val="0"/>
              <w:spacing w:after="120"/>
              <w:jc w:val="left"/>
              <w:rPr>
                <w:rFonts w:ascii="Times New Roman" w:hAnsi="Times New Roman" w:cs="Times New Roman"/>
                <w:sz w:val="15"/>
                <w:szCs w:val="15"/>
              </w:rPr>
            </w:pPr>
            <w:r>
              <w:rPr>
                <w:rFonts w:ascii="Times New Roman" w:hAnsi="Times New Roman" w:cs="Times New Roman"/>
                <w:sz w:val="15"/>
                <w:szCs w:val="15"/>
              </w:rPr>
              <w:t>10.1016/j.cgh.2011.11.024</w:t>
            </w:r>
          </w:p>
        </w:tc>
        <w:tc>
          <w:tcPr>
            <w:tcW w:w="1874" w:type="dxa"/>
            <w:tcBorders>
              <w:top w:val="nil"/>
              <w:bottom w:val="nil"/>
            </w:tcBorders>
            <w:vAlign w:val="center"/>
          </w:tcPr>
          <w:p w14:paraId="2BF2C38C">
            <w:pPr>
              <w:widowControl w:val="0"/>
              <w:spacing w:after="120"/>
              <w:jc w:val="left"/>
              <w:rPr>
                <w:rFonts w:ascii="Times New Roman" w:hAnsi="Times New Roman" w:cs="Times New Roman"/>
                <w:sz w:val="15"/>
                <w:szCs w:val="15"/>
              </w:rPr>
            </w:pPr>
            <w:r>
              <w:rPr>
                <w:rFonts w:ascii="Times New Roman" w:hAnsi="Times New Roman" w:cs="Times New Roman"/>
                <w:sz w:val="15"/>
                <w:szCs w:val="15"/>
              </w:rPr>
              <w:t>22155560.</w:t>
            </w:r>
          </w:p>
        </w:tc>
        <w:tc>
          <w:tcPr>
            <w:tcW w:w="2991" w:type="dxa"/>
            <w:tcBorders>
              <w:top w:val="nil"/>
              <w:bottom w:val="nil"/>
            </w:tcBorders>
            <w:vAlign w:val="center"/>
          </w:tcPr>
          <w:p w14:paraId="1B4494FF">
            <w:pPr>
              <w:widowControl w:val="0"/>
              <w:spacing w:after="120"/>
              <w:jc w:val="left"/>
              <w:rPr>
                <w:rFonts w:ascii="Times New Roman" w:hAnsi="Times New Roman" w:cs="Times New Roman"/>
                <w:sz w:val="15"/>
                <w:szCs w:val="15"/>
              </w:rPr>
            </w:pPr>
            <w:r>
              <w:rPr>
                <w:rFonts w:ascii="Times New Roman" w:hAnsi="Times New Roman" w:cs="Times New Roman"/>
                <w:sz w:val="15"/>
                <w:szCs w:val="15"/>
              </w:rPr>
              <w:t>Patients are with chronic pancreatitis but not acute pancreatitis</w:t>
            </w:r>
          </w:p>
        </w:tc>
      </w:tr>
      <w:tr w14:paraId="08A1BE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42" w:type="dxa"/>
            <w:tcBorders>
              <w:top w:val="nil"/>
              <w:bottom w:val="nil"/>
            </w:tcBorders>
            <w:vAlign w:val="center"/>
          </w:tcPr>
          <w:p w14:paraId="43FA9807">
            <w:pPr>
              <w:widowControl w:val="0"/>
              <w:spacing w:after="120"/>
              <w:jc w:val="center"/>
              <w:rPr>
                <w:rFonts w:ascii="Times New Roman" w:hAnsi="Times New Roman" w:cs="Times New Roman"/>
                <w:sz w:val="15"/>
                <w:szCs w:val="15"/>
              </w:rPr>
            </w:pPr>
            <w:r>
              <w:rPr>
                <w:rFonts w:ascii="Times New Roman" w:hAnsi="Times New Roman" w:cs="Times New Roman"/>
                <w:sz w:val="15"/>
                <w:szCs w:val="15"/>
              </w:rPr>
              <w:t>3</w:t>
            </w:r>
          </w:p>
        </w:tc>
        <w:tc>
          <w:tcPr>
            <w:tcW w:w="1276" w:type="dxa"/>
            <w:tcBorders>
              <w:top w:val="nil"/>
              <w:bottom w:val="nil"/>
            </w:tcBorders>
            <w:vAlign w:val="center"/>
          </w:tcPr>
          <w:p w14:paraId="7FA72D10">
            <w:pPr>
              <w:widowControl w:val="0"/>
              <w:spacing w:after="120"/>
              <w:jc w:val="left"/>
              <w:rPr>
                <w:rFonts w:ascii="Times New Roman" w:hAnsi="Times New Roman" w:cs="Times New Roman"/>
                <w:sz w:val="15"/>
                <w:szCs w:val="15"/>
              </w:rPr>
            </w:pPr>
            <w:r>
              <w:rPr>
                <w:rFonts w:ascii="Times New Roman" w:hAnsi="Times New Roman" w:cs="Times New Roman"/>
                <w:sz w:val="15"/>
                <w:szCs w:val="15"/>
              </w:rPr>
              <w:t>Gong et al.</w:t>
            </w:r>
          </w:p>
        </w:tc>
        <w:tc>
          <w:tcPr>
            <w:tcW w:w="2222" w:type="dxa"/>
            <w:tcBorders>
              <w:top w:val="nil"/>
              <w:bottom w:val="nil"/>
            </w:tcBorders>
            <w:vAlign w:val="center"/>
          </w:tcPr>
          <w:p w14:paraId="4B78CDED">
            <w:pPr>
              <w:widowControl w:val="0"/>
              <w:spacing w:after="120"/>
              <w:jc w:val="left"/>
              <w:rPr>
                <w:rFonts w:ascii="Times New Roman" w:hAnsi="Times New Roman" w:cs="Times New Roman"/>
                <w:sz w:val="15"/>
                <w:szCs w:val="15"/>
              </w:rPr>
            </w:pPr>
            <w:r>
              <w:rPr>
                <w:rFonts w:ascii="Times New Roman" w:hAnsi="Times New Roman" w:cs="Times New Roman"/>
                <w:sz w:val="15"/>
                <w:szCs w:val="15"/>
              </w:rPr>
              <w:t>10.1159/000525230</w:t>
            </w:r>
          </w:p>
        </w:tc>
        <w:tc>
          <w:tcPr>
            <w:tcW w:w="1874" w:type="dxa"/>
            <w:tcBorders>
              <w:top w:val="nil"/>
              <w:bottom w:val="nil"/>
            </w:tcBorders>
            <w:vAlign w:val="center"/>
          </w:tcPr>
          <w:p w14:paraId="7480D463">
            <w:pPr>
              <w:widowControl w:val="0"/>
              <w:spacing w:after="120"/>
              <w:jc w:val="left"/>
              <w:rPr>
                <w:rFonts w:ascii="Times New Roman" w:hAnsi="Times New Roman" w:cs="Times New Roman"/>
                <w:sz w:val="15"/>
                <w:szCs w:val="15"/>
              </w:rPr>
            </w:pPr>
            <w:r>
              <w:rPr>
                <w:rFonts w:ascii="Times New Roman" w:hAnsi="Times New Roman" w:cs="Times New Roman"/>
                <w:sz w:val="15"/>
                <w:szCs w:val="15"/>
              </w:rPr>
              <w:t>35785763</w:t>
            </w:r>
          </w:p>
        </w:tc>
        <w:tc>
          <w:tcPr>
            <w:tcW w:w="2991" w:type="dxa"/>
            <w:tcBorders>
              <w:top w:val="nil"/>
              <w:bottom w:val="nil"/>
            </w:tcBorders>
            <w:vAlign w:val="center"/>
          </w:tcPr>
          <w:p w14:paraId="0D60CB43">
            <w:pPr>
              <w:widowControl w:val="0"/>
              <w:spacing w:after="120"/>
              <w:jc w:val="left"/>
              <w:rPr>
                <w:rFonts w:ascii="Times New Roman" w:hAnsi="Times New Roman" w:cs="Times New Roman"/>
                <w:sz w:val="15"/>
                <w:szCs w:val="15"/>
              </w:rPr>
            </w:pPr>
            <w:r>
              <w:rPr>
                <w:rFonts w:ascii="Times New Roman" w:hAnsi="Times New Roman" w:cs="Times New Roman"/>
                <w:sz w:val="15"/>
                <w:szCs w:val="15"/>
              </w:rPr>
              <w:t>Not an observational study, but an RCT</w:t>
            </w:r>
          </w:p>
        </w:tc>
      </w:tr>
      <w:tr w14:paraId="68EC16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42" w:type="dxa"/>
            <w:tcBorders>
              <w:top w:val="nil"/>
              <w:bottom w:val="nil"/>
            </w:tcBorders>
            <w:vAlign w:val="center"/>
          </w:tcPr>
          <w:p w14:paraId="0B48F758">
            <w:pPr>
              <w:widowControl w:val="0"/>
              <w:spacing w:after="120"/>
              <w:jc w:val="center"/>
              <w:rPr>
                <w:rFonts w:hint="eastAsia" w:ascii="Times New Roman" w:hAnsi="Times New Roman" w:cs="Times New Roman"/>
                <w:sz w:val="15"/>
                <w:szCs w:val="15"/>
              </w:rPr>
            </w:pPr>
            <w:r>
              <w:rPr>
                <w:rFonts w:hint="eastAsia" w:ascii="Times New Roman" w:hAnsi="Times New Roman" w:cs="Times New Roman"/>
                <w:sz w:val="15"/>
                <w:szCs w:val="15"/>
              </w:rPr>
              <w:t>4</w:t>
            </w:r>
          </w:p>
        </w:tc>
        <w:tc>
          <w:tcPr>
            <w:tcW w:w="1276" w:type="dxa"/>
            <w:tcBorders>
              <w:top w:val="nil"/>
              <w:bottom w:val="nil"/>
            </w:tcBorders>
            <w:vAlign w:val="center"/>
          </w:tcPr>
          <w:p w14:paraId="0945A9FD">
            <w:pPr>
              <w:widowControl w:val="0"/>
              <w:spacing w:after="120"/>
              <w:jc w:val="left"/>
              <w:rPr>
                <w:rFonts w:ascii="Times New Roman" w:hAnsi="Times New Roman" w:cs="Times New Roman"/>
                <w:sz w:val="15"/>
                <w:szCs w:val="15"/>
              </w:rPr>
            </w:pPr>
            <w:r>
              <w:rPr>
                <w:rFonts w:ascii="Times New Roman" w:hAnsi="Times New Roman" w:cs="Times New Roman"/>
                <w:sz w:val="15"/>
                <w:szCs w:val="15"/>
              </w:rPr>
              <w:t>Qin et al.</w:t>
            </w:r>
          </w:p>
        </w:tc>
        <w:tc>
          <w:tcPr>
            <w:tcW w:w="2222" w:type="dxa"/>
            <w:tcBorders>
              <w:top w:val="nil"/>
              <w:bottom w:val="nil"/>
            </w:tcBorders>
            <w:vAlign w:val="center"/>
          </w:tcPr>
          <w:p w14:paraId="5096F92B">
            <w:pPr>
              <w:widowControl w:val="0"/>
              <w:spacing w:after="120"/>
              <w:jc w:val="left"/>
              <w:rPr>
                <w:rFonts w:ascii="Times New Roman" w:hAnsi="Times New Roman" w:cs="Times New Roman"/>
                <w:sz w:val="15"/>
                <w:szCs w:val="15"/>
              </w:rPr>
            </w:pPr>
            <w:r>
              <w:rPr>
                <w:rFonts w:ascii="Times New Roman" w:hAnsi="Times New Roman" w:cs="Times New Roman"/>
                <w:sz w:val="15"/>
                <w:szCs w:val="15"/>
              </w:rPr>
              <w:t>10.1186/s12944-025-02448-2</w:t>
            </w:r>
          </w:p>
        </w:tc>
        <w:tc>
          <w:tcPr>
            <w:tcW w:w="1874" w:type="dxa"/>
            <w:tcBorders>
              <w:top w:val="nil"/>
              <w:bottom w:val="nil"/>
            </w:tcBorders>
            <w:vAlign w:val="center"/>
          </w:tcPr>
          <w:p w14:paraId="4AE1D18B">
            <w:pPr>
              <w:widowControl w:val="0"/>
              <w:spacing w:after="120"/>
              <w:jc w:val="left"/>
              <w:rPr>
                <w:rFonts w:ascii="Times New Roman" w:hAnsi="Times New Roman" w:cs="Times New Roman"/>
                <w:sz w:val="15"/>
                <w:szCs w:val="15"/>
              </w:rPr>
            </w:pPr>
            <w:r>
              <w:rPr>
                <w:rFonts w:ascii="Times New Roman" w:hAnsi="Times New Roman" w:cs="Times New Roman"/>
                <w:sz w:val="15"/>
                <w:szCs w:val="15"/>
              </w:rPr>
              <w:t>39871253</w:t>
            </w:r>
          </w:p>
        </w:tc>
        <w:tc>
          <w:tcPr>
            <w:tcW w:w="2991" w:type="dxa"/>
            <w:tcBorders>
              <w:top w:val="nil"/>
              <w:bottom w:val="nil"/>
            </w:tcBorders>
            <w:vAlign w:val="center"/>
          </w:tcPr>
          <w:p w14:paraId="5430A30D">
            <w:pPr>
              <w:widowControl w:val="0"/>
              <w:spacing w:after="120"/>
              <w:jc w:val="left"/>
              <w:rPr>
                <w:rFonts w:hint="eastAsia" w:ascii="Times New Roman" w:hAnsi="Times New Roman" w:cs="Times New Roman"/>
                <w:sz w:val="15"/>
                <w:szCs w:val="15"/>
              </w:rPr>
            </w:pPr>
            <w:r>
              <w:rPr>
                <w:rFonts w:hint="eastAsia" w:ascii="Times New Roman" w:hAnsi="Times New Roman" w:cs="Times New Roman"/>
                <w:sz w:val="15"/>
                <w:szCs w:val="15"/>
              </w:rPr>
              <w:t>N</w:t>
            </w:r>
            <w:r>
              <w:rPr>
                <w:rFonts w:ascii="Times New Roman" w:hAnsi="Times New Roman" w:cs="Times New Roman"/>
                <w:sz w:val="15"/>
                <w:szCs w:val="15"/>
              </w:rPr>
              <w:t>o available data</w:t>
            </w:r>
          </w:p>
        </w:tc>
      </w:tr>
      <w:tr w14:paraId="65A369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42" w:type="dxa"/>
            <w:tcBorders>
              <w:top w:val="nil"/>
              <w:bottom w:val="single" w:color="auto" w:sz="4" w:space="0"/>
            </w:tcBorders>
            <w:vAlign w:val="center"/>
          </w:tcPr>
          <w:p w14:paraId="259A9D77">
            <w:pPr>
              <w:widowControl w:val="0"/>
              <w:spacing w:after="120"/>
              <w:jc w:val="center"/>
              <w:rPr>
                <w:rFonts w:hint="eastAsia" w:ascii="Times New Roman" w:hAnsi="Times New Roman" w:cs="Times New Roman"/>
                <w:sz w:val="15"/>
                <w:szCs w:val="15"/>
              </w:rPr>
            </w:pPr>
            <w:r>
              <w:rPr>
                <w:rFonts w:hint="eastAsia" w:ascii="Times New Roman" w:hAnsi="Times New Roman" w:cs="Times New Roman"/>
                <w:sz w:val="15"/>
                <w:szCs w:val="15"/>
              </w:rPr>
              <w:t>5</w:t>
            </w:r>
          </w:p>
        </w:tc>
        <w:tc>
          <w:tcPr>
            <w:tcW w:w="1276" w:type="dxa"/>
            <w:tcBorders>
              <w:top w:val="nil"/>
              <w:bottom w:val="single" w:color="auto" w:sz="4" w:space="0"/>
            </w:tcBorders>
            <w:vAlign w:val="center"/>
          </w:tcPr>
          <w:p w14:paraId="3797B29A">
            <w:pPr>
              <w:widowControl w:val="0"/>
              <w:spacing w:after="120"/>
              <w:jc w:val="left"/>
              <w:rPr>
                <w:rFonts w:hint="eastAsia" w:ascii="Times New Roman" w:hAnsi="Times New Roman" w:cs="Times New Roman"/>
                <w:sz w:val="15"/>
                <w:szCs w:val="15"/>
              </w:rPr>
            </w:pPr>
            <w:r>
              <w:rPr>
                <w:rFonts w:hint="eastAsia" w:ascii="Times New Roman" w:hAnsi="Times New Roman" w:cs="Times New Roman"/>
                <w:sz w:val="15"/>
                <w:szCs w:val="15"/>
              </w:rPr>
              <w:t>L</w:t>
            </w:r>
            <w:r>
              <w:rPr>
                <w:rFonts w:ascii="Times New Roman" w:hAnsi="Times New Roman" w:cs="Times New Roman"/>
                <w:sz w:val="15"/>
                <w:szCs w:val="15"/>
              </w:rPr>
              <w:t>iu et al.</w:t>
            </w:r>
          </w:p>
        </w:tc>
        <w:tc>
          <w:tcPr>
            <w:tcW w:w="2222" w:type="dxa"/>
            <w:tcBorders>
              <w:top w:val="nil"/>
              <w:bottom w:val="single" w:color="auto" w:sz="4" w:space="0"/>
            </w:tcBorders>
            <w:vAlign w:val="center"/>
          </w:tcPr>
          <w:p w14:paraId="51AB85A7">
            <w:pPr>
              <w:widowControl w:val="0"/>
              <w:spacing w:after="120"/>
              <w:jc w:val="left"/>
              <w:rPr>
                <w:rFonts w:ascii="Times New Roman" w:hAnsi="Times New Roman" w:cs="Times New Roman"/>
                <w:sz w:val="15"/>
                <w:szCs w:val="15"/>
              </w:rPr>
            </w:pPr>
            <w:r>
              <w:rPr>
                <w:rFonts w:ascii="Times New Roman" w:hAnsi="Times New Roman" w:cs="Times New Roman"/>
                <w:sz w:val="15"/>
                <w:szCs w:val="15"/>
              </w:rPr>
              <w:t>10.62347/WUCX7491</w:t>
            </w:r>
          </w:p>
        </w:tc>
        <w:tc>
          <w:tcPr>
            <w:tcW w:w="1874" w:type="dxa"/>
            <w:tcBorders>
              <w:top w:val="nil"/>
              <w:bottom w:val="single" w:color="auto" w:sz="4" w:space="0"/>
            </w:tcBorders>
            <w:vAlign w:val="center"/>
          </w:tcPr>
          <w:p w14:paraId="3C332AFD">
            <w:pPr>
              <w:widowControl w:val="0"/>
              <w:spacing w:after="120"/>
              <w:jc w:val="left"/>
              <w:rPr>
                <w:rFonts w:ascii="Times New Roman" w:hAnsi="Times New Roman" w:cs="Times New Roman"/>
                <w:sz w:val="15"/>
                <w:szCs w:val="15"/>
              </w:rPr>
            </w:pPr>
            <w:r>
              <w:rPr>
                <w:rFonts w:ascii="Times New Roman" w:hAnsi="Times New Roman" w:cs="Times New Roman"/>
                <w:sz w:val="15"/>
                <w:szCs w:val="15"/>
              </w:rPr>
              <w:t>41415040</w:t>
            </w:r>
          </w:p>
        </w:tc>
        <w:tc>
          <w:tcPr>
            <w:tcW w:w="2991" w:type="dxa"/>
            <w:tcBorders>
              <w:top w:val="nil"/>
              <w:bottom w:val="single" w:color="auto" w:sz="4" w:space="0"/>
            </w:tcBorders>
            <w:vAlign w:val="center"/>
          </w:tcPr>
          <w:p w14:paraId="12050527">
            <w:pPr>
              <w:widowControl w:val="0"/>
              <w:spacing w:after="120"/>
              <w:jc w:val="left"/>
              <w:rPr>
                <w:rFonts w:hint="eastAsia" w:ascii="Times New Roman" w:hAnsi="Times New Roman" w:cs="Times New Roman"/>
                <w:sz w:val="15"/>
                <w:szCs w:val="15"/>
              </w:rPr>
            </w:pPr>
            <w:r>
              <w:rPr>
                <w:rFonts w:hint="eastAsia" w:ascii="Times New Roman" w:hAnsi="Times New Roman" w:cs="Times New Roman"/>
                <w:sz w:val="15"/>
                <w:szCs w:val="15"/>
              </w:rPr>
              <w:t>N</w:t>
            </w:r>
            <w:r>
              <w:rPr>
                <w:rFonts w:ascii="Times New Roman" w:hAnsi="Times New Roman" w:cs="Times New Roman"/>
                <w:sz w:val="15"/>
                <w:szCs w:val="15"/>
              </w:rPr>
              <w:t>o available data</w:t>
            </w:r>
          </w:p>
        </w:tc>
      </w:tr>
    </w:tbl>
    <w:p w14:paraId="79F8282A">
      <w:pPr>
        <w:pStyle w:val="2"/>
        <w:shd w:val="clear" w:color="auto" w:fill="FFFFFF"/>
        <w:spacing w:before="90" w:beforeAutospacing="0" w:after="90" w:afterAutospacing="0" w:line="270" w:lineRule="atLeast"/>
        <w:rPr>
          <w:rFonts w:hint="eastAsia" w:ascii="Arial" w:hAnsi="Arial" w:cs="Arial"/>
          <w:color w:val="000000"/>
          <w:sz w:val="32"/>
          <w:szCs w:val="32"/>
        </w:rPr>
      </w:pPr>
    </w:p>
    <w:p w14:paraId="7A637E05">
      <w:pPr>
        <w:pStyle w:val="2"/>
        <w:shd w:val="clear" w:color="auto" w:fill="FFFFFF"/>
        <w:spacing w:before="90" w:beforeAutospacing="0" w:after="90" w:afterAutospacing="0" w:line="270" w:lineRule="atLeast"/>
        <w:rPr>
          <w:rFonts w:ascii="Times New Roman" w:hAnsi="Times New Roman" w:cs="Times New Roman"/>
          <w:b w:val="0"/>
          <w:bCs w:val="0"/>
          <w:color w:val="212121"/>
          <w:sz w:val="18"/>
          <w:szCs w:val="18"/>
          <w:shd w:val="clear" w:color="auto" w:fill="FFFFFF"/>
        </w:rPr>
      </w:pPr>
      <w:r>
        <w:rPr>
          <w:rFonts w:ascii="Times New Roman" w:hAnsi="Times New Roman" w:cs="Times New Roman"/>
          <w:b w:val="0"/>
          <w:bCs w:val="0"/>
          <w:color w:val="212121"/>
          <w:sz w:val="18"/>
          <w:szCs w:val="18"/>
          <w:shd w:val="clear" w:color="auto" w:fill="FFFFFF"/>
        </w:rPr>
        <w:t>1 Cheng W, Bu X, Xu C, Wen G, Kong F, Pan H, Yang S, Chen S. Higher systemic immune-inflammation index and systemic inflammation response index levels are associated with stroke prevalence in the asthmatic population: a cross-sectional analysis of the NHANES 1999-2018. Front Immunol. 2023 Aug 4;14:1191130. doi: 10.3389/fimmu.2023.1191130. PMID: 37600830; PMCID: PMC10436559.</w:t>
      </w:r>
    </w:p>
    <w:p w14:paraId="0406250B">
      <w:pPr>
        <w:pStyle w:val="2"/>
        <w:shd w:val="clear" w:color="auto" w:fill="FFFFFF"/>
        <w:spacing w:before="90" w:beforeAutospacing="0" w:after="90" w:afterAutospacing="0" w:line="270" w:lineRule="atLeast"/>
        <w:rPr>
          <w:rFonts w:hint="eastAsia" w:ascii="Times New Roman" w:hAnsi="Times New Roman" w:cs="Times New Roman"/>
          <w:b w:val="0"/>
          <w:bCs w:val="0"/>
          <w:color w:val="212121"/>
          <w:sz w:val="18"/>
          <w:szCs w:val="18"/>
          <w:shd w:val="clear" w:color="auto" w:fill="FFFFFF"/>
        </w:rPr>
      </w:pPr>
      <w:r>
        <w:rPr>
          <w:rFonts w:hint="eastAsia" w:ascii="Times New Roman" w:hAnsi="Times New Roman" w:cs="Times New Roman"/>
          <w:b w:val="0"/>
          <w:bCs w:val="0"/>
          <w:color w:val="212121"/>
          <w:sz w:val="18"/>
          <w:szCs w:val="18"/>
          <w:shd w:val="clear" w:color="auto" w:fill="FFFFFF"/>
        </w:rPr>
        <w:t>2</w:t>
      </w:r>
      <w:r>
        <w:rPr>
          <w:rFonts w:ascii="Times New Roman" w:hAnsi="Times New Roman" w:cs="Times New Roman"/>
          <w:b w:val="0"/>
          <w:bCs w:val="0"/>
          <w:color w:val="212121"/>
          <w:sz w:val="18"/>
          <w:szCs w:val="18"/>
          <w:shd w:val="clear" w:color="auto" w:fill="FFFFFF"/>
        </w:rPr>
        <w:t xml:space="preserve"> Frøkjær JB, Bouwense SA, Olesen SS, Lundager FH, Eskildsen SF, van Goor H, Wilder-Smith OH, Drewes AM. Reduced cortical thickness of brain areas involved in pain processing in patients with chronic pancreatitis. Clin Gastroenterol Hepatol. 2012 Apr;10(4):434-8.e1. doi: 10.1016/j.cgh.2011.11.024. Epub 2011 Dec 7. PMID: 22155560.</w:t>
      </w:r>
    </w:p>
    <w:p w14:paraId="76A379C8">
      <w:pPr>
        <w:pStyle w:val="2"/>
        <w:shd w:val="clear" w:color="auto" w:fill="FFFFFF"/>
        <w:spacing w:before="90" w:beforeAutospacing="0" w:after="90" w:afterAutospacing="0" w:line="270" w:lineRule="atLeast"/>
        <w:rPr>
          <w:rFonts w:ascii="Times New Roman" w:hAnsi="Times New Roman" w:cs="Times New Roman"/>
          <w:b w:val="0"/>
          <w:bCs w:val="0"/>
          <w:color w:val="212121"/>
          <w:sz w:val="18"/>
          <w:szCs w:val="18"/>
          <w:shd w:val="clear" w:color="auto" w:fill="FFFFFF"/>
        </w:rPr>
      </w:pPr>
      <w:r>
        <w:rPr>
          <w:rFonts w:ascii="Times New Roman" w:hAnsi="Times New Roman" w:cs="Times New Roman"/>
          <w:b w:val="0"/>
          <w:bCs w:val="0"/>
          <w:color w:val="212121"/>
          <w:sz w:val="18"/>
          <w:szCs w:val="18"/>
          <w:shd w:val="clear" w:color="auto" w:fill="FFFFFF"/>
        </w:rPr>
        <w:t>3 Gong M, Pan H, Yang X, Pan C, Ning Y, Li J. Prolonged Intermittent Renal Replacement Therapy Combined with Hemoperfusion Can Improve Early Recovery of Moderate and Severe Acute Pancreatitis, Especially in Patients with Acute Kidney Injury. Blood Purif. 2023;52(1):75-85. doi: 10.1159/000525230. Epub 2022 Jul 4. PMID: 35785763.</w:t>
      </w:r>
    </w:p>
    <w:p w14:paraId="3F199C91">
      <w:pPr>
        <w:pStyle w:val="2"/>
        <w:shd w:val="clear" w:color="auto" w:fill="FFFFFF"/>
        <w:spacing w:before="90" w:beforeAutospacing="0" w:after="90" w:afterAutospacing="0" w:line="270" w:lineRule="atLeast"/>
        <w:rPr>
          <w:rFonts w:ascii="Times New Roman" w:hAnsi="Times New Roman" w:cs="Times New Roman"/>
          <w:b w:val="0"/>
          <w:bCs w:val="0"/>
          <w:color w:val="212121"/>
          <w:sz w:val="18"/>
          <w:szCs w:val="18"/>
          <w:shd w:val="clear" w:color="auto" w:fill="FFFFFF"/>
        </w:rPr>
      </w:pPr>
      <w:r>
        <w:rPr>
          <w:rFonts w:ascii="Times New Roman" w:hAnsi="Times New Roman" w:cs="Times New Roman"/>
          <w:b w:val="0"/>
          <w:bCs w:val="0"/>
          <w:color w:val="212121"/>
          <w:sz w:val="18"/>
          <w:szCs w:val="18"/>
          <w:shd w:val="clear" w:color="auto" w:fill="FFFFFF"/>
        </w:rPr>
        <w:t>4 Qin R, Liu Y, Ding R, et al. Efficacy of double filtration plasmapheresis in hyperlipidemia acute pancreatitis: a retrospective observational study. Lipids Health Dis. 2025 Jan 27;24(1):27. doi: 10.1186/s12944-025-02448-2. PMID: 39871253; PMCID: PMC11773909</w:t>
      </w:r>
    </w:p>
    <w:p w14:paraId="16C0A4C0">
      <w:pPr>
        <w:pStyle w:val="2"/>
        <w:shd w:val="clear" w:color="auto" w:fill="FFFFFF"/>
        <w:spacing w:before="90" w:beforeAutospacing="0" w:after="90" w:afterAutospacing="0" w:line="270" w:lineRule="atLeast"/>
        <w:rPr>
          <w:rFonts w:hint="eastAsia" w:ascii="Times New Roman" w:hAnsi="Times New Roman" w:cs="Times New Roman"/>
          <w:b w:val="0"/>
          <w:bCs w:val="0"/>
          <w:color w:val="212121"/>
          <w:sz w:val="18"/>
          <w:szCs w:val="18"/>
          <w:shd w:val="clear" w:color="auto" w:fill="FFFFFF"/>
        </w:rPr>
      </w:pPr>
      <w:r>
        <w:rPr>
          <w:rFonts w:ascii="Times New Roman" w:hAnsi="Times New Roman" w:cs="Times New Roman"/>
          <w:b w:val="0"/>
          <w:bCs w:val="0"/>
          <w:color w:val="212121"/>
          <w:sz w:val="18"/>
          <w:szCs w:val="18"/>
          <w:shd w:val="clear" w:color="auto" w:fill="FFFFFF"/>
        </w:rPr>
        <w:t>5 Liu T, Ye S, Wang K, et al. Diagnostic value of inflammatory indices and triglycerides in hyperlipidemic acute pancreatitis. Am J Transl Res. 2025 Nov 15;17(11):8481-8495. doi: 10.62347/WUCX7491. PMID: 41415040; PMCID: PMC12709323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5649F"/>
    <w:rsid w:val="000001AB"/>
    <w:rsid w:val="00001C07"/>
    <w:rsid w:val="00001C09"/>
    <w:rsid w:val="000072BF"/>
    <w:rsid w:val="000122E8"/>
    <w:rsid w:val="00012D16"/>
    <w:rsid w:val="000161E8"/>
    <w:rsid w:val="000238C8"/>
    <w:rsid w:val="00023D0D"/>
    <w:rsid w:val="00024AD9"/>
    <w:rsid w:val="0002614C"/>
    <w:rsid w:val="000330BA"/>
    <w:rsid w:val="00033369"/>
    <w:rsid w:val="00034510"/>
    <w:rsid w:val="000352CD"/>
    <w:rsid w:val="00041E80"/>
    <w:rsid w:val="00042624"/>
    <w:rsid w:val="000431CF"/>
    <w:rsid w:val="00044402"/>
    <w:rsid w:val="000445C3"/>
    <w:rsid w:val="00046E81"/>
    <w:rsid w:val="00051A0D"/>
    <w:rsid w:val="00064900"/>
    <w:rsid w:val="000651D1"/>
    <w:rsid w:val="00065574"/>
    <w:rsid w:val="0006654C"/>
    <w:rsid w:val="000723E1"/>
    <w:rsid w:val="000751C1"/>
    <w:rsid w:val="0007561E"/>
    <w:rsid w:val="00076187"/>
    <w:rsid w:val="0007774D"/>
    <w:rsid w:val="00082358"/>
    <w:rsid w:val="00084993"/>
    <w:rsid w:val="000A0AC2"/>
    <w:rsid w:val="000A32D2"/>
    <w:rsid w:val="000B439F"/>
    <w:rsid w:val="000B5B7C"/>
    <w:rsid w:val="000B74FC"/>
    <w:rsid w:val="000C43CF"/>
    <w:rsid w:val="000C489F"/>
    <w:rsid w:val="000D1B80"/>
    <w:rsid w:val="000D6ECC"/>
    <w:rsid w:val="000E029C"/>
    <w:rsid w:val="000E07C6"/>
    <w:rsid w:val="000E137C"/>
    <w:rsid w:val="000E20BE"/>
    <w:rsid w:val="000E3F50"/>
    <w:rsid w:val="000E6CB7"/>
    <w:rsid w:val="000E7688"/>
    <w:rsid w:val="000E7BD9"/>
    <w:rsid w:val="000F5FF9"/>
    <w:rsid w:val="000F6586"/>
    <w:rsid w:val="00100D48"/>
    <w:rsid w:val="00101349"/>
    <w:rsid w:val="001055CC"/>
    <w:rsid w:val="00111DB5"/>
    <w:rsid w:val="0011681F"/>
    <w:rsid w:val="0011767B"/>
    <w:rsid w:val="001359F2"/>
    <w:rsid w:val="001437F8"/>
    <w:rsid w:val="00150635"/>
    <w:rsid w:val="001527FE"/>
    <w:rsid w:val="00157269"/>
    <w:rsid w:val="001614A3"/>
    <w:rsid w:val="00163D0C"/>
    <w:rsid w:val="001647F0"/>
    <w:rsid w:val="00164F90"/>
    <w:rsid w:val="00165167"/>
    <w:rsid w:val="0017336C"/>
    <w:rsid w:val="00192B94"/>
    <w:rsid w:val="001972E9"/>
    <w:rsid w:val="001A24C8"/>
    <w:rsid w:val="001A3F55"/>
    <w:rsid w:val="001A4179"/>
    <w:rsid w:val="001A451F"/>
    <w:rsid w:val="001A5E29"/>
    <w:rsid w:val="001A69F8"/>
    <w:rsid w:val="001A6DA7"/>
    <w:rsid w:val="001A6DC6"/>
    <w:rsid w:val="001A7D7A"/>
    <w:rsid w:val="001B0924"/>
    <w:rsid w:val="001C0AC3"/>
    <w:rsid w:val="001D3ED2"/>
    <w:rsid w:val="001D4690"/>
    <w:rsid w:val="001E6627"/>
    <w:rsid w:val="001F1C2C"/>
    <w:rsid w:val="001F4716"/>
    <w:rsid w:val="001F7FB0"/>
    <w:rsid w:val="00200B43"/>
    <w:rsid w:val="00202B8D"/>
    <w:rsid w:val="002062AA"/>
    <w:rsid w:val="002111F7"/>
    <w:rsid w:val="00211BFB"/>
    <w:rsid w:val="00212784"/>
    <w:rsid w:val="00213354"/>
    <w:rsid w:val="00220576"/>
    <w:rsid w:val="0023629A"/>
    <w:rsid w:val="00237130"/>
    <w:rsid w:val="00240029"/>
    <w:rsid w:val="00241446"/>
    <w:rsid w:val="00243A52"/>
    <w:rsid w:val="00243EF4"/>
    <w:rsid w:val="002452F5"/>
    <w:rsid w:val="00250882"/>
    <w:rsid w:val="00252FD3"/>
    <w:rsid w:val="0025401A"/>
    <w:rsid w:val="002625C7"/>
    <w:rsid w:val="0026383C"/>
    <w:rsid w:val="00263B99"/>
    <w:rsid w:val="00264667"/>
    <w:rsid w:val="002661EB"/>
    <w:rsid w:val="002702FF"/>
    <w:rsid w:val="00270A8C"/>
    <w:rsid w:val="00272BA3"/>
    <w:rsid w:val="0027566B"/>
    <w:rsid w:val="00281ED6"/>
    <w:rsid w:val="0028291F"/>
    <w:rsid w:val="00283CDD"/>
    <w:rsid w:val="00284790"/>
    <w:rsid w:val="00286C05"/>
    <w:rsid w:val="00287ACA"/>
    <w:rsid w:val="00290F31"/>
    <w:rsid w:val="002939C9"/>
    <w:rsid w:val="002A106B"/>
    <w:rsid w:val="002A13A2"/>
    <w:rsid w:val="002A35DD"/>
    <w:rsid w:val="002A4C8E"/>
    <w:rsid w:val="002A5015"/>
    <w:rsid w:val="002B0700"/>
    <w:rsid w:val="002B2A18"/>
    <w:rsid w:val="002B5F0D"/>
    <w:rsid w:val="002C0F27"/>
    <w:rsid w:val="002C1395"/>
    <w:rsid w:val="002C41F5"/>
    <w:rsid w:val="002C5C8F"/>
    <w:rsid w:val="002C61B2"/>
    <w:rsid w:val="002D116A"/>
    <w:rsid w:val="002D3A2B"/>
    <w:rsid w:val="002D3E0C"/>
    <w:rsid w:val="002D488F"/>
    <w:rsid w:val="002E1D90"/>
    <w:rsid w:val="002E293B"/>
    <w:rsid w:val="002E3060"/>
    <w:rsid w:val="002E3DE5"/>
    <w:rsid w:val="002F0D06"/>
    <w:rsid w:val="002F37B9"/>
    <w:rsid w:val="002F5BB2"/>
    <w:rsid w:val="00300DD4"/>
    <w:rsid w:val="00305475"/>
    <w:rsid w:val="003074BA"/>
    <w:rsid w:val="0030774C"/>
    <w:rsid w:val="00325946"/>
    <w:rsid w:val="00325E63"/>
    <w:rsid w:val="00327798"/>
    <w:rsid w:val="00330EF4"/>
    <w:rsid w:val="00331961"/>
    <w:rsid w:val="00336E1D"/>
    <w:rsid w:val="00341A38"/>
    <w:rsid w:val="00343162"/>
    <w:rsid w:val="003435CE"/>
    <w:rsid w:val="00344409"/>
    <w:rsid w:val="00344BE7"/>
    <w:rsid w:val="00347D57"/>
    <w:rsid w:val="0035017C"/>
    <w:rsid w:val="0035118F"/>
    <w:rsid w:val="003533EE"/>
    <w:rsid w:val="00355027"/>
    <w:rsid w:val="003571ED"/>
    <w:rsid w:val="0036338B"/>
    <w:rsid w:val="00371EFB"/>
    <w:rsid w:val="00372718"/>
    <w:rsid w:val="003736BF"/>
    <w:rsid w:val="003741B5"/>
    <w:rsid w:val="00374C43"/>
    <w:rsid w:val="003752DE"/>
    <w:rsid w:val="0037662C"/>
    <w:rsid w:val="003803AB"/>
    <w:rsid w:val="00380686"/>
    <w:rsid w:val="00382AA0"/>
    <w:rsid w:val="003845CE"/>
    <w:rsid w:val="00385A70"/>
    <w:rsid w:val="00394902"/>
    <w:rsid w:val="0039507C"/>
    <w:rsid w:val="003975DC"/>
    <w:rsid w:val="003B6B44"/>
    <w:rsid w:val="003B7D16"/>
    <w:rsid w:val="003C20D0"/>
    <w:rsid w:val="003C4BE4"/>
    <w:rsid w:val="003D07EB"/>
    <w:rsid w:val="003D1903"/>
    <w:rsid w:val="003D7E61"/>
    <w:rsid w:val="003E3A20"/>
    <w:rsid w:val="003E45AE"/>
    <w:rsid w:val="003E5EB9"/>
    <w:rsid w:val="003E5F6F"/>
    <w:rsid w:val="003E6F8A"/>
    <w:rsid w:val="003F5624"/>
    <w:rsid w:val="003F5DE2"/>
    <w:rsid w:val="003F6148"/>
    <w:rsid w:val="003F6CC8"/>
    <w:rsid w:val="00400B6E"/>
    <w:rsid w:val="004018B8"/>
    <w:rsid w:val="0040472A"/>
    <w:rsid w:val="00404AF2"/>
    <w:rsid w:val="004077E7"/>
    <w:rsid w:val="00411EED"/>
    <w:rsid w:val="00412EE7"/>
    <w:rsid w:val="0042063F"/>
    <w:rsid w:val="004257FC"/>
    <w:rsid w:val="00425922"/>
    <w:rsid w:val="0042676A"/>
    <w:rsid w:val="00433327"/>
    <w:rsid w:val="00434C73"/>
    <w:rsid w:val="0044297A"/>
    <w:rsid w:val="00444329"/>
    <w:rsid w:val="0045350C"/>
    <w:rsid w:val="004547CF"/>
    <w:rsid w:val="00455968"/>
    <w:rsid w:val="004569D3"/>
    <w:rsid w:val="00460CF2"/>
    <w:rsid w:val="00463610"/>
    <w:rsid w:val="004673CF"/>
    <w:rsid w:val="00470AE4"/>
    <w:rsid w:val="00474161"/>
    <w:rsid w:val="00481F5E"/>
    <w:rsid w:val="00484665"/>
    <w:rsid w:val="004870A5"/>
    <w:rsid w:val="004909FE"/>
    <w:rsid w:val="0049344A"/>
    <w:rsid w:val="00495CDA"/>
    <w:rsid w:val="00496023"/>
    <w:rsid w:val="004963F9"/>
    <w:rsid w:val="00496664"/>
    <w:rsid w:val="004A097A"/>
    <w:rsid w:val="004A2597"/>
    <w:rsid w:val="004A2D6A"/>
    <w:rsid w:val="004A4699"/>
    <w:rsid w:val="004B4E86"/>
    <w:rsid w:val="004B50A2"/>
    <w:rsid w:val="004B5960"/>
    <w:rsid w:val="004B743E"/>
    <w:rsid w:val="004C1D5A"/>
    <w:rsid w:val="004C60CA"/>
    <w:rsid w:val="004D2B20"/>
    <w:rsid w:val="004D7905"/>
    <w:rsid w:val="004E71A4"/>
    <w:rsid w:val="004F1104"/>
    <w:rsid w:val="004F4991"/>
    <w:rsid w:val="004F4A39"/>
    <w:rsid w:val="004F7D3D"/>
    <w:rsid w:val="0050356E"/>
    <w:rsid w:val="00510282"/>
    <w:rsid w:val="005162D0"/>
    <w:rsid w:val="005204C0"/>
    <w:rsid w:val="0052320A"/>
    <w:rsid w:val="00523661"/>
    <w:rsid w:val="005256B4"/>
    <w:rsid w:val="00525BB8"/>
    <w:rsid w:val="00525C08"/>
    <w:rsid w:val="005261A8"/>
    <w:rsid w:val="005264B6"/>
    <w:rsid w:val="005325D2"/>
    <w:rsid w:val="00537287"/>
    <w:rsid w:val="00541203"/>
    <w:rsid w:val="005466C2"/>
    <w:rsid w:val="0055066A"/>
    <w:rsid w:val="00552379"/>
    <w:rsid w:val="00555315"/>
    <w:rsid w:val="0056214D"/>
    <w:rsid w:val="00571BB7"/>
    <w:rsid w:val="00573738"/>
    <w:rsid w:val="00575D21"/>
    <w:rsid w:val="00576682"/>
    <w:rsid w:val="00580609"/>
    <w:rsid w:val="00583585"/>
    <w:rsid w:val="005863BE"/>
    <w:rsid w:val="00591F6A"/>
    <w:rsid w:val="00593E70"/>
    <w:rsid w:val="00597CDE"/>
    <w:rsid w:val="00597F4B"/>
    <w:rsid w:val="005A11DD"/>
    <w:rsid w:val="005A1430"/>
    <w:rsid w:val="005A2EBB"/>
    <w:rsid w:val="005A5E5E"/>
    <w:rsid w:val="005A6CE8"/>
    <w:rsid w:val="005A73CB"/>
    <w:rsid w:val="005C35A9"/>
    <w:rsid w:val="005D5233"/>
    <w:rsid w:val="005D7B21"/>
    <w:rsid w:val="005E0D1E"/>
    <w:rsid w:val="005E2F45"/>
    <w:rsid w:val="005E318B"/>
    <w:rsid w:val="005E6276"/>
    <w:rsid w:val="005E7EC0"/>
    <w:rsid w:val="005F6262"/>
    <w:rsid w:val="00602855"/>
    <w:rsid w:val="00606E9C"/>
    <w:rsid w:val="00610176"/>
    <w:rsid w:val="00610E47"/>
    <w:rsid w:val="00611962"/>
    <w:rsid w:val="00614016"/>
    <w:rsid w:val="006208A2"/>
    <w:rsid w:val="00622008"/>
    <w:rsid w:val="00623819"/>
    <w:rsid w:val="00627D54"/>
    <w:rsid w:val="0063035B"/>
    <w:rsid w:val="0063132D"/>
    <w:rsid w:val="006358C2"/>
    <w:rsid w:val="00636ED1"/>
    <w:rsid w:val="0064019F"/>
    <w:rsid w:val="0065023E"/>
    <w:rsid w:val="006518C2"/>
    <w:rsid w:val="00656394"/>
    <w:rsid w:val="0065639C"/>
    <w:rsid w:val="00661229"/>
    <w:rsid w:val="006721C3"/>
    <w:rsid w:val="00675C02"/>
    <w:rsid w:val="00677C0B"/>
    <w:rsid w:val="00686D2E"/>
    <w:rsid w:val="00691539"/>
    <w:rsid w:val="006947C1"/>
    <w:rsid w:val="006A0664"/>
    <w:rsid w:val="006A161E"/>
    <w:rsid w:val="006A4400"/>
    <w:rsid w:val="006A4F17"/>
    <w:rsid w:val="006A7E53"/>
    <w:rsid w:val="006B1FE8"/>
    <w:rsid w:val="006C444C"/>
    <w:rsid w:val="006D1CFD"/>
    <w:rsid w:val="006D5E14"/>
    <w:rsid w:val="006E3A21"/>
    <w:rsid w:val="006E50A9"/>
    <w:rsid w:val="006E6911"/>
    <w:rsid w:val="006E75C9"/>
    <w:rsid w:val="006F172B"/>
    <w:rsid w:val="006F186C"/>
    <w:rsid w:val="006F6017"/>
    <w:rsid w:val="006F7135"/>
    <w:rsid w:val="00701C78"/>
    <w:rsid w:val="00713BB3"/>
    <w:rsid w:val="00715713"/>
    <w:rsid w:val="00715E48"/>
    <w:rsid w:val="00724246"/>
    <w:rsid w:val="00732969"/>
    <w:rsid w:val="00734911"/>
    <w:rsid w:val="00745B83"/>
    <w:rsid w:val="00746304"/>
    <w:rsid w:val="00752D72"/>
    <w:rsid w:val="00754326"/>
    <w:rsid w:val="00756D84"/>
    <w:rsid w:val="00756FA1"/>
    <w:rsid w:val="0075764B"/>
    <w:rsid w:val="0076414F"/>
    <w:rsid w:val="007647AA"/>
    <w:rsid w:val="00767346"/>
    <w:rsid w:val="00772EE3"/>
    <w:rsid w:val="00773858"/>
    <w:rsid w:val="00773EC9"/>
    <w:rsid w:val="0077708D"/>
    <w:rsid w:val="00783CB9"/>
    <w:rsid w:val="00792303"/>
    <w:rsid w:val="00794498"/>
    <w:rsid w:val="0079465D"/>
    <w:rsid w:val="007A5057"/>
    <w:rsid w:val="007B34A1"/>
    <w:rsid w:val="007C4575"/>
    <w:rsid w:val="007C46F4"/>
    <w:rsid w:val="007C5A3A"/>
    <w:rsid w:val="007D13BD"/>
    <w:rsid w:val="007D3206"/>
    <w:rsid w:val="007D338A"/>
    <w:rsid w:val="007E2CB5"/>
    <w:rsid w:val="007E54C8"/>
    <w:rsid w:val="007E60E3"/>
    <w:rsid w:val="007E7C04"/>
    <w:rsid w:val="007F23EB"/>
    <w:rsid w:val="007F2AF4"/>
    <w:rsid w:val="007F4849"/>
    <w:rsid w:val="008031D3"/>
    <w:rsid w:val="00804DAA"/>
    <w:rsid w:val="0080799D"/>
    <w:rsid w:val="00813C89"/>
    <w:rsid w:val="00822B4F"/>
    <w:rsid w:val="00830A9E"/>
    <w:rsid w:val="00832B12"/>
    <w:rsid w:val="008350B9"/>
    <w:rsid w:val="008355F0"/>
    <w:rsid w:val="008366C0"/>
    <w:rsid w:val="008369E8"/>
    <w:rsid w:val="00840975"/>
    <w:rsid w:val="0084151E"/>
    <w:rsid w:val="008431CA"/>
    <w:rsid w:val="00843724"/>
    <w:rsid w:val="00843B36"/>
    <w:rsid w:val="00846AC0"/>
    <w:rsid w:val="00850A9F"/>
    <w:rsid w:val="0085665B"/>
    <w:rsid w:val="008571D5"/>
    <w:rsid w:val="00857978"/>
    <w:rsid w:val="00861CE8"/>
    <w:rsid w:val="00862409"/>
    <w:rsid w:val="00862E1C"/>
    <w:rsid w:val="00864D95"/>
    <w:rsid w:val="00867027"/>
    <w:rsid w:val="00867B84"/>
    <w:rsid w:val="008703D7"/>
    <w:rsid w:val="00873459"/>
    <w:rsid w:val="00884DB3"/>
    <w:rsid w:val="008B1CF2"/>
    <w:rsid w:val="008B5EBA"/>
    <w:rsid w:val="008B62DD"/>
    <w:rsid w:val="008D0AB2"/>
    <w:rsid w:val="008D3412"/>
    <w:rsid w:val="008D5C29"/>
    <w:rsid w:val="008E1331"/>
    <w:rsid w:val="008E14DE"/>
    <w:rsid w:val="008E230D"/>
    <w:rsid w:val="008E67E8"/>
    <w:rsid w:val="008F10F1"/>
    <w:rsid w:val="008F5A03"/>
    <w:rsid w:val="008F5A14"/>
    <w:rsid w:val="00902134"/>
    <w:rsid w:val="00903833"/>
    <w:rsid w:val="00903B06"/>
    <w:rsid w:val="00903B29"/>
    <w:rsid w:val="0091384E"/>
    <w:rsid w:val="00916129"/>
    <w:rsid w:val="00921221"/>
    <w:rsid w:val="009213A5"/>
    <w:rsid w:val="00922DEF"/>
    <w:rsid w:val="00932AD8"/>
    <w:rsid w:val="0093689D"/>
    <w:rsid w:val="00940AE5"/>
    <w:rsid w:val="009411D1"/>
    <w:rsid w:val="009412CA"/>
    <w:rsid w:val="009425F5"/>
    <w:rsid w:val="009432AE"/>
    <w:rsid w:val="00944B17"/>
    <w:rsid w:val="00945366"/>
    <w:rsid w:val="00947D9F"/>
    <w:rsid w:val="00954D52"/>
    <w:rsid w:val="00955455"/>
    <w:rsid w:val="00963616"/>
    <w:rsid w:val="009705B6"/>
    <w:rsid w:val="00971052"/>
    <w:rsid w:val="009740A4"/>
    <w:rsid w:val="00974866"/>
    <w:rsid w:val="00975808"/>
    <w:rsid w:val="009775A8"/>
    <w:rsid w:val="00982551"/>
    <w:rsid w:val="0098457A"/>
    <w:rsid w:val="00984F12"/>
    <w:rsid w:val="00985053"/>
    <w:rsid w:val="009878A1"/>
    <w:rsid w:val="00994A32"/>
    <w:rsid w:val="00995948"/>
    <w:rsid w:val="00997740"/>
    <w:rsid w:val="009A26AD"/>
    <w:rsid w:val="009A564A"/>
    <w:rsid w:val="009A5CD2"/>
    <w:rsid w:val="009C0FE0"/>
    <w:rsid w:val="009C235B"/>
    <w:rsid w:val="009C6921"/>
    <w:rsid w:val="009C6EBA"/>
    <w:rsid w:val="009C710F"/>
    <w:rsid w:val="009D234C"/>
    <w:rsid w:val="009E2F92"/>
    <w:rsid w:val="009F4BFC"/>
    <w:rsid w:val="00A0090C"/>
    <w:rsid w:val="00A020D1"/>
    <w:rsid w:val="00A03497"/>
    <w:rsid w:val="00A04553"/>
    <w:rsid w:val="00A054AA"/>
    <w:rsid w:val="00A16C45"/>
    <w:rsid w:val="00A20EEC"/>
    <w:rsid w:val="00A257E9"/>
    <w:rsid w:val="00A3243C"/>
    <w:rsid w:val="00A4066D"/>
    <w:rsid w:val="00A46192"/>
    <w:rsid w:val="00A46367"/>
    <w:rsid w:val="00A54360"/>
    <w:rsid w:val="00A64C3F"/>
    <w:rsid w:val="00A652A7"/>
    <w:rsid w:val="00A65AF1"/>
    <w:rsid w:val="00A66737"/>
    <w:rsid w:val="00A70B84"/>
    <w:rsid w:val="00A70F13"/>
    <w:rsid w:val="00A73137"/>
    <w:rsid w:val="00A73F6C"/>
    <w:rsid w:val="00A73FD1"/>
    <w:rsid w:val="00A77CA9"/>
    <w:rsid w:val="00A77D84"/>
    <w:rsid w:val="00A8081A"/>
    <w:rsid w:val="00A82979"/>
    <w:rsid w:val="00A86212"/>
    <w:rsid w:val="00A86C37"/>
    <w:rsid w:val="00A94DFD"/>
    <w:rsid w:val="00A97E21"/>
    <w:rsid w:val="00AA1E04"/>
    <w:rsid w:val="00AA791B"/>
    <w:rsid w:val="00AB210E"/>
    <w:rsid w:val="00AB37AA"/>
    <w:rsid w:val="00AB5F83"/>
    <w:rsid w:val="00AB6696"/>
    <w:rsid w:val="00AB66AF"/>
    <w:rsid w:val="00AB79B0"/>
    <w:rsid w:val="00AC6894"/>
    <w:rsid w:val="00AD791A"/>
    <w:rsid w:val="00AE1EA0"/>
    <w:rsid w:val="00AF16CA"/>
    <w:rsid w:val="00AF5183"/>
    <w:rsid w:val="00B00E58"/>
    <w:rsid w:val="00B038CE"/>
    <w:rsid w:val="00B05885"/>
    <w:rsid w:val="00B05BB0"/>
    <w:rsid w:val="00B12A47"/>
    <w:rsid w:val="00B1336D"/>
    <w:rsid w:val="00B17567"/>
    <w:rsid w:val="00B21420"/>
    <w:rsid w:val="00B2255F"/>
    <w:rsid w:val="00B2353A"/>
    <w:rsid w:val="00B2374A"/>
    <w:rsid w:val="00B24573"/>
    <w:rsid w:val="00B35A9A"/>
    <w:rsid w:val="00B36F79"/>
    <w:rsid w:val="00B37389"/>
    <w:rsid w:val="00B440CC"/>
    <w:rsid w:val="00B52280"/>
    <w:rsid w:val="00B53B4D"/>
    <w:rsid w:val="00B577CC"/>
    <w:rsid w:val="00B601E0"/>
    <w:rsid w:val="00B63B0E"/>
    <w:rsid w:val="00B65FE5"/>
    <w:rsid w:val="00B67DBF"/>
    <w:rsid w:val="00B84B1C"/>
    <w:rsid w:val="00B93304"/>
    <w:rsid w:val="00B957B4"/>
    <w:rsid w:val="00B96AB1"/>
    <w:rsid w:val="00BA2324"/>
    <w:rsid w:val="00BA264E"/>
    <w:rsid w:val="00BA4870"/>
    <w:rsid w:val="00BB55FE"/>
    <w:rsid w:val="00BB5843"/>
    <w:rsid w:val="00BC01E1"/>
    <w:rsid w:val="00BC1260"/>
    <w:rsid w:val="00BC12CD"/>
    <w:rsid w:val="00BC357F"/>
    <w:rsid w:val="00BC46D3"/>
    <w:rsid w:val="00BD02B5"/>
    <w:rsid w:val="00BD3394"/>
    <w:rsid w:val="00BD4C24"/>
    <w:rsid w:val="00BD5EEB"/>
    <w:rsid w:val="00BD7157"/>
    <w:rsid w:val="00BE2CC0"/>
    <w:rsid w:val="00BE3C6C"/>
    <w:rsid w:val="00BE7378"/>
    <w:rsid w:val="00BF2BC7"/>
    <w:rsid w:val="00BF368B"/>
    <w:rsid w:val="00BF3B2C"/>
    <w:rsid w:val="00BF4129"/>
    <w:rsid w:val="00BF6659"/>
    <w:rsid w:val="00C02F12"/>
    <w:rsid w:val="00C046F4"/>
    <w:rsid w:val="00C04F42"/>
    <w:rsid w:val="00C05374"/>
    <w:rsid w:val="00C065F3"/>
    <w:rsid w:val="00C13153"/>
    <w:rsid w:val="00C14829"/>
    <w:rsid w:val="00C1652E"/>
    <w:rsid w:val="00C23E40"/>
    <w:rsid w:val="00C2440F"/>
    <w:rsid w:val="00C24ED9"/>
    <w:rsid w:val="00C325C1"/>
    <w:rsid w:val="00C32816"/>
    <w:rsid w:val="00C3288D"/>
    <w:rsid w:val="00C35000"/>
    <w:rsid w:val="00C354E6"/>
    <w:rsid w:val="00C359CD"/>
    <w:rsid w:val="00C43E89"/>
    <w:rsid w:val="00C47332"/>
    <w:rsid w:val="00C56DB6"/>
    <w:rsid w:val="00C70978"/>
    <w:rsid w:val="00C746D3"/>
    <w:rsid w:val="00C74A46"/>
    <w:rsid w:val="00C76E66"/>
    <w:rsid w:val="00C77264"/>
    <w:rsid w:val="00C8220A"/>
    <w:rsid w:val="00C86CA7"/>
    <w:rsid w:val="00C8767C"/>
    <w:rsid w:val="00C92B06"/>
    <w:rsid w:val="00C958AC"/>
    <w:rsid w:val="00C96E6F"/>
    <w:rsid w:val="00CA1AB2"/>
    <w:rsid w:val="00CB1BB2"/>
    <w:rsid w:val="00CB2994"/>
    <w:rsid w:val="00CB361B"/>
    <w:rsid w:val="00CB5278"/>
    <w:rsid w:val="00CC090C"/>
    <w:rsid w:val="00CC1F04"/>
    <w:rsid w:val="00CC6495"/>
    <w:rsid w:val="00CC6FD6"/>
    <w:rsid w:val="00CD079B"/>
    <w:rsid w:val="00CD5ABD"/>
    <w:rsid w:val="00CD6A95"/>
    <w:rsid w:val="00CE627E"/>
    <w:rsid w:val="00CF2241"/>
    <w:rsid w:val="00CF2DDD"/>
    <w:rsid w:val="00CF3D73"/>
    <w:rsid w:val="00CF5CB0"/>
    <w:rsid w:val="00CF6F98"/>
    <w:rsid w:val="00D004F0"/>
    <w:rsid w:val="00D01FE5"/>
    <w:rsid w:val="00D038E6"/>
    <w:rsid w:val="00D03C6C"/>
    <w:rsid w:val="00D06603"/>
    <w:rsid w:val="00D20069"/>
    <w:rsid w:val="00D200C3"/>
    <w:rsid w:val="00D24BAB"/>
    <w:rsid w:val="00D32595"/>
    <w:rsid w:val="00D329E2"/>
    <w:rsid w:val="00D346BE"/>
    <w:rsid w:val="00D359E8"/>
    <w:rsid w:val="00D42585"/>
    <w:rsid w:val="00D42855"/>
    <w:rsid w:val="00D43AD8"/>
    <w:rsid w:val="00D44FBB"/>
    <w:rsid w:val="00D5074F"/>
    <w:rsid w:val="00D52C43"/>
    <w:rsid w:val="00D57C60"/>
    <w:rsid w:val="00D616ED"/>
    <w:rsid w:val="00D61A35"/>
    <w:rsid w:val="00D63691"/>
    <w:rsid w:val="00D64C5F"/>
    <w:rsid w:val="00D7056B"/>
    <w:rsid w:val="00D714C6"/>
    <w:rsid w:val="00D71E0B"/>
    <w:rsid w:val="00D73622"/>
    <w:rsid w:val="00D741CA"/>
    <w:rsid w:val="00D77058"/>
    <w:rsid w:val="00D7774F"/>
    <w:rsid w:val="00D909A9"/>
    <w:rsid w:val="00D9255F"/>
    <w:rsid w:val="00D93E3F"/>
    <w:rsid w:val="00D96187"/>
    <w:rsid w:val="00DA2A4D"/>
    <w:rsid w:val="00DA4545"/>
    <w:rsid w:val="00DA6DC1"/>
    <w:rsid w:val="00DB3F89"/>
    <w:rsid w:val="00DB58D5"/>
    <w:rsid w:val="00DB59F5"/>
    <w:rsid w:val="00DB7AB0"/>
    <w:rsid w:val="00DB7F25"/>
    <w:rsid w:val="00DC1145"/>
    <w:rsid w:val="00DC2826"/>
    <w:rsid w:val="00DD00B4"/>
    <w:rsid w:val="00DD0DEC"/>
    <w:rsid w:val="00DD156B"/>
    <w:rsid w:val="00DD35EA"/>
    <w:rsid w:val="00DE308C"/>
    <w:rsid w:val="00DE3A82"/>
    <w:rsid w:val="00DE76FB"/>
    <w:rsid w:val="00DE7E4F"/>
    <w:rsid w:val="00DF0F49"/>
    <w:rsid w:val="00DF2952"/>
    <w:rsid w:val="00DF394A"/>
    <w:rsid w:val="00E01DE6"/>
    <w:rsid w:val="00E02EAE"/>
    <w:rsid w:val="00E03810"/>
    <w:rsid w:val="00E12ED3"/>
    <w:rsid w:val="00E148D2"/>
    <w:rsid w:val="00E151AE"/>
    <w:rsid w:val="00E15F79"/>
    <w:rsid w:val="00E20C00"/>
    <w:rsid w:val="00E23F74"/>
    <w:rsid w:val="00E25A2D"/>
    <w:rsid w:val="00E2798D"/>
    <w:rsid w:val="00E371B3"/>
    <w:rsid w:val="00E404BA"/>
    <w:rsid w:val="00E532EA"/>
    <w:rsid w:val="00E53942"/>
    <w:rsid w:val="00E55021"/>
    <w:rsid w:val="00E60D6E"/>
    <w:rsid w:val="00E64F84"/>
    <w:rsid w:val="00E665C9"/>
    <w:rsid w:val="00E7122E"/>
    <w:rsid w:val="00E7203A"/>
    <w:rsid w:val="00E7610A"/>
    <w:rsid w:val="00E85905"/>
    <w:rsid w:val="00E87D67"/>
    <w:rsid w:val="00EA106E"/>
    <w:rsid w:val="00EB45D6"/>
    <w:rsid w:val="00EB78B0"/>
    <w:rsid w:val="00EC3463"/>
    <w:rsid w:val="00EC3C54"/>
    <w:rsid w:val="00ED4540"/>
    <w:rsid w:val="00ED4824"/>
    <w:rsid w:val="00ED64A7"/>
    <w:rsid w:val="00EE6FEB"/>
    <w:rsid w:val="00EF03F6"/>
    <w:rsid w:val="00EF2641"/>
    <w:rsid w:val="00EF371A"/>
    <w:rsid w:val="00EF5229"/>
    <w:rsid w:val="00F00419"/>
    <w:rsid w:val="00F03609"/>
    <w:rsid w:val="00F049E3"/>
    <w:rsid w:val="00F05900"/>
    <w:rsid w:val="00F122CD"/>
    <w:rsid w:val="00F12A71"/>
    <w:rsid w:val="00F13C13"/>
    <w:rsid w:val="00F15AC2"/>
    <w:rsid w:val="00F21423"/>
    <w:rsid w:val="00F2386B"/>
    <w:rsid w:val="00F23B1E"/>
    <w:rsid w:val="00F2522D"/>
    <w:rsid w:val="00F2548B"/>
    <w:rsid w:val="00F25843"/>
    <w:rsid w:val="00F33633"/>
    <w:rsid w:val="00F34A20"/>
    <w:rsid w:val="00F35733"/>
    <w:rsid w:val="00F40142"/>
    <w:rsid w:val="00F41E8F"/>
    <w:rsid w:val="00F44F76"/>
    <w:rsid w:val="00F5198E"/>
    <w:rsid w:val="00F54F49"/>
    <w:rsid w:val="00F55D93"/>
    <w:rsid w:val="00F56364"/>
    <w:rsid w:val="00F57A97"/>
    <w:rsid w:val="00F61249"/>
    <w:rsid w:val="00F62445"/>
    <w:rsid w:val="00F629E6"/>
    <w:rsid w:val="00F67CA5"/>
    <w:rsid w:val="00F865A8"/>
    <w:rsid w:val="00F879FB"/>
    <w:rsid w:val="00F90A71"/>
    <w:rsid w:val="00F914F2"/>
    <w:rsid w:val="00FA140A"/>
    <w:rsid w:val="00FA5B3F"/>
    <w:rsid w:val="00FB2639"/>
    <w:rsid w:val="00FB3E5F"/>
    <w:rsid w:val="00FC04EA"/>
    <w:rsid w:val="00FC1A25"/>
    <w:rsid w:val="00FC4D68"/>
    <w:rsid w:val="00FD4E30"/>
    <w:rsid w:val="00FD5027"/>
    <w:rsid w:val="00FD5A17"/>
    <w:rsid w:val="00FD7B9A"/>
    <w:rsid w:val="00FE2E83"/>
    <w:rsid w:val="00FE5E6A"/>
    <w:rsid w:val="00FF5F39"/>
    <w:rsid w:val="094D7446"/>
    <w:rsid w:val="5F05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link w:val="9"/>
    <w:qFormat/>
    <w:uiPriority w:val="9"/>
    <w:pPr>
      <w:spacing w:before="100" w:beforeAutospacing="1" w:after="100" w:afterAutospacing="1"/>
      <w:outlineLvl w:val="0"/>
    </w:pPr>
    <w:rPr>
      <w:b/>
      <w:bCs/>
      <w:kern w:val="36"/>
      <w:sz w:val="48"/>
      <w:szCs w:val="48"/>
    </w:rPr>
  </w:style>
  <w:style w:type="paragraph" w:styleId="3">
    <w:name w:val="heading 3"/>
    <w:basedOn w:val="1"/>
    <w:next w:val="1"/>
    <w:link w:val="10"/>
    <w:unhideWhenUsed/>
    <w:qFormat/>
    <w:uiPriority w:val="9"/>
    <w:pPr>
      <w:keepNext/>
      <w:keepLines/>
      <w:widowControl w:val="0"/>
      <w:spacing w:before="260" w:after="260" w:line="416" w:lineRule="auto"/>
      <w:jc w:val="both"/>
      <w:outlineLvl w:val="2"/>
    </w:pPr>
    <w:rPr>
      <w:rFonts w:ascii="Calibri" w:hAnsi="Calibri" w:cs="Times New Roman"/>
      <w:b/>
      <w:bCs/>
      <w:kern w:val="2"/>
      <w:sz w:val="32"/>
      <w:szCs w:val="32"/>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9">
    <w:name w:val="标题 1 字符"/>
    <w:basedOn w:val="6"/>
    <w:link w:val="2"/>
    <w:uiPriority w:val="9"/>
    <w:rPr>
      <w:rFonts w:ascii="宋体" w:hAnsi="宋体" w:cs="宋体"/>
      <w:b/>
      <w:bCs/>
      <w:kern w:val="36"/>
      <w:sz w:val="48"/>
      <w:szCs w:val="48"/>
    </w:rPr>
  </w:style>
  <w:style w:type="character" w:customStyle="1" w:styleId="10">
    <w:name w:val="标题 3 字符"/>
    <w:basedOn w:val="6"/>
    <w:link w:val="3"/>
    <w:qFormat/>
    <w:uiPriority w:val="9"/>
    <w:rPr>
      <w:rFonts w:ascii="Calibri" w:hAnsi="Calibri"/>
      <w:b/>
      <w:bCs/>
      <w:kern w:val="2"/>
      <w:sz w:val="32"/>
      <w:szCs w:val="32"/>
    </w:rPr>
  </w:style>
  <w:style w:type="paragraph" w:customStyle="1" w:styleId="11">
    <w:name w:val="p1"/>
    <w:basedOn w:val="1"/>
    <w:qFormat/>
    <w:uiPriority w:val="0"/>
    <w:pPr>
      <w:spacing w:before="100" w:beforeAutospacing="1" w:after="100" w:afterAutospacing="1"/>
    </w:pPr>
  </w:style>
  <w:style w:type="character" w:customStyle="1" w:styleId="12">
    <w:name w:val="highlight"/>
    <w:basedOn w:val="6"/>
    <w:uiPriority w:val="0"/>
  </w:style>
  <w:style w:type="character" w:customStyle="1" w:styleId="13">
    <w:name w:val="es-imf"/>
    <w:basedOn w:val="6"/>
    <w:qFormat/>
    <w:uiPriority w:val="0"/>
  </w:style>
  <w:style w:type="character" w:customStyle="1" w:styleId="14">
    <w:name w:val="es-jcr"/>
    <w:basedOn w:val="6"/>
    <w:qFormat/>
    <w:uiPriority w:val="0"/>
  </w:style>
  <w:style w:type="character" w:customStyle="1" w:styleId="15">
    <w:name w:val="hover-sent"/>
    <w:basedOn w:val="6"/>
    <w:qFormat/>
    <w:uiPriority w:val="0"/>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1793</Characters>
  <Lines>14</Lines>
  <Paragraphs>4</Paragraphs>
  <TotalTime>563</TotalTime>
  <ScaleCrop>false</ScaleCrop>
  <LinksUpToDate>false</LinksUpToDate>
  <CharactersWithSpaces>2055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2025-01-07T15:04:00Z</dcterms:created>
  <dc:creator>all about lily yan</dc:creator>
  <cp:lastModifiedBy>小耳朵</cp:lastModifiedBy>
  <dcterms:modified xsi:type="dcterms:W3CDTF">2026-03-15T11:39:41Z</dcterms:modified>
  <cp:revision>593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CB85C51FD1A84B69B4BB556FF5B3EC24_13</vt:lpwstr>
  </property>
  <property fmtid="{D5CDD505-2E9C-101B-9397-08002B2CF9AE}" pid="4" name="KSOTemplateDocerSaveRecord">
    <vt:lpwstr>eyJoZGlkIjoiNjA1MGY1Zjc3NzlhYjI0ODA4OTQ3OTlkNjBkZDZiNTYiLCJ1c2VySWQiOiI0MjIxMTk5NTgifQ==</vt:lpwstr>
  </property>
</Properties>
</file>