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5E76" w14:textId="77777777" w:rsidR="00030E2D" w:rsidRDefault="00000000">
      <w:pPr>
        <w:spacing w:line="480" w:lineRule="auto"/>
        <w:rPr>
          <w:rFonts w:cs="Times New Roman"/>
          <w:b/>
          <w:bCs/>
        </w:rPr>
      </w:pPr>
      <w:bookmarkStart w:id="0" w:name="_Hlk198075482"/>
      <w:r>
        <w:rPr>
          <w:rFonts w:cs="Times New Roman"/>
          <w:b/>
          <w:bCs/>
        </w:rPr>
        <w:t>Supplement Figure 1:</w:t>
      </w:r>
      <w:bookmarkEnd w:id="0"/>
      <w:r>
        <w:rPr>
          <w:rFonts w:cs="Times New Roman"/>
          <w:b/>
          <w:bCs/>
        </w:rPr>
        <w:t xml:space="preserve"> </w:t>
      </w:r>
    </w:p>
    <w:p w14:paraId="373269D9" w14:textId="61E62CD2" w:rsidR="003441FB" w:rsidRDefault="00030E2D">
      <w:pPr>
        <w:spacing w:line="480" w:lineRule="auto"/>
        <w:rPr>
          <w:rFonts w:cs="Times New Roman"/>
        </w:rPr>
      </w:pPr>
      <w:r w:rsidRPr="00030E2D">
        <w:rPr>
          <w:rFonts w:cs="Times New Roman"/>
        </w:rPr>
        <w:t>(A) Viability of TX103 co-incubated with different concentrations of heparin–protamine complex (HPC) at different time points, assessed by trypan blue staining.</w:t>
      </w:r>
      <w:r w:rsidRPr="00030E2D">
        <w:rPr>
          <w:rFonts w:cs="Times New Roman"/>
        </w:rPr>
        <w:br/>
        <w:t>(B–D) Representative images of TX103 viability measured by an automated cell counter after trypan blue staining. Percentages indicate the proportion of viable cells: (B) unlabeled TX103; (C) TX103 co-incubated with 50 μg/mL ICG-NP and 1× HPC for 24 h; (D) TX103 co-incubated with 100 μg/mL ICG-NP and 1× HPC for 20 h.</w:t>
      </w:r>
      <w:r w:rsidRPr="00030E2D">
        <w:rPr>
          <w:rFonts w:cs="Times New Roman"/>
        </w:rPr>
        <w:br/>
        <w:t>(E, F) Prussian blue staining of labeled CAR-T cells showing a greater number of labeled cells under 100 μg/mL ICG-NP with 1× HPC for 20 h than under 50 μg/mL ICG-NP with 1× HPC for 24 h.</w:t>
      </w:r>
      <w:r w:rsidRPr="00030E2D">
        <w:rPr>
          <w:rFonts w:cs="Times New Roman"/>
        </w:rPr>
        <w:br/>
        <w:t>(G) Flow cytometry gating strategy used to identify live CAR-T cells and evaluate marker expression. Sequential gating included forward scatter/side scatter (FSC-A vs SSC-A) to exclude debris, FSC-A vs FSC-H to select singlets, live/dead discrimination, CD3⁺ T-cell identification, and subsequent analysis of exhaustion markers (TIM-3, PD-1) and nanoparticle probe uptake</w:t>
      </w:r>
      <w:r w:rsidR="00000000">
        <w:rPr>
          <w:rFonts w:cs="Times New Roman"/>
        </w:rPr>
        <w:t xml:space="preserve">. </w:t>
      </w:r>
    </w:p>
    <w:p w14:paraId="24137776" w14:textId="77777777" w:rsidR="003441FB" w:rsidRDefault="003441FB">
      <w:pPr>
        <w:spacing w:line="480" w:lineRule="auto"/>
        <w:rPr>
          <w:rFonts w:cs="Times New Roman"/>
        </w:rPr>
      </w:pPr>
    </w:p>
    <w:p w14:paraId="7DDDE866" w14:textId="77777777" w:rsidR="00030E2D" w:rsidRDefault="00000000">
      <w:pPr>
        <w:spacing w:line="480" w:lineRule="auto"/>
        <w:rPr>
          <w:rFonts w:cs="Times New Roman"/>
        </w:rPr>
      </w:pPr>
      <w:r>
        <w:rPr>
          <w:rFonts w:cs="Times New Roman"/>
          <w:b/>
          <w:bCs/>
        </w:rPr>
        <w:t>Supplement Figure 2:</w:t>
      </w:r>
      <w:r>
        <w:rPr>
          <w:rFonts w:cs="Times New Roman"/>
        </w:rPr>
        <w:t xml:space="preserve"> </w:t>
      </w:r>
    </w:p>
    <w:p w14:paraId="19DAA43D" w14:textId="6381992B" w:rsidR="003441FB" w:rsidRDefault="00030E2D">
      <w:pPr>
        <w:spacing w:line="480" w:lineRule="auto"/>
        <w:rPr>
          <w:rFonts w:cs="Times New Roman"/>
        </w:rPr>
      </w:pPr>
      <w:r w:rsidRPr="00030E2D">
        <w:rPr>
          <w:rFonts w:cs="Times New Roman"/>
        </w:rPr>
        <w:t>(A) Quantification of CAR⁺ TX103 cells.</w:t>
      </w:r>
      <w:r w:rsidRPr="00030E2D">
        <w:rPr>
          <w:rFonts w:cs="Times New Roman"/>
        </w:rPr>
        <w:br/>
        <w:t>(B) Quantification of subset frequencies defined by CCR7/CD45RA expression, including TCM, naïve/TSCM, TEMRA, and TEM subsets.</w:t>
      </w:r>
      <w:r w:rsidRPr="00030E2D">
        <w:rPr>
          <w:rFonts w:cs="Times New Roman"/>
        </w:rPr>
        <w:br/>
        <w:t>(C) Quantification of CD69⁺ and 4-1BB⁺ TX103 cells across groups.</w:t>
      </w:r>
      <w:r w:rsidRPr="00030E2D">
        <w:rPr>
          <w:rFonts w:cs="Times New Roman"/>
        </w:rPr>
        <w:br/>
        <w:t>(D) Quantification of exhaustion marker expression, including LAG-3, PD-1, and TIM-</w:t>
      </w:r>
      <w:r w:rsidRPr="00030E2D">
        <w:rPr>
          <w:rFonts w:cs="Times New Roman"/>
        </w:rPr>
        <w:lastRenderedPageBreak/>
        <w:t>3.</w:t>
      </w:r>
      <w:r w:rsidRPr="00030E2D">
        <w:rPr>
          <w:rFonts w:cs="Times New Roman"/>
        </w:rPr>
        <w:br/>
        <w:t>(E) Quantification of CXCR3⁺ TX103 cells.</w:t>
      </w:r>
      <w:r w:rsidRPr="00030E2D">
        <w:rPr>
          <w:rFonts w:cs="Times New Roman"/>
        </w:rPr>
        <w:br/>
        <w:t>Each condition was tested in three technical replicates. Statistical comparisons were performed using one-way ANOVA with Tukey’s post hoc test or Kruskal–</w:t>
      </w:r>
      <w:proofErr w:type="gramStart"/>
      <w:r w:rsidRPr="00030E2D">
        <w:rPr>
          <w:rFonts w:cs="Times New Roman"/>
        </w:rPr>
        <w:t>Wallis</w:t>
      </w:r>
      <w:proofErr w:type="gramEnd"/>
      <w:r w:rsidRPr="00030E2D">
        <w:rPr>
          <w:rFonts w:cs="Times New Roman"/>
        </w:rPr>
        <w:t xml:space="preserve"> test with Bonferroni-corrected Dunn’s post hoc test, as appropriate</w:t>
      </w:r>
      <w:r w:rsidR="00000000">
        <w:rPr>
          <w:rFonts w:cs="Times New Roman"/>
        </w:rPr>
        <w:t>.</w:t>
      </w:r>
    </w:p>
    <w:p w14:paraId="73DB7EBD" w14:textId="77777777" w:rsidR="003441FB" w:rsidRDefault="003441FB">
      <w:pPr>
        <w:spacing w:line="480" w:lineRule="auto"/>
        <w:rPr>
          <w:rFonts w:cs="Times New Roman"/>
        </w:rPr>
      </w:pPr>
    </w:p>
    <w:p w14:paraId="469A1CE9" w14:textId="223BE7C0" w:rsidR="003441FB" w:rsidRDefault="00000000">
      <w:pPr>
        <w:spacing w:line="480" w:lineRule="auto"/>
        <w:rPr>
          <w:rFonts w:cs="Times New Roman"/>
        </w:rPr>
      </w:pPr>
      <w:r>
        <w:rPr>
          <w:rFonts w:cs="Times New Roman"/>
          <w:b/>
          <w:bCs/>
        </w:rPr>
        <w:t>Supplement Figure 3:</w:t>
      </w:r>
      <w:r>
        <w:rPr>
          <w:rFonts w:cs="Times New Roman"/>
        </w:rPr>
        <w:t xml:space="preserve"> </w:t>
      </w:r>
      <w:r w:rsidR="00030E2D" w:rsidRPr="00030E2D">
        <w:rPr>
          <w:rFonts w:cs="Times New Roman"/>
        </w:rPr>
        <w:t>(A) NIR-II imaging of unlabeled TX103 across graded cell numbers. As a negative control, unlabeled TX103 at increasing cell numbers (600–2 × 10⁶) showed no detectable fluorescence signal, supporting probe specificity.</w:t>
      </w:r>
    </w:p>
    <w:p w14:paraId="2153E10D" w14:textId="77777777" w:rsidR="003441FB" w:rsidRDefault="003441FB">
      <w:pPr>
        <w:spacing w:line="480" w:lineRule="auto"/>
        <w:rPr>
          <w:rFonts w:cs="Times New Roman"/>
        </w:rPr>
      </w:pPr>
    </w:p>
    <w:p w14:paraId="60DBF15C" w14:textId="77777777" w:rsidR="00267854" w:rsidRDefault="00000000">
      <w:pPr>
        <w:spacing w:line="480" w:lineRule="auto"/>
        <w:rPr>
          <w:rFonts w:cs="Times New Roman"/>
        </w:rPr>
      </w:pPr>
      <w:r>
        <w:rPr>
          <w:rFonts w:cs="Times New Roman"/>
          <w:b/>
          <w:bCs/>
        </w:rPr>
        <w:t xml:space="preserve">Supplement Figure </w:t>
      </w:r>
      <w:r>
        <w:rPr>
          <w:rFonts w:cs="Times New Roman" w:hint="eastAsia"/>
          <w:b/>
          <w:bCs/>
        </w:rPr>
        <w:t>4</w:t>
      </w:r>
      <w:r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</w:p>
    <w:p w14:paraId="5AF2A214" w14:textId="77777777" w:rsidR="00267854" w:rsidRPr="00267854" w:rsidRDefault="00267854" w:rsidP="00267854">
      <w:pPr>
        <w:spacing w:line="480" w:lineRule="auto"/>
        <w:rPr>
          <w:rFonts w:cs="Times New Roman"/>
        </w:rPr>
      </w:pPr>
      <w:r w:rsidRPr="00267854">
        <w:rPr>
          <w:rFonts w:cs="Times New Roman"/>
        </w:rPr>
        <w:t>(A) Bioluminescence imaging confirming successful tumor engraftment in all mice (n = 27) on day 7 post-inoculation. The color scale represents photon counts.</w:t>
      </w:r>
    </w:p>
    <w:p w14:paraId="2940C2B1" w14:textId="77777777" w:rsidR="00267854" w:rsidRPr="00267854" w:rsidRDefault="00267854" w:rsidP="00267854">
      <w:pPr>
        <w:spacing w:line="480" w:lineRule="auto"/>
        <w:rPr>
          <w:rFonts w:cs="Times New Roman"/>
        </w:rPr>
      </w:pPr>
      <w:r w:rsidRPr="00267854">
        <w:rPr>
          <w:rFonts w:cs="Times New Roman"/>
        </w:rPr>
        <w:t>(B) Western blot analysis of B7-H3 expression in U87MG and additional glioma cell lines; GAPDH served as the loading control.</w:t>
      </w:r>
    </w:p>
    <w:p w14:paraId="3479C995" w14:textId="77777777" w:rsidR="00267854" w:rsidRPr="00267854" w:rsidRDefault="00267854" w:rsidP="00267854">
      <w:pPr>
        <w:spacing w:line="480" w:lineRule="auto"/>
        <w:rPr>
          <w:rFonts w:cs="Times New Roman"/>
        </w:rPr>
      </w:pPr>
      <w:r w:rsidRPr="00267854">
        <w:rPr>
          <w:rFonts w:cs="Times New Roman"/>
        </w:rPr>
        <w:t>(C) Representative whole-body NIR-II images of glioma-bearing mice at baseline (day 9).</w:t>
      </w:r>
    </w:p>
    <w:p w14:paraId="3F372555" w14:textId="77777777" w:rsidR="00267854" w:rsidRPr="00267854" w:rsidRDefault="00267854" w:rsidP="00267854">
      <w:pPr>
        <w:spacing w:line="480" w:lineRule="auto"/>
        <w:rPr>
          <w:rFonts w:cs="Times New Roman"/>
        </w:rPr>
      </w:pPr>
      <w:r w:rsidRPr="00267854">
        <w:rPr>
          <w:rFonts w:cs="Times New Roman"/>
        </w:rPr>
        <w:t>(D) Representative NIR-II image of a mouse treated with labeled TX103 via intracerebroventricular (ICV) administration. Symmetric signals on both sides of the neck (yellow arrows) were observed, consistent with deep cervical lymph node regions.</w:t>
      </w:r>
    </w:p>
    <w:p w14:paraId="419FFD4E" w14:textId="77777777" w:rsidR="00267854" w:rsidRPr="00267854" w:rsidRDefault="00267854" w:rsidP="00267854">
      <w:pPr>
        <w:spacing w:line="480" w:lineRule="auto"/>
        <w:rPr>
          <w:rFonts w:cs="Times New Roman"/>
        </w:rPr>
      </w:pPr>
      <w:r w:rsidRPr="00267854">
        <w:rPr>
          <w:rFonts w:cs="Times New Roman"/>
        </w:rPr>
        <w:t>(E) Ex vivo NIR-II imaging of major organs (heart, lung, intestine) collected on days 1, 4, and 7 after treatment in mice receiving untargeted T cells, ICV-TX103, or i.v.-TX103.</w:t>
      </w:r>
    </w:p>
    <w:p w14:paraId="29ED715D" w14:textId="3C6608EC" w:rsidR="003441FB" w:rsidRDefault="00267854" w:rsidP="00267854">
      <w:pPr>
        <w:spacing w:line="480" w:lineRule="auto"/>
        <w:rPr>
          <w:rFonts w:cs="Times New Roman"/>
        </w:rPr>
      </w:pPr>
      <w:r w:rsidRPr="00267854">
        <w:rPr>
          <w:rFonts w:cs="Times New Roman"/>
        </w:rPr>
        <w:lastRenderedPageBreak/>
        <w:t>(F) Quantification of log10-transformed organ-level NIR-II exposure [log10(I)] in different organs (brain, heart, liver, spleen, lung, kidney) at days 1, 4, and 7 after treatment. Data were analyzed using one-way ANOVA with Tukey’s post hoc test when assumptions were met, or Kruskal–</w:t>
      </w:r>
      <w:proofErr w:type="gramStart"/>
      <w:r w:rsidRPr="00267854">
        <w:rPr>
          <w:rFonts w:cs="Times New Roman"/>
        </w:rPr>
        <w:t>Wallis</w:t>
      </w:r>
      <w:proofErr w:type="gramEnd"/>
      <w:r w:rsidRPr="00267854">
        <w:rPr>
          <w:rFonts w:cs="Times New Roman"/>
        </w:rPr>
        <w:t xml:space="preserve"> test with Bonferroni-corrected Dunn’s post hoc test otherwise. Detailed statistical results are provided in Supplementary Table 2</w:t>
      </w:r>
      <w:r w:rsidR="00000000">
        <w:rPr>
          <w:rFonts w:cs="Times New Roman" w:hint="eastAsia"/>
          <w:color w:val="000000" w:themeColor="text1"/>
          <w:szCs w:val="24"/>
        </w:rPr>
        <w:t>.</w:t>
      </w:r>
    </w:p>
    <w:p w14:paraId="1522B4C2" w14:textId="77777777" w:rsidR="003441FB" w:rsidRDefault="003441FB">
      <w:pPr>
        <w:spacing w:line="480" w:lineRule="auto"/>
        <w:rPr>
          <w:rFonts w:cs="Times New Roman"/>
        </w:rPr>
      </w:pPr>
    </w:p>
    <w:p w14:paraId="6F7D4440" w14:textId="065D96E9" w:rsidR="003441FB" w:rsidRDefault="00000000">
      <w:pPr>
        <w:spacing w:line="480" w:lineRule="auto"/>
        <w:rPr>
          <w:rFonts w:cs="Times New Roman"/>
        </w:rPr>
      </w:pPr>
      <w:r>
        <w:rPr>
          <w:rFonts w:cs="Times New Roman"/>
          <w:b/>
          <w:bCs/>
        </w:rPr>
        <w:t xml:space="preserve">Supplement Figure </w:t>
      </w:r>
      <w:r>
        <w:rPr>
          <w:rFonts w:cs="Times New Roman" w:hint="eastAsia"/>
          <w:b/>
          <w:bCs/>
        </w:rPr>
        <w:t>5</w:t>
      </w:r>
      <w:r>
        <w:rPr>
          <w:rFonts w:cs="Times New Roman"/>
          <w:b/>
          <w:bCs/>
        </w:rPr>
        <w:t xml:space="preserve">: </w:t>
      </w:r>
      <w:r>
        <w:rPr>
          <w:rFonts w:cs="Times New Roman"/>
        </w:rPr>
        <w:t>(</w:t>
      </w:r>
      <w:r w:rsidR="00030E2D" w:rsidRPr="00030E2D">
        <w:rPr>
          <w:rFonts w:cs="Times New Roman"/>
        </w:rPr>
        <w:t>A) Hematoxylin and eosin (H&amp;E) staining of organ specimens obtained from orthotopic U87MG glioma-bearing mice on day 7 after treatment. Intracranial tumor regions are outlined with a green line.</w:t>
      </w:r>
    </w:p>
    <w:p w14:paraId="33B039EC" w14:textId="77777777" w:rsidR="003441FB" w:rsidRDefault="003441FB"/>
    <w:sectPr w:rsidR="0034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42E9" w14:textId="77777777" w:rsidR="008A4EE2" w:rsidRDefault="008A4EE2">
      <w:pPr>
        <w:spacing w:line="240" w:lineRule="auto"/>
      </w:pPr>
      <w:r>
        <w:separator/>
      </w:r>
    </w:p>
  </w:endnote>
  <w:endnote w:type="continuationSeparator" w:id="0">
    <w:p w14:paraId="7CE76885" w14:textId="77777777" w:rsidR="008A4EE2" w:rsidRDefault="008A4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B1A4" w14:textId="77777777" w:rsidR="008A4EE2" w:rsidRDefault="008A4EE2">
      <w:r>
        <w:separator/>
      </w:r>
    </w:p>
  </w:footnote>
  <w:footnote w:type="continuationSeparator" w:id="0">
    <w:p w14:paraId="06402E8C" w14:textId="77777777" w:rsidR="008A4EE2" w:rsidRDefault="008A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07"/>
    <w:rsid w:val="000236FE"/>
    <w:rsid w:val="00030E2D"/>
    <w:rsid w:val="000C4514"/>
    <w:rsid w:val="000F15EA"/>
    <w:rsid w:val="000F713D"/>
    <w:rsid w:val="0012786A"/>
    <w:rsid w:val="0015123E"/>
    <w:rsid w:val="0019419C"/>
    <w:rsid w:val="00204A43"/>
    <w:rsid w:val="00226095"/>
    <w:rsid w:val="00267854"/>
    <w:rsid w:val="002721DB"/>
    <w:rsid w:val="002B66BB"/>
    <w:rsid w:val="002C36BA"/>
    <w:rsid w:val="002E0238"/>
    <w:rsid w:val="002E62F8"/>
    <w:rsid w:val="00330567"/>
    <w:rsid w:val="003441FB"/>
    <w:rsid w:val="00385EA2"/>
    <w:rsid w:val="003B76F5"/>
    <w:rsid w:val="003D019B"/>
    <w:rsid w:val="005466E5"/>
    <w:rsid w:val="00567A4E"/>
    <w:rsid w:val="00583968"/>
    <w:rsid w:val="005D62ED"/>
    <w:rsid w:val="006634BB"/>
    <w:rsid w:val="006673E7"/>
    <w:rsid w:val="006674C3"/>
    <w:rsid w:val="006D0B58"/>
    <w:rsid w:val="00821C70"/>
    <w:rsid w:val="008A4EE2"/>
    <w:rsid w:val="008F18D7"/>
    <w:rsid w:val="00936281"/>
    <w:rsid w:val="00981EC0"/>
    <w:rsid w:val="009D403A"/>
    <w:rsid w:val="00A47F48"/>
    <w:rsid w:val="00B03A3B"/>
    <w:rsid w:val="00C81DDE"/>
    <w:rsid w:val="00C93C7D"/>
    <w:rsid w:val="00CB3B07"/>
    <w:rsid w:val="00CE7E42"/>
    <w:rsid w:val="00CF06D9"/>
    <w:rsid w:val="00D5130C"/>
    <w:rsid w:val="00E85343"/>
    <w:rsid w:val="00F53856"/>
    <w:rsid w:val="034B3EC4"/>
    <w:rsid w:val="6324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B655E"/>
  <w14:defaultImageDpi w14:val="32767"/>
  <w15:docId w15:val="{3680A762-2D5A-4D6B-BA95-FD2EEB4D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941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19419C"/>
    <w:rPr>
      <w:rFonts w:cstheme="minorBidi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941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19419C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Chunzhao Li</dc:creator>
  <cp:lastModifiedBy>Chunzhao Lee</cp:lastModifiedBy>
  <cp:revision>9</cp:revision>
  <dcterms:created xsi:type="dcterms:W3CDTF">2025-12-21T12:48:00Z</dcterms:created>
  <dcterms:modified xsi:type="dcterms:W3CDTF">2026-03-14T14:25:00Z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eyJoZGlkIjoiNzE1MWFhMDUxNTIwMGFlYmM0Y2Q3Njk5MWM3MWQzMGYiLCJ1c2VySWQiOiI0OTIyNjM5MTEifQ==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66E87DDCBB3E4E0FAEB19757AC30B46E_12</vt:lpwstr>
  </property>
</Properties>
</file>