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4346D" w14:textId="77777777" w:rsidR="00DC539E" w:rsidRDefault="00DC539E" w:rsidP="00DC539E">
      <w:pPr>
        <w:rPr>
          <w:b/>
          <w:bCs/>
        </w:rPr>
      </w:pPr>
      <w:r w:rsidRPr="001A7C39">
        <w:rPr>
          <w:b/>
          <w:bCs/>
        </w:rPr>
        <w:t xml:space="preserve">Supplementary Table S1. </w:t>
      </w:r>
      <w:proofErr w:type="spellStart"/>
      <w:r w:rsidRPr="001A7C39">
        <w:rPr>
          <w:b/>
          <w:bCs/>
        </w:rPr>
        <w:t>Joinpoint</w:t>
      </w:r>
      <w:proofErr w:type="spellEnd"/>
      <w:r w:rsidRPr="001A7C39">
        <w:rPr>
          <w:b/>
          <w:bCs/>
        </w:rPr>
        <w:t xml:space="preserve"> regression parameters for temporal trends in 5-year relative survival on the linear scale.</w:t>
      </w:r>
    </w:p>
    <w:tbl>
      <w:tblPr>
        <w:tblStyle w:val="TableGrid"/>
        <w:tblW w:w="0" w:type="auto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851"/>
        <w:gridCol w:w="1275"/>
        <w:gridCol w:w="1134"/>
        <w:gridCol w:w="851"/>
        <w:gridCol w:w="847"/>
        <w:gridCol w:w="712"/>
        <w:gridCol w:w="1355"/>
      </w:tblGrid>
      <w:tr w:rsidR="00DC539E" w:rsidRPr="00D7132B" w14:paraId="374E57F1" w14:textId="77777777" w:rsidTr="00DD4287">
        <w:tc>
          <w:tcPr>
            <w:tcW w:w="1271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25AC1E87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Group</w:t>
            </w:r>
          </w:p>
        </w:tc>
        <w:tc>
          <w:tcPr>
            <w:tcW w:w="851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571BEE38" w14:textId="77777777" w:rsidR="00DC539E" w:rsidRPr="00D7132B" w:rsidRDefault="00DC539E" w:rsidP="00DD4287">
            <w:pPr>
              <w:jc w:val="center"/>
            </w:pPr>
            <w:proofErr w:type="spellStart"/>
            <w:r w:rsidRPr="00D7132B">
              <w:rPr>
                <w:rFonts w:hint="eastAsia"/>
              </w:rPr>
              <w:t>Joinpoints</w:t>
            </w:r>
            <w:proofErr w:type="spellEnd"/>
          </w:p>
        </w:tc>
        <w:tc>
          <w:tcPr>
            <w:tcW w:w="1275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658EB7A1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Segment</w:t>
            </w:r>
          </w:p>
        </w:tc>
        <w:tc>
          <w:tcPr>
            <w:tcW w:w="1134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2F277ACC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Slope (pp/year)</w:t>
            </w:r>
          </w:p>
        </w:tc>
        <w:tc>
          <w:tcPr>
            <w:tcW w:w="851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189EBFC0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SE</w:t>
            </w:r>
          </w:p>
        </w:tc>
        <w:tc>
          <w:tcPr>
            <w:tcW w:w="847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1D2EE1D9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t</w:t>
            </w:r>
          </w:p>
        </w:tc>
        <w:tc>
          <w:tcPr>
            <w:tcW w:w="712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2A9B050B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P</w:t>
            </w:r>
          </w:p>
        </w:tc>
        <w:tc>
          <w:tcPr>
            <w:tcW w:w="1355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181D4E37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Significant (</w:t>
            </w:r>
            <w:r w:rsidRPr="00D7132B">
              <w:rPr>
                <w:rFonts w:hint="eastAsia"/>
              </w:rPr>
              <w:t>α</w:t>
            </w:r>
            <w:r w:rsidRPr="00D7132B">
              <w:rPr>
                <w:rFonts w:hint="eastAsia"/>
              </w:rPr>
              <w:t>=0.05)</w:t>
            </w:r>
          </w:p>
        </w:tc>
      </w:tr>
      <w:tr w:rsidR="00DC539E" w:rsidRPr="00D7132B" w14:paraId="316F6965" w14:textId="77777777" w:rsidTr="00DD4287">
        <w:tc>
          <w:tcPr>
            <w:tcW w:w="1271" w:type="dxa"/>
            <w:tcBorders>
              <w:top w:val="single" w:sz="6" w:space="0" w:color="000000" w:themeColor="text1"/>
            </w:tcBorders>
          </w:tcPr>
          <w:p w14:paraId="539088B9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Overall</w:t>
            </w:r>
          </w:p>
        </w:tc>
        <w:tc>
          <w:tcPr>
            <w:tcW w:w="851" w:type="dxa"/>
            <w:tcBorders>
              <w:top w:val="single" w:sz="6" w:space="0" w:color="000000" w:themeColor="text1"/>
            </w:tcBorders>
          </w:tcPr>
          <w:p w14:paraId="6ADA08AE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0</w:t>
            </w:r>
          </w:p>
        </w:tc>
        <w:tc>
          <w:tcPr>
            <w:tcW w:w="1275" w:type="dxa"/>
            <w:tcBorders>
              <w:top w:val="single" w:sz="6" w:space="0" w:color="000000" w:themeColor="text1"/>
            </w:tcBorders>
          </w:tcPr>
          <w:p w14:paraId="498BF57E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2002</w:t>
            </w:r>
            <w:r w:rsidRPr="00D7132B">
              <w:rPr>
                <w:rFonts w:hint="eastAsia"/>
              </w:rPr>
              <w:t>–</w:t>
            </w:r>
            <w:r w:rsidRPr="00D7132B">
              <w:rPr>
                <w:rFonts w:hint="eastAsia"/>
              </w:rPr>
              <w:t>2017</w:t>
            </w:r>
          </w:p>
        </w:tc>
        <w:tc>
          <w:tcPr>
            <w:tcW w:w="1134" w:type="dxa"/>
            <w:tcBorders>
              <w:top w:val="single" w:sz="6" w:space="0" w:color="000000" w:themeColor="text1"/>
            </w:tcBorders>
          </w:tcPr>
          <w:p w14:paraId="1955CD66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0.488947</w:t>
            </w:r>
          </w:p>
        </w:tc>
        <w:tc>
          <w:tcPr>
            <w:tcW w:w="851" w:type="dxa"/>
            <w:tcBorders>
              <w:top w:val="single" w:sz="6" w:space="0" w:color="000000" w:themeColor="text1"/>
            </w:tcBorders>
          </w:tcPr>
          <w:p w14:paraId="0BB587BE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0.090477</w:t>
            </w:r>
          </w:p>
        </w:tc>
        <w:tc>
          <w:tcPr>
            <w:tcW w:w="847" w:type="dxa"/>
            <w:tcBorders>
              <w:top w:val="single" w:sz="6" w:space="0" w:color="000000" w:themeColor="text1"/>
            </w:tcBorders>
          </w:tcPr>
          <w:p w14:paraId="4E2534A7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5.404123</w:t>
            </w:r>
          </w:p>
        </w:tc>
        <w:tc>
          <w:tcPr>
            <w:tcW w:w="712" w:type="dxa"/>
            <w:tcBorders>
              <w:top w:val="single" w:sz="6" w:space="0" w:color="000000" w:themeColor="text1"/>
            </w:tcBorders>
          </w:tcPr>
          <w:p w14:paraId="0461C017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0.032577</w:t>
            </w:r>
          </w:p>
        </w:tc>
        <w:tc>
          <w:tcPr>
            <w:tcW w:w="1355" w:type="dxa"/>
            <w:tcBorders>
              <w:top w:val="single" w:sz="6" w:space="0" w:color="000000" w:themeColor="text1"/>
            </w:tcBorders>
          </w:tcPr>
          <w:p w14:paraId="3512E888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Yes</w:t>
            </w:r>
          </w:p>
        </w:tc>
      </w:tr>
      <w:tr w:rsidR="00DC539E" w:rsidRPr="00D7132B" w14:paraId="4E3D426C" w14:textId="77777777" w:rsidTr="00DD4287">
        <w:tc>
          <w:tcPr>
            <w:tcW w:w="1271" w:type="dxa"/>
          </w:tcPr>
          <w:p w14:paraId="1A2B262E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Anaplastic</w:t>
            </w:r>
          </w:p>
        </w:tc>
        <w:tc>
          <w:tcPr>
            <w:tcW w:w="851" w:type="dxa"/>
          </w:tcPr>
          <w:p w14:paraId="04646810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0</w:t>
            </w:r>
          </w:p>
        </w:tc>
        <w:tc>
          <w:tcPr>
            <w:tcW w:w="1275" w:type="dxa"/>
          </w:tcPr>
          <w:p w14:paraId="1AF8EDE1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2002</w:t>
            </w:r>
            <w:r w:rsidRPr="00D7132B">
              <w:rPr>
                <w:rFonts w:hint="eastAsia"/>
              </w:rPr>
              <w:t>–</w:t>
            </w:r>
            <w:r w:rsidRPr="00D7132B">
              <w:rPr>
                <w:rFonts w:hint="eastAsia"/>
              </w:rPr>
              <w:t>2017</w:t>
            </w:r>
          </w:p>
        </w:tc>
        <w:tc>
          <w:tcPr>
            <w:tcW w:w="1134" w:type="dxa"/>
          </w:tcPr>
          <w:p w14:paraId="5ACA8FD4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1.20642</w:t>
            </w:r>
          </w:p>
        </w:tc>
        <w:tc>
          <w:tcPr>
            <w:tcW w:w="851" w:type="dxa"/>
          </w:tcPr>
          <w:p w14:paraId="27FC8F9C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0.099618</w:t>
            </w:r>
          </w:p>
        </w:tc>
        <w:tc>
          <w:tcPr>
            <w:tcW w:w="847" w:type="dxa"/>
          </w:tcPr>
          <w:p w14:paraId="1F1E141D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12.110454</w:t>
            </w:r>
          </w:p>
        </w:tc>
        <w:tc>
          <w:tcPr>
            <w:tcW w:w="712" w:type="dxa"/>
          </w:tcPr>
          <w:p w14:paraId="5FF6581A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0.006749</w:t>
            </w:r>
          </w:p>
        </w:tc>
        <w:tc>
          <w:tcPr>
            <w:tcW w:w="1355" w:type="dxa"/>
          </w:tcPr>
          <w:p w14:paraId="089EC6CC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Yes</w:t>
            </w:r>
          </w:p>
        </w:tc>
      </w:tr>
      <w:tr w:rsidR="00DC539E" w14:paraId="4293BB0D" w14:textId="77777777" w:rsidTr="00DD4287">
        <w:tc>
          <w:tcPr>
            <w:tcW w:w="1271" w:type="dxa"/>
          </w:tcPr>
          <w:p w14:paraId="1F29F98F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Non-anaplastic</w:t>
            </w:r>
          </w:p>
        </w:tc>
        <w:tc>
          <w:tcPr>
            <w:tcW w:w="851" w:type="dxa"/>
          </w:tcPr>
          <w:p w14:paraId="2857B200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0</w:t>
            </w:r>
          </w:p>
        </w:tc>
        <w:tc>
          <w:tcPr>
            <w:tcW w:w="1275" w:type="dxa"/>
          </w:tcPr>
          <w:p w14:paraId="475475AD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2002</w:t>
            </w:r>
            <w:r w:rsidRPr="00D7132B">
              <w:rPr>
                <w:rFonts w:hint="eastAsia"/>
              </w:rPr>
              <w:t>–</w:t>
            </w:r>
            <w:r w:rsidRPr="00D7132B">
              <w:rPr>
                <w:rFonts w:hint="eastAsia"/>
              </w:rPr>
              <w:t>2017</w:t>
            </w:r>
          </w:p>
        </w:tc>
        <w:tc>
          <w:tcPr>
            <w:tcW w:w="1134" w:type="dxa"/>
          </w:tcPr>
          <w:p w14:paraId="0E335939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0.530024</w:t>
            </w:r>
          </w:p>
        </w:tc>
        <w:tc>
          <w:tcPr>
            <w:tcW w:w="851" w:type="dxa"/>
          </w:tcPr>
          <w:p w14:paraId="62F29E58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0.11544</w:t>
            </w:r>
          </w:p>
        </w:tc>
        <w:tc>
          <w:tcPr>
            <w:tcW w:w="847" w:type="dxa"/>
          </w:tcPr>
          <w:p w14:paraId="10B1907B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4.591347</w:t>
            </w:r>
          </w:p>
        </w:tc>
        <w:tc>
          <w:tcPr>
            <w:tcW w:w="712" w:type="dxa"/>
          </w:tcPr>
          <w:p w14:paraId="0700717D" w14:textId="77777777" w:rsidR="00DC539E" w:rsidRPr="00D7132B" w:rsidRDefault="00DC539E" w:rsidP="00DD4287">
            <w:pPr>
              <w:jc w:val="center"/>
            </w:pPr>
            <w:r w:rsidRPr="00D7132B">
              <w:rPr>
                <w:rFonts w:hint="eastAsia"/>
              </w:rPr>
              <w:t>0.044308</w:t>
            </w:r>
          </w:p>
        </w:tc>
        <w:tc>
          <w:tcPr>
            <w:tcW w:w="1355" w:type="dxa"/>
          </w:tcPr>
          <w:p w14:paraId="370E81BB" w14:textId="77777777" w:rsidR="00DC539E" w:rsidRDefault="00DC539E" w:rsidP="00DD4287">
            <w:pPr>
              <w:jc w:val="center"/>
            </w:pPr>
            <w:r w:rsidRPr="00D7132B">
              <w:rPr>
                <w:rFonts w:hint="eastAsia"/>
              </w:rPr>
              <w:t>Yes</w:t>
            </w:r>
          </w:p>
        </w:tc>
      </w:tr>
    </w:tbl>
    <w:p w14:paraId="387BAC94" w14:textId="77777777" w:rsidR="00DC539E" w:rsidRPr="001A7C39" w:rsidRDefault="00DC539E" w:rsidP="00DC539E"/>
    <w:p w14:paraId="7B986ED9" w14:textId="77777777" w:rsidR="00DC539E" w:rsidRPr="001A7C39" w:rsidRDefault="00DC539E" w:rsidP="00DC539E">
      <w:r w:rsidRPr="001A7C39">
        <w:rPr>
          <w:i/>
          <w:iCs/>
        </w:rPr>
        <w:t xml:space="preserve">The slope represents the absolute change in 5-year relative survival (percentage points) per calendar year. Final selected models contained 0 </w:t>
      </w:r>
      <w:proofErr w:type="spellStart"/>
      <w:r w:rsidRPr="001A7C39">
        <w:rPr>
          <w:i/>
          <w:iCs/>
        </w:rPr>
        <w:t>joinpoints</w:t>
      </w:r>
      <w:proofErr w:type="spellEnd"/>
      <w:r w:rsidRPr="001A7C39">
        <w:rPr>
          <w:i/>
          <w:iCs/>
        </w:rPr>
        <w:t xml:space="preserve"> for all analyses.</w:t>
      </w:r>
    </w:p>
    <w:p w14:paraId="21E166CE" w14:textId="77777777" w:rsidR="00DC539E" w:rsidRDefault="00DC539E" w:rsidP="00DC539E">
      <w:pPr>
        <w:rPr>
          <w:b/>
          <w:bCs/>
        </w:rPr>
      </w:pPr>
      <w:r w:rsidRPr="001A7C39">
        <w:rPr>
          <w:b/>
          <w:bCs/>
        </w:rPr>
        <w:t>Supplementary Table S2. Unknown/</w:t>
      </w:r>
      <w:proofErr w:type="spellStart"/>
      <w:r w:rsidRPr="001A7C39">
        <w:rPr>
          <w:b/>
          <w:bCs/>
        </w:rPr>
        <w:t>unstaged</w:t>
      </w:r>
      <w:proofErr w:type="spellEnd"/>
      <w:r w:rsidRPr="001A7C39">
        <w:rPr>
          <w:b/>
          <w:bCs/>
        </w:rPr>
        <w:t xml:space="preserve"> cases excluded from stage-stratified relative survival analyses.</w:t>
      </w:r>
    </w:p>
    <w:tbl>
      <w:tblPr>
        <w:tblStyle w:val="TableGrid"/>
        <w:tblW w:w="0" w:type="auto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441"/>
        <w:gridCol w:w="2235"/>
        <w:gridCol w:w="2177"/>
        <w:gridCol w:w="1306"/>
      </w:tblGrid>
      <w:tr w:rsidR="00DC539E" w:rsidRPr="00D7132B" w14:paraId="3F05B512" w14:textId="77777777" w:rsidTr="00DD4287">
        <w:tc>
          <w:tcPr>
            <w:tcW w:w="1271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5F31BCEF" w14:textId="77777777" w:rsidR="00DC539E" w:rsidRPr="00D7132B" w:rsidRDefault="00DC539E" w:rsidP="00DD4287">
            <w:r w:rsidRPr="00D7132B">
              <w:rPr>
                <w:rFonts w:hint="eastAsia"/>
              </w:rPr>
              <w:t>Period</w:t>
            </w:r>
          </w:p>
        </w:tc>
        <w:tc>
          <w:tcPr>
            <w:tcW w:w="1441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1229FD56" w14:textId="77777777" w:rsidR="00DC539E" w:rsidRPr="00D7132B" w:rsidRDefault="00DC539E" w:rsidP="00DD4287">
            <w:proofErr w:type="spellStart"/>
            <w:r w:rsidRPr="00D7132B">
              <w:rPr>
                <w:rFonts w:hint="eastAsia"/>
              </w:rPr>
              <w:t>N_total</w:t>
            </w:r>
            <w:proofErr w:type="spellEnd"/>
            <w:r w:rsidRPr="00D7132B">
              <w:rPr>
                <w:rFonts w:hint="eastAsia"/>
              </w:rPr>
              <w:t xml:space="preserve"> (RS cohort)</w:t>
            </w:r>
          </w:p>
        </w:tc>
        <w:tc>
          <w:tcPr>
            <w:tcW w:w="2235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6FE87DEB" w14:textId="77777777" w:rsidR="00DC539E" w:rsidRPr="00D7132B" w:rsidRDefault="00DC539E" w:rsidP="00DD4287">
            <w:proofErr w:type="spellStart"/>
            <w:r w:rsidRPr="00D7132B">
              <w:rPr>
                <w:rFonts w:hint="eastAsia"/>
              </w:rPr>
              <w:t>N_stage</w:t>
            </w:r>
            <w:proofErr w:type="spellEnd"/>
            <w:r w:rsidRPr="00D7132B">
              <w:rPr>
                <w:rFonts w:hint="eastAsia"/>
              </w:rPr>
              <w:t>-known</w:t>
            </w:r>
          </w:p>
        </w:tc>
        <w:tc>
          <w:tcPr>
            <w:tcW w:w="2177" w:type="dxa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45338A9F" w14:textId="77777777" w:rsidR="00DC539E" w:rsidRPr="00D7132B" w:rsidRDefault="00DC539E" w:rsidP="00DD4287">
            <w:proofErr w:type="spellStart"/>
            <w:r w:rsidRPr="00D7132B">
              <w:rPr>
                <w:rFonts w:hint="eastAsia"/>
              </w:rPr>
              <w:t>N_excluded</w:t>
            </w:r>
            <w:proofErr w:type="spellEnd"/>
            <w:r w:rsidRPr="00D7132B">
              <w:rPr>
                <w:rFonts w:hint="eastAsia"/>
              </w:rPr>
              <w:t xml:space="preserve"> (unknown/</w:t>
            </w:r>
            <w:proofErr w:type="spellStart"/>
            <w:r w:rsidRPr="00D7132B">
              <w:rPr>
                <w:rFonts w:hint="eastAsia"/>
              </w:rPr>
              <w:t>unstaged</w:t>
            </w:r>
            <w:proofErr w:type="spellEnd"/>
            <w:r w:rsidRPr="00D7132B">
              <w:rPr>
                <w:rFonts w:hint="eastAsia"/>
              </w:rPr>
              <w:t>)</w:t>
            </w:r>
          </w:p>
        </w:tc>
        <w:tc>
          <w:tcPr>
            <w:tcW w:w="0" w:type="auto"/>
            <w:tcBorders>
              <w:top w:val="single" w:sz="12" w:space="0" w:color="000000" w:themeColor="text1"/>
              <w:bottom w:val="single" w:sz="6" w:space="0" w:color="000000" w:themeColor="text1"/>
            </w:tcBorders>
          </w:tcPr>
          <w:p w14:paraId="6559BF1D" w14:textId="77777777" w:rsidR="00DC539E" w:rsidRPr="00D7132B" w:rsidRDefault="00DC539E" w:rsidP="00DD4287">
            <w:r w:rsidRPr="00D7132B">
              <w:rPr>
                <w:rFonts w:hint="eastAsia"/>
              </w:rPr>
              <w:t>% excluded</w:t>
            </w:r>
          </w:p>
        </w:tc>
      </w:tr>
      <w:tr w:rsidR="00DC539E" w:rsidRPr="00D7132B" w14:paraId="452F69B8" w14:textId="77777777" w:rsidTr="00DD4287">
        <w:tc>
          <w:tcPr>
            <w:tcW w:w="1271" w:type="dxa"/>
            <w:tcBorders>
              <w:top w:val="single" w:sz="6" w:space="0" w:color="000000" w:themeColor="text1"/>
            </w:tcBorders>
          </w:tcPr>
          <w:p w14:paraId="59003ED7" w14:textId="77777777" w:rsidR="00DC539E" w:rsidRPr="00D7132B" w:rsidRDefault="00DC539E" w:rsidP="00DD4287">
            <w:r w:rsidRPr="00D7132B">
              <w:rPr>
                <w:rFonts w:hint="eastAsia"/>
              </w:rPr>
              <w:t>2005</w:t>
            </w:r>
            <w:r w:rsidRPr="00D7132B">
              <w:rPr>
                <w:rFonts w:hint="eastAsia"/>
              </w:rPr>
              <w:t>–</w:t>
            </w:r>
            <w:r w:rsidRPr="00D7132B">
              <w:rPr>
                <w:rFonts w:hint="eastAsia"/>
              </w:rPr>
              <w:t>2009</w:t>
            </w:r>
          </w:p>
        </w:tc>
        <w:tc>
          <w:tcPr>
            <w:tcW w:w="1441" w:type="dxa"/>
            <w:tcBorders>
              <w:top w:val="single" w:sz="6" w:space="0" w:color="000000" w:themeColor="text1"/>
            </w:tcBorders>
          </w:tcPr>
          <w:p w14:paraId="7977ACFF" w14:textId="77777777" w:rsidR="00DC539E" w:rsidRPr="00D7132B" w:rsidRDefault="00DC539E" w:rsidP="00DD4287">
            <w:r w:rsidRPr="00D7132B">
              <w:rPr>
                <w:rFonts w:hint="eastAsia"/>
              </w:rPr>
              <w:t>961</w:t>
            </w:r>
          </w:p>
        </w:tc>
        <w:tc>
          <w:tcPr>
            <w:tcW w:w="2235" w:type="dxa"/>
            <w:tcBorders>
              <w:top w:val="single" w:sz="6" w:space="0" w:color="000000" w:themeColor="text1"/>
            </w:tcBorders>
          </w:tcPr>
          <w:p w14:paraId="7F34AC3E" w14:textId="77777777" w:rsidR="00DC539E" w:rsidRPr="00D7132B" w:rsidRDefault="00DC539E" w:rsidP="00DD4287">
            <w:r w:rsidRPr="00D7132B">
              <w:rPr>
                <w:rFonts w:hint="eastAsia"/>
              </w:rPr>
              <w:t>935</w:t>
            </w:r>
          </w:p>
        </w:tc>
        <w:tc>
          <w:tcPr>
            <w:tcW w:w="2177" w:type="dxa"/>
            <w:tcBorders>
              <w:top w:val="single" w:sz="6" w:space="0" w:color="000000" w:themeColor="text1"/>
            </w:tcBorders>
          </w:tcPr>
          <w:p w14:paraId="22C0BF3C" w14:textId="77777777" w:rsidR="00DC539E" w:rsidRPr="00D7132B" w:rsidRDefault="00DC539E" w:rsidP="00DD4287">
            <w:r w:rsidRPr="00D7132B">
              <w:rPr>
                <w:rFonts w:hint="eastAsia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 w:themeColor="text1"/>
            </w:tcBorders>
          </w:tcPr>
          <w:p w14:paraId="57752C40" w14:textId="77777777" w:rsidR="00DC539E" w:rsidRPr="00D7132B" w:rsidRDefault="00DC539E" w:rsidP="00DD4287">
            <w:r w:rsidRPr="00D7132B">
              <w:rPr>
                <w:rFonts w:hint="eastAsia"/>
              </w:rPr>
              <w:t>2.7</w:t>
            </w:r>
          </w:p>
        </w:tc>
      </w:tr>
      <w:tr w:rsidR="00DC539E" w:rsidRPr="00D7132B" w14:paraId="5464988A" w14:textId="77777777" w:rsidTr="00DD4287">
        <w:tc>
          <w:tcPr>
            <w:tcW w:w="1271" w:type="dxa"/>
          </w:tcPr>
          <w:p w14:paraId="46F782D9" w14:textId="77777777" w:rsidR="00DC539E" w:rsidRPr="00D7132B" w:rsidRDefault="00DC539E" w:rsidP="00DD4287">
            <w:r w:rsidRPr="00D7132B">
              <w:rPr>
                <w:rFonts w:hint="eastAsia"/>
              </w:rPr>
              <w:t>2010</w:t>
            </w:r>
            <w:r w:rsidRPr="00D7132B">
              <w:rPr>
                <w:rFonts w:hint="eastAsia"/>
              </w:rPr>
              <w:t>–</w:t>
            </w:r>
            <w:r w:rsidRPr="00D7132B">
              <w:rPr>
                <w:rFonts w:hint="eastAsia"/>
              </w:rPr>
              <w:t>2014</w:t>
            </w:r>
          </w:p>
        </w:tc>
        <w:tc>
          <w:tcPr>
            <w:tcW w:w="1441" w:type="dxa"/>
          </w:tcPr>
          <w:p w14:paraId="206391DB" w14:textId="77777777" w:rsidR="00DC539E" w:rsidRPr="00D7132B" w:rsidRDefault="00DC539E" w:rsidP="00DD4287">
            <w:r w:rsidRPr="00D7132B">
              <w:rPr>
                <w:rFonts w:hint="eastAsia"/>
              </w:rPr>
              <w:t>966</w:t>
            </w:r>
          </w:p>
        </w:tc>
        <w:tc>
          <w:tcPr>
            <w:tcW w:w="2235" w:type="dxa"/>
          </w:tcPr>
          <w:p w14:paraId="26DF3BED" w14:textId="77777777" w:rsidR="00DC539E" w:rsidRPr="00D7132B" w:rsidRDefault="00DC539E" w:rsidP="00DD4287">
            <w:r w:rsidRPr="00D7132B">
              <w:rPr>
                <w:rFonts w:hint="eastAsia"/>
              </w:rPr>
              <w:t>948</w:t>
            </w:r>
          </w:p>
        </w:tc>
        <w:tc>
          <w:tcPr>
            <w:tcW w:w="2177" w:type="dxa"/>
          </w:tcPr>
          <w:p w14:paraId="5D0AC3DE" w14:textId="77777777" w:rsidR="00DC539E" w:rsidRPr="00D7132B" w:rsidRDefault="00DC539E" w:rsidP="00DD4287">
            <w:r w:rsidRPr="00D7132B">
              <w:rPr>
                <w:rFonts w:hint="eastAsia"/>
              </w:rPr>
              <w:t>18</w:t>
            </w:r>
          </w:p>
        </w:tc>
        <w:tc>
          <w:tcPr>
            <w:tcW w:w="0" w:type="auto"/>
          </w:tcPr>
          <w:p w14:paraId="01091483" w14:textId="77777777" w:rsidR="00DC539E" w:rsidRPr="00D7132B" w:rsidRDefault="00DC539E" w:rsidP="00DD4287">
            <w:r w:rsidRPr="00D7132B">
              <w:rPr>
                <w:rFonts w:hint="eastAsia"/>
              </w:rPr>
              <w:t>1.9</w:t>
            </w:r>
          </w:p>
        </w:tc>
      </w:tr>
      <w:tr w:rsidR="00DC539E" w14:paraId="506B213A" w14:textId="77777777" w:rsidTr="00DD4287">
        <w:tc>
          <w:tcPr>
            <w:tcW w:w="1271" w:type="dxa"/>
          </w:tcPr>
          <w:p w14:paraId="323CD3C1" w14:textId="77777777" w:rsidR="00DC539E" w:rsidRPr="00D7132B" w:rsidRDefault="00DC539E" w:rsidP="00DD4287">
            <w:r w:rsidRPr="00D7132B">
              <w:rPr>
                <w:rFonts w:hint="eastAsia"/>
              </w:rPr>
              <w:t>2015</w:t>
            </w:r>
            <w:r w:rsidRPr="00D7132B">
              <w:rPr>
                <w:rFonts w:hint="eastAsia"/>
              </w:rPr>
              <w:t>–</w:t>
            </w:r>
            <w:r w:rsidRPr="00D7132B">
              <w:rPr>
                <w:rFonts w:hint="eastAsia"/>
              </w:rPr>
              <w:t>2019</w:t>
            </w:r>
          </w:p>
        </w:tc>
        <w:tc>
          <w:tcPr>
            <w:tcW w:w="1441" w:type="dxa"/>
          </w:tcPr>
          <w:p w14:paraId="62946E73" w14:textId="77777777" w:rsidR="00DC539E" w:rsidRPr="00D7132B" w:rsidRDefault="00DC539E" w:rsidP="00DD4287">
            <w:r w:rsidRPr="00D7132B">
              <w:rPr>
                <w:rFonts w:hint="eastAsia"/>
              </w:rPr>
              <w:t>947</w:t>
            </w:r>
          </w:p>
        </w:tc>
        <w:tc>
          <w:tcPr>
            <w:tcW w:w="2235" w:type="dxa"/>
          </w:tcPr>
          <w:p w14:paraId="735E1BB9" w14:textId="77777777" w:rsidR="00DC539E" w:rsidRPr="00D7132B" w:rsidRDefault="00DC539E" w:rsidP="00DD4287">
            <w:r w:rsidRPr="00D7132B">
              <w:rPr>
                <w:rFonts w:hint="eastAsia"/>
              </w:rPr>
              <w:t>919</w:t>
            </w:r>
          </w:p>
        </w:tc>
        <w:tc>
          <w:tcPr>
            <w:tcW w:w="2177" w:type="dxa"/>
          </w:tcPr>
          <w:p w14:paraId="7C5A8243" w14:textId="77777777" w:rsidR="00DC539E" w:rsidRPr="00D7132B" w:rsidRDefault="00DC539E" w:rsidP="00DD4287">
            <w:r w:rsidRPr="00D7132B">
              <w:rPr>
                <w:rFonts w:hint="eastAsia"/>
              </w:rPr>
              <w:t>28</w:t>
            </w:r>
          </w:p>
        </w:tc>
        <w:tc>
          <w:tcPr>
            <w:tcW w:w="0" w:type="auto"/>
          </w:tcPr>
          <w:p w14:paraId="3744407F" w14:textId="77777777" w:rsidR="00DC539E" w:rsidRDefault="00DC539E" w:rsidP="00DD4287">
            <w:r w:rsidRPr="00D7132B">
              <w:rPr>
                <w:rFonts w:hint="eastAsia"/>
              </w:rPr>
              <w:t>3.0</w:t>
            </w:r>
          </w:p>
        </w:tc>
      </w:tr>
    </w:tbl>
    <w:p w14:paraId="38E686C9" w14:textId="77777777" w:rsidR="00DC539E" w:rsidRDefault="00DC539E" w:rsidP="00DC539E">
      <w:pPr>
        <w:rPr>
          <w:b/>
          <w:bCs/>
        </w:rPr>
      </w:pPr>
      <w:r w:rsidRPr="001A7C39">
        <w:rPr>
          <w:b/>
          <w:bCs/>
        </w:rPr>
        <w:t>Supplementary Table S3. Stage distribution and stage-stratified 5-year relative survival estimates in the RS analytic cohort, 2005–2019.</w:t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3"/>
        <w:gridCol w:w="1262"/>
        <w:gridCol w:w="1359"/>
        <w:gridCol w:w="1970"/>
        <w:gridCol w:w="1145"/>
        <w:gridCol w:w="1334"/>
        <w:gridCol w:w="1307"/>
      </w:tblGrid>
      <w:tr w:rsidR="00DC539E" w14:paraId="540EE4CE" w14:textId="77777777" w:rsidTr="00DD4287">
        <w:trPr>
          <w:jc w:val="center"/>
        </w:trPr>
        <w:tc>
          <w:tcPr>
            <w:tcW w:w="1271" w:type="dxa"/>
            <w:tcBorders>
              <w:top w:val="single" w:sz="12" w:space="0" w:color="auto"/>
              <w:bottom w:val="single" w:sz="6" w:space="0" w:color="000000" w:themeColor="text1"/>
            </w:tcBorders>
            <w:vAlign w:val="center"/>
          </w:tcPr>
          <w:p w14:paraId="7ECDA941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Period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6" w:space="0" w:color="000000" w:themeColor="text1"/>
            </w:tcBorders>
            <w:vAlign w:val="center"/>
          </w:tcPr>
          <w:p w14:paraId="32E31375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Localized n(%)</w:t>
            </w:r>
          </w:p>
        </w:tc>
        <w:tc>
          <w:tcPr>
            <w:tcW w:w="1848" w:type="dxa"/>
            <w:tcBorders>
              <w:top w:val="single" w:sz="12" w:space="0" w:color="auto"/>
              <w:bottom w:val="single" w:sz="6" w:space="0" w:color="000000" w:themeColor="text1"/>
            </w:tcBorders>
            <w:vAlign w:val="center"/>
          </w:tcPr>
          <w:p w14:paraId="4C6E3842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Non-localized n(%)</w:t>
            </w:r>
          </w:p>
        </w:tc>
        <w:tc>
          <w:tcPr>
            <w:tcW w:w="2071" w:type="dxa"/>
            <w:tcBorders>
              <w:top w:val="single" w:sz="12" w:space="0" w:color="auto"/>
              <w:bottom w:val="single" w:sz="6" w:space="0" w:color="000000" w:themeColor="text1"/>
            </w:tcBorders>
            <w:vAlign w:val="center"/>
          </w:tcPr>
          <w:p w14:paraId="3B712421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Unknown/</w:t>
            </w:r>
            <w:proofErr w:type="spellStart"/>
            <w:r>
              <w:rPr>
                <w:sz w:val="20"/>
              </w:rPr>
              <w:t>unstaged</w:t>
            </w:r>
            <w:proofErr w:type="spellEnd"/>
            <w:r>
              <w:rPr>
                <w:sz w:val="20"/>
              </w:rPr>
              <w:t xml:space="preserve"> n(%)</w:t>
            </w:r>
          </w:p>
        </w:tc>
        <w:tc>
          <w:tcPr>
            <w:tcW w:w="1547" w:type="dxa"/>
            <w:tcBorders>
              <w:top w:val="single" w:sz="12" w:space="0" w:color="auto"/>
              <w:bottom w:val="single" w:sz="6" w:space="0" w:color="000000" w:themeColor="text1"/>
            </w:tcBorders>
            <w:vAlign w:val="center"/>
          </w:tcPr>
          <w:p w14:paraId="7E83CBE5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Total N (RS cohort)</w:t>
            </w:r>
          </w:p>
        </w:tc>
        <w:tc>
          <w:tcPr>
            <w:tcW w:w="1728" w:type="dxa"/>
            <w:tcBorders>
              <w:top w:val="single" w:sz="12" w:space="0" w:color="auto"/>
              <w:bottom w:val="single" w:sz="6" w:space="0" w:color="000000" w:themeColor="text1"/>
            </w:tcBorders>
            <w:vAlign w:val="center"/>
          </w:tcPr>
          <w:p w14:paraId="2131FC17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Localized 5-year RS (%)</w:t>
            </w:r>
          </w:p>
        </w:tc>
        <w:tc>
          <w:tcPr>
            <w:tcW w:w="1728" w:type="dxa"/>
            <w:tcBorders>
              <w:top w:val="single" w:sz="12" w:space="0" w:color="auto"/>
              <w:bottom w:val="single" w:sz="6" w:space="0" w:color="000000" w:themeColor="text1"/>
            </w:tcBorders>
            <w:vAlign w:val="center"/>
          </w:tcPr>
          <w:p w14:paraId="15A0C76A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Non-localized 5-year RS (%)</w:t>
            </w:r>
          </w:p>
        </w:tc>
      </w:tr>
      <w:tr w:rsidR="00DC539E" w14:paraId="2DCC86E7" w14:textId="77777777" w:rsidTr="00DD4287">
        <w:trPr>
          <w:jc w:val="center"/>
        </w:trPr>
        <w:tc>
          <w:tcPr>
            <w:tcW w:w="1271" w:type="dxa"/>
            <w:tcBorders>
              <w:top w:val="single" w:sz="6" w:space="0" w:color="000000" w:themeColor="text1"/>
            </w:tcBorders>
            <w:vAlign w:val="center"/>
          </w:tcPr>
          <w:p w14:paraId="5A6C8E9F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2005–2009</w:t>
            </w:r>
          </w:p>
        </w:tc>
        <w:tc>
          <w:tcPr>
            <w:tcW w:w="1559" w:type="dxa"/>
            <w:tcBorders>
              <w:top w:val="single" w:sz="6" w:space="0" w:color="000000" w:themeColor="text1"/>
            </w:tcBorders>
            <w:vAlign w:val="center"/>
          </w:tcPr>
          <w:p w14:paraId="11A85729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798 (83.0%)</w:t>
            </w:r>
          </w:p>
        </w:tc>
        <w:tc>
          <w:tcPr>
            <w:tcW w:w="1848" w:type="dxa"/>
            <w:tcBorders>
              <w:top w:val="single" w:sz="6" w:space="0" w:color="000000" w:themeColor="text1"/>
            </w:tcBorders>
            <w:vAlign w:val="center"/>
          </w:tcPr>
          <w:p w14:paraId="02247ADE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137 (14.3%)</w:t>
            </w:r>
          </w:p>
        </w:tc>
        <w:tc>
          <w:tcPr>
            <w:tcW w:w="2071" w:type="dxa"/>
            <w:tcBorders>
              <w:top w:val="single" w:sz="6" w:space="0" w:color="000000" w:themeColor="text1"/>
            </w:tcBorders>
            <w:vAlign w:val="center"/>
          </w:tcPr>
          <w:p w14:paraId="4C8A4840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26 (2.7%)</w:t>
            </w:r>
          </w:p>
        </w:tc>
        <w:tc>
          <w:tcPr>
            <w:tcW w:w="1547" w:type="dxa"/>
            <w:tcBorders>
              <w:top w:val="single" w:sz="6" w:space="0" w:color="000000" w:themeColor="text1"/>
            </w:tcBorders>
            <w:vAlign w:val="center"/>
          </w:tcPr>
          <w:p w14:paraId="7002A288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961</w:t>
            </w:r>
          </w:p>
        </w:tc>
        <w:tc>
          <w:tcPr>
            <w:tcW w:w="1728" w:type="dxa"/>
            <w:tcBorders>
              <w:top w:val="single" w:sz="6" w:space="0" w:color="000000" w:themeColor="text1"/>
            </w:tcBorders>
            <w:vAlign w:val="center"/>
          </w:tcPr>
          <w:p w14:paraId="30221FBD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88.5</w:t>
            </w:r>
          </w:p>
        </w:tc>
        <w:tc>
          <w:tcPr>
            <w:tcW w:w="1728" w:type="dxa"/>
            <w:tcBorders>
              <w:top w:val="single" w:sz="6" w:space="0" w:color="000000" w:themeColor="text1"/>
            </w:tcBorders>
            <w:vAlign w:val="center"/>
          </w:tcPr>
          <w:p w14:paraId="28285188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74.8</w:t>
            </w:r>
          </w:p>
        </w:tc>
      </w:tr>
      <w:tr w:rsidR="00DC539E" w14:paraId="74331BD0" w14:textId="77777777" w:rsidTr="00DD4287">
        <w:trPr>
          <w:jc w:val="center"/>
        </w:trPr>
        <w:tc>
          <w:tcPr>
            <w:tcW w:w="1271" w:type="dxa"/>
            <w:vAlign w:val="center"/>
          </w:tcPr>
          <w:p w14:paraId="1A60241C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2010–2014</w:t>
            </w:r>
          </w:p>
        </w:tc>
        <w:tc>
          <w:tcPr>
            <w:tcW w:w="1559" w:type="dxa"/>
            <w:vAlign w:val="center"/>
          </w:tcPr>
          <w:p w14:paraId="755617FE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818 (84.7%)</w:t>
            </w:r>
          </w:p>
        </w:tc>
        <w:tc>
          <w:tcPr>
            <w:tcW w:w="1848" w:type="dxa"/>
            <w:vAlign w:val="center"/>
          </w:tcPr>
          <w:p w14:paraId="02E3529B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130 (13.5%)</w:t>
            </w:r>
          </w:p>
        </w:tc>
        <w:tc>
          <w:tcPr>
            <w:tcW w:w="2071" w:type="dxa"/>
            <w:vAlign w:val="center"/>
          </w:tcPr>
          <w:p w14:paraId="65E4A400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18 (1.9%)</w:t>
            </w:r>
          </w:p>
        </w:tc>
        <w:tc>
          <w:tcPr>
            <w:tcW w:w="1547" w:type="dxa"/>
            <w:vAlign w:val="center"/>
          </w:tcPr>
          <w:p w14:paraId="0F748DD7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966</w:t>
            </w:r>
          </w:p>
        </w:tc>
        <w:tc>
          <w:tcPr>
            <w:tcW w:w="1728" w:type="dxa"/>
            <w:vAlign w:val="center"/>
          </w:tcPr>
          <w:p w14:paraId="05722290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89.5</w:t>
            </w:r>
          </w:p>
        </w:tc>
        <w:tc>
          <w:tcPr>
            <w:tcW w:w="1728" w:type="dxa"/>
            <w:vAlign w:val="center"/>
          </w:tcPr>
          <w:p w14:paraId="06A49D4C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80.3</w:t>
            </w:r>
          </w:p>
        </w:tc>
      </w:tr>
      <w:tr w:rsidR="00DC539E" w14:paraId="055017F1" w14:textId="77777777" w:rsidTr="00DD4287">
        <w:trPr>
          <w:jc w:val="center"/>
        </w:trPr>
        <w:tc>
          <w:tcPr>
            <w:tcW w:w="1271" w:type="dxa"/>
            <w:vAlign w:val="center"/>
          </w:tcPr>
          <w:p w14:paraId="67BEE509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2015–2019</w:t>
            </w:r>
          </w:p>
        </w:tc>
        <w:tc>
          <w:tcPr>
            <w:tcW w:w="1559" w:type="dxa"/>
            <w:vAlign w:val="center"/>
          </w:tcPr>
          <w:p w14:paraId="21656875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818 (86.4%)</w:t>
            </w:r>
          </w:p>
        </w:tc>
        <w:tc>
          <w:tcPr>
            <w:tcW w:w="1848" w:type="dxa"/>
            <w:vAlign w:val="center"/>
          </w:tcPr>
          <w:p w14:paraId="4A651058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101 (10.7%)</w:t>
            </w:r>
          </w:p>
        </w:tc>
        <w:tc>
          <w:tcPr>
            <w:tcW w:w="2071" w:type="dxa"/>
            <w:vAlign w:val="center"/>
          </w:tcPr>
          <w:p w14:paraId="2230D085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28 (3.0%)</w:t>
            </w:r>
          </w:p>
        </w:tc>
        <w:tc>
          <w:tcPr>
            <w:tcW w:w="1547" w:type="dxa"/>
            <w:vAlign w:val="center"/>
          </w:tcPr>
          <w:p w14:paraId="45BC3BE8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947</w:t>
            </w:r>
          </w:p>
        </w:tc>
        <w:tc>
          <w:tcPr>
            <w:tcW w:w="1728" w:type="dxa"/>
            <w:vAlign w:val="center"/>
          </w:tcPr>
          <w:p w14:paraId="615318F5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91.3</w:t>
            </w:r>
          </w:p>
        </w:tc>
        <w:tc>
          <w:tcPr>
            <w:tcW w:w="1728" w:type="dxa"/>
            <w:vAlign w:val="center"/>
          </w:tcPr>
          <w:p w14:paraId="4BF15B80" w14:textId="77777777" w:rsidR="00DC539E" w:rsidRDefault="00DC539E" w:rsidP="00DD4287">
            <w:pPr>
              <w:jc w:val="center"/>
            </w:pPr>
            <w:r>
              <w:rPr>
                <w:sz w:val="20"/>
              </w:rPr>
              <w:t>72.1</w:t>
            </w:r>
          </w:p>
        </w:tc>
      </w:tr>
    </w:tbl>
    <w:p w14:paraId="6CB3353E" w14:textId="77777777" w:rsidR="00DC539E" w:rsidRDefault="00DC539E" w:rsidP="00DC539E">
      <w:pPr>
        <w:rPr>
          <w:i/>
          <w:iCs/>
        </w:rPr>
      </w:pPr>
      <w:r w:rsidRPr="006E0BAC">
        <w:rPr>
          <w:i/>
          <w:iCs/>
        </w:rPr>
        <w:t>Localized and Non-localized 5-year RS values represent observed stage-stratified period estimates for the RS analytic cohort. Unknown/</w:t>
      </w:r>
      <w:proofErr w:type="spellStart"/>
      <w:r w:rsidRPr="006E0BAC">
        <w:rPr>
          <w:i/>
          <w:iCs/>
        </w:rPr>
        <w:t>unstaged</w:t>
      </w:r>
      <w:proofErr w:type="spellEnd"/>
      <w:r w:rsidRPr="006E0BAC">
        <w:rPr>
          <w:i/>
          <w:iCs/>
        </w:rPr>
        <w:t xml:space="preserve"> cases were excluded from stage-stratified survival analyses and are summarized separately in Supplementary Table S2.</w:t>
      </w:r>
    </w:p>
    <w:p w14:paraId="320E6A4F" w14:textId="77777777" w:rsidR="00DC539E" w:rsidRDefault="00DC539E" w:rsidP="00DC539E">
      <w:pPr>
        <w:rPr>
          <w:i/>
          <w:iCs/>
        </w:rPr>
      </w:pPr>
    </w:p>
    <w:p w14:paraId="6E1129FE" w14:textId="77777777" w:rsidR="00DC539E" w:rsidRDefault="00DC539E" w:rsidP="00DC539E">
      <w:r w:rsidRPr="00D66464">
        <w:rPr>
          <w:b/>
          <w:bCs/>
        </w:rPr>
        <w:t>Supplementary Table S4.</w:t>
      </w:r>
      <w:r w:rsidRPr="00D66464">
        <w:t xml:space="preserve"> </w:t>
      </w:r>
      <w:r w:rsidRPr="00810ACC">
        <w:rPr>
          <w:b/>
          <w:bCs/>
        </w:rPr>
        <w:t>Model-based predicted 5-year relative survival for 2020–2024 and corresponding trend parameters by overall cohort and subgroup.</w:t>
      </w:r>
    </w:p>
    <w:tbl>
      <w:tblPr>
        <w:tblW w:w="11134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08"/>
        <w:gridCol w:w="1473"/>
        <w:gridCol w:w="1262"/>
        <w:gridCol w:w="1864"/>
        <w:gridCol w:w="2083"/>
        <w:gridCol w:w="1076"/>
        <w:gridCol w:w="1192"/>
        <w:gridCol w:w="1076"/>
      </w:tblGrid>
      <w:tr w:rsidR="00DC539E" w:rsidRPr="00AE4436" w14:paraId="7812E3DC" w14:textId="77777777" w:rsidTr="00DD4287">
        <w:trPr>
          <w:trHeight w:val="278"/>
          <w:jc w:val="center"/>
        </w:trPr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384F88D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Analysis</w:t>
            </w: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F3FF5B1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Group</w:t>
            </w:r>
          </w:p>
        </w:tc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3C1512F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proofErr w:type="spellStart"/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PredPeriod</w:t>
            </w:r>
            <w:proofErr w:type="spellEnd"/>
          </w:p>
        </w:tc>
        <w:tc>
          <w:tcPr>
            <w:tcW w:w="186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A542F4B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Predicted_</w:t>
            </w:r>
            <w:r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RS</w:t>
            </w: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95CI</w:t>
            </w:r>
          </w:p>
        </w:tc>
        <w:tc>
          <w:tcPr>
            <w:tcW w:w="208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AA74B6F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proofErr w:type="spellStart"/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Slope_pp_per_year</w:t>
            </w:r>
            <w:proofErr w:type="spellEnd"/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F05861D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proofErr w:type="spellStart"/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SlopeSE</w:t>
            </w:r>
            <w:proofErr w:type="spellEnd"/>
          </w:p>
        </w:tc>
        <w:tc>
          <w:tcPr>
            <w:tcW w:w="11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1F6E77F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proofErr w:type="spellStart"/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Slope_t</w:t>
            </w:r>
            <w:proofErr w:type="spellEnd"/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81BA843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proofErr w:type="spellStart"/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Slope_p</w:t>
            </w:r>
            <w:proofErr w:type="spellEnd"/>
          </w:p>
        </w:tc>
      </w:tr>
      <w:tr w:rsidR="00DC539E" w:rsidRPr="00AE4436" w14:paraId="50D2FB4A" w14:textId="77777777" w:rsidTr="00DD4287">
        <w:trPr>
          <w:trHeight w:val="278"/>
          <w:jc w:val="center"/>
        </w:trPr>
        <w:tc>
          <w:tcPr>
            <w:tcW w:w="110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7BC60BE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Overall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0D80933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Overall</w:t>
            </w:r>
          </w:p>
        </w:tc>
        <w:tc>
          <w:tcPr>
            <w:tcW w:w="126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AE5E1DC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2020</w:t>
            </w:r>
            <w:r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-2</w:t>
            </w: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024</w:t>
            </w:r>
          </w:p>
        </w:tc>
        <w:tc>
          <w:tcPr>
            <w:tcW w:w="186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016AA2F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DengXian" w:eastAsia="DengXian" w:hAnsi="DengXian" w:hint="eastAsia"/>
                <w:color w:val="000000"/>
                <w:szCs w:val="22"/>
              </w:rPr>
              <w:t>92.4 (90.1–94.8)</w:t>
            </w:r>
          </w:p>
        </w:tc>
        <w:tc>
          <w:tcPr>
            <w:tcW w:w="208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08BB12E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0.488947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A18FEF6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0.090477</w:t>
            </w:r>
          </w:p>
        </w:tc>
        <w:tc>
          <w:tcPr>
            <w:tcW w:w="11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BFA079F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5.404123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20339F4" w14:textId="77777777" w:rsidR="00DC539E" w:rsidRPr="00AE4436" w:rsidRDefault="00DC539E" w:rsidP="00DD4287">
            <w:pPr>
              <w:widowControl/>
              <w:spacing w:after="0" w:line="240" w:lineRule="auto"/>
              <w:jc w:val="right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0.032577</w:t>
            </w:r>
          </w:p>
        </w:tc>
      </w:tr>
      <w:tr w:rsidR="00DC539E" w:rsidRPr="00AE4436" w14:paraId="6A57BC82" w14:textId="77777777" w:rsidTr="00DD4287">
        <w:trPr>
          <w:trHeight w:val="278"/>
          <w:jc w:val="center"/>
        </w:trPr>
        <w:tc>
          <w:tcPr>
            <w:tcW w:w="1108" w:type="dxa"/>
            <w:noWrap/>
            <w:vAlign w:val="center"/>
            <w:hideMark/>
          </w:tcPr>
          <w:p w14:paraId="48FF21D2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Histology</w:t>
            </w:r>
          </w:p>
        </w:tc>
        <w:tc>
          <w:tcPr>
            <w:tcW w:w="1473" w:type="dxa"/>
            <w:noWrap/>
            <w:vAlign w:val="center"/>
            <w:hideMark/>
          </w:tcPr>
          <w:p w14:paraId="7EC16142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Anaplastic</w:t>
            </w:r>
          </w:p>
        </w:tc>
        <w:tc>
          <w:tcPr>
            <w:tcW w:w="1262" w:type="dxa"/>
            <w:noWrap/>
            <w:vAlign w:val="center"/>
            <w:hideMark/>
          </w:tcPr>
          <w:p w14:paraId="5BBD175D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2020</w:t>
            </w:r>
            <w:r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-2</w:t>
            </w: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024</w:t>
            </w:r>
          </w:p>
        </w:tc>
        <w:tc>
          <w:tcPr>
            <w:tcW w:w="1864" w:type="dxa"/>
            <w:noWrap/>
            <w:vAlign w:val="center"/>
            <w:hideMark/>
          </w:tcPr>
          <w:p w14:paraId="00362454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DengXian" w:eastAsia="DengXian" w:hAnsi="DengXian" w:hint="eastAsia"/>
                <w:color w:val="000000"/>
                <w:szCs w:val="22"/>
              </w:rPr>
              <w:t>80.3 (77.9–82.7)</w:t>
            </w:r>
          </w:p>
        </w:tc>
        <w:tc>
          <w:tcPr>
            <w:tcW w:w="2083" w:type="dxa"/>
            <w:noWrap/>
            <w:vAlign w:val="center"/>
            <w:hideMark/>
          </w:tcPr>
          <w:p w14:paraId="381C6051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1.20642</w:t>
            </w:r>
          </w:p>
        </w:tc>
        <w:tc>
          <w:tcPr>
            <w:tcW w:w="1076" w:type="dxa"/>
            <w:noWrap/>
            <w:vAlign w:val="center"/>
            <w:hideMark/>
          </w:tcPr>
          <w:p w14:paraId="33A7C6F0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0.099618</w:t>
            </w:r>
          </w:p>
        </w:tc>
        <w:tc>
          <w:tcPr>
            <w:tcW w:w="1192" w:type="dxa"/>
            <w:noWrap/>
            <w:vAlign w:val="center"/>
            <w:hideMark/>
          </w:tcPr>
          <w:p w14:paraId="4687C04D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12.110454</w:t>
            </w:r>
          </w:p>
        </w:tc>
        <w:tc>
          <w:tcPr>
            <w:tcW w:w="1076" w:type="dxa"/>
            <w:noWrap/>
            <w:vAlign w:val="center"/>
            <w:hideMark/>
          </w:tcPr>
          <w:p w14:paraId="60E91F04" w14:textId="77777777" w:rsidR="00DC539E" w:rsidRPr="00AE4436" w:rsidRDefault="00DC539E" w:rsidP="00DD4287">
            <w:pPr>
              <w:widowControl/>
              <w:spacing w:after="0" w:line="240" w:lineRule="auto"/>
              <w:jc w:val="right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0.006749</w:t>
            </w:r>
          </w:p>
        </w:tc>
      </w:tr>
      <w:tr w:rsidR="00DC539E" w:rsidRPr="00AE4436" w14:paraId="0FEB2AC2" w14:textId="77777777" w:rsidTr="00DD4287">
        <w:trPr>
          <w:trHeight w:val="278"/>
          <w:jc w:val="center"/>
        </w:trPr>
        <w:tc>
          <w:tcPr>
            <w:tcW w:w="1108" w:type="dxa"/>
            <w:noWrap/>
            <w:vAlign w:val="center"/>
            <w:hideMark/>
          </w:tcPr>
          <w:p w14:paraId="42E7C22F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lastRenderedPageBreak/>
              <w:t>Histology</w:t>
            </w:r>
          </w:p>
        </w:tc>
        <w:tc>
          <w:tcPr>
            <w:tcW w:w="1473" w:type="dxa"/>
            <w:noWrap/>
            <w:vAlign w:val="center"/>
            <w:hideMark/>
          </w:tcPr>
          <w:p w14:paraId="501161AF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Non-anaplastic</w:t>
            </w:r>
          </w:p>
        </w:tc>
        <w:tc>
          <w:tcPr>
            <w:tcW w:w="1262" w:type="dxa"/>
            <w:noWrap/>
            <w:vAlign w:val="center"/>
            <w:hideMark/>
          </w:tcPr>
          <w:p w14:paraId="45DD63E5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2020</w:t>
            </w:r>
            <w:r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-2</w:t>
            </w: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024</w:t>
            </w:r>
          </w:p>
        </w:tc>
        <w:tc>
          <w:tcPr>
            <w:tcW w:w="1864" w:type="dxa"/>
            <w:noWrap/>
            <w:vAlign w:val="center"/>
            <w:hideMark/>
          </w:tcPr>
          <w:p w14:paraId="594E228E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DengXian" w:eastAsia="DengXian" w:hAnsi="DengXian" w:hint="eastAsia"/>
                <w:color w:val="000000"/>
                <w:szCs w:val="22"/>
              </w:rPr>
              <w:t>97.9 (94.9–100.0)</w:t>
            </w:r>
          </w:p>
        </w:tc>
        <w:tc>
          <w:tcPr>
            <w:tcW w:w="2083" w:type="dxa"/>
            <w:noWrap/>
            <w:vAlign w:val="center"/>
            <w:hideMark/>
          </w:tcPr>
          <w:p w14:paraId="25907DAD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0.530024</w:t>
            </w:r>
          </w:p>
        </w:tc>
        <w:tc>
          <w:tcPr>
            <w:tcW w:w="1076" w:type="dxa"/>
            <w:noWrap/>
            <w:vAlign w:val="center"/>
            <w:hideMark/>
          </w:tcPr>
          <w:p w14:paraId="33321264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0.11544</w:t>
            </w:r>
          </w:p>
        </w:tc>
        <w:tc>
          <w:tcPr>
            <w:tcW w:w="1192" w:type="dxa"/>
            <w:noWrap/>
            <w:vAlign w:val="center"/>
            <w:hideMark/>
          </w:tcPr>
          <w:p w14:paraId="22F8572E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4.591347</w:t>
            </w:r>
          </w:p>
        </w:tc>
        <w:tc>
          <w:tcPr>
            <w:tcW w:w="1076" w:type="dxa"/>
            <w:noWrap/>
            <w:vAlign w:val="center"/>
            <w:hideMark/>
          </w:tcPr>
          <w:p w14:paraId="2C3532D0" w14:textId="77777777" w:rsidR="00DC539E" w:rsidRPr="00AE4436" w:rsidRDefault="00DC539E" w:rsidP="00DD4287">
            <w:pPr>
              <w:widowControl/>
              <w:spacing w:after="0" w:line="240" w:lineRule="auto"/>
              <w:jc w:val="right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0.044308</w:t>
            </w:r>
          </w:p>
        </w:tc>
      </w:tr>
      <w:tr w:rsidR="00DC539E" w:rsidRPr="00AE4436" w14:paraId="78784410" w14:textId="77777777" w:rsidTr="00DD4287">
        <w:trPr>
          <w:trHeight w:val="278"/>
          <w:jc w:val="center"/>
        </w:trPr>
        <w:tc>
          <w:tcPr>
            <w:tcW w:w="1108" w:type="dxa"/>
            <w:noWrap/>
            <w:vAlign w:val="center"/>
            <w:hideMark/>
          </w:tcPr>
          <w:p w14:paraId="4BD41C1C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Primary site</w:t>
            </w:r>
          </w:p>
        </w:tc>
        <w:tc>
          <w:tcPr>
            <w:tcW w:w="1473" w:type="dxa"/>
            <w:noWrap/>
            <w:vAlign w:val="center"/>
            <w:hideMark/>
          </w:tcPr>
          <w:p w14:paraId="23472A87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Infratentorial</w:t>
            </w:r>
          </w:p>
        </w:tc>
        <w:tc>
          <w:tcPr>
            <w:tcW w:w="1262" w:type="dxa"/>
            <w:noWrap/>
            <w:vAlign w:val="center"/>
            <w:hideMark/>
          </w:tcPr>
          <w:p w14:paraId="7C373409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2020</w:t>
            </w:r>
            <w:r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-2</w:t>
            </w: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024</w:t>
            </w:r>
          </w:p>
        </w:tc>
        <w:tc>
          <w:tcPr>
            <w:tcW w:w="1864" w:type="dxa"/>
            <w:noWrap/>
            <w:vAlign w:val="center"/>
            <w:hideMark/>
          </w:tcPr>
          <w:p w14:paraId="6CD449E8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DengXian" w:eastAsia="DengXian" w:hAnsi="DengXian" w:hint="eastAsia"/>
                <w:color w:val="000000"/>
                <w:szCs w:val="22"/>
              </w:rPr>
              <w:t>87.8 (82.6–93.0)</w:t>
            </w:r>
          </w:p>
        </w:tc>
        <w:tc>
          <w:tcPr>
            <w:tcW w:w="2083" w:type="dxa"/>
            <w:noWrap/>
            <w:vAlign w:val="center"/>
            <w:hideMark/>
          </w:tcPr>
          <w:p w14:paraId="2724473D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0.601944</w:t>
            </w:r>
          </w:p>
        </w:tc>
        <w:tc>
          <w:tcPr>
            <w:tcW w:w="1076" w:type="dxa"/>
            <w:noWrap/>
            <w:vAlign w:val="center"/>
            <w:hideMark/>
          </w:tcPr>
          <w:p w14:paraId="35CDAFAD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0.201756</w:t>
            </w:r>
          </w:p>
        </w:tc>
        <w:tc>
          <w:tcPr>
            <w:tcW w:w="1192" w:type="dxa"/>
            <w:noWrap/>
            <w:vAlign w:val="center"/>
            <w:hideMark/>
          </w:tcPr>
          <w:p w14:paraId="2ED94263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2.983534</w:t>
            </w:r>
          </w:p>
        </w:tc>
        <w:tc>
          <w:tcPr>
            <w:tcW w:w="1076" w:type="dxa"/>
            <w:noWrap/>
            <w:vAlign w:val="center"/>
            <w:hideMark/>
          </w:tcPr>
          <w:p w14:paraId="5FD48ED4" w14:textId="77777777" w:rsidR="00DC539E" w:rsidRPr="00AE4436" w:rsidRDefault="00DC539E" w:rsidP="00DD4287">
            <w:pPr>
              <w:widowControl/>
              <w:spacing w:after="0" w:line="240" w:lineRule="auto"/>
              <w:jc w:val="right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0.096375</w:t>
            </w:r>
          </w:p>
        </w:tc>
      </w:tr>
      <w:tr w:rsidR="00DC539E" w:rsidRPr="00AE4436" w14:paraId="4735FD0A" w14:textId="77777777" w:rsidTr="00DD4287">
        <w:trPr>
          <w:trHeight w:val="278"/>
          <w:jc w:val="center"/>
        </w:trPr>
        <w:tc>
          <w:tcPr>
            <w:tcW w:w="1108" w:type="dxa"/>
            <w:noWrap/>
            <w:vAlign w:val="center"/>
            <w:hideMark/>
          </w:tcPr>
          <w:p w14:paraId="38D80CFA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Primary site</w:t>
            </w:r>
          </w:p>
        </w:tc>
        <w:tc>
          <w:tcPr>
            <w:tcW w:w="1473" w:type="dxa"/>
            <w:noWrap/>
            <w:vAlign w:val="center"/>
            <w:hideMark/>
          </w:tcPr>
          <w:p w14:paraId="5376B3B4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Other intracranial</w:t>
            </w:r>
          </w:p>
        </w:tc>
        <w:tc>
          <w:tcPr>
            <w:tcW w:w="1262" w:type="dxa"/>
            <w:noWrap/>
            <w:vAlign w:val="center"/>
            <w:hideMark/>
          </w:tcPr>
          <w:p w14:paraId="0BD8D4EA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2020</w:t>
            </w:r>
            <w:r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-2</w:t>
            </w: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024</w:t>
            </w:r>
          </w:p>
        </w:tc>
        <w:tc>
          <w:tcPr>
            <w:tcW w:w="1864" w:type="dxa"/>
            <w:noWrap/>
            <w:vAlign w:val="center"/>
            <w:hideMark/>
          </w:tcPr>
          <w:p w14:paraId="186CC44A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DengXian" w:eastAsia="DengXian" w:hAnsi="DengXian" w:hint="eastAsia"/>
                <w:color w:val="000000"/>
                <w:szCs w:val="22"/>
              </w:rPr>
              <w:t>87.9 (79.4–96.3)</w:t>
            </w:r>
          </w:p>
        </w:tc>
        <w:tc>
          <w:tcPr>
            <w:tcW w:w="2083" w:type="dxa"/>
            <w:noWrap/>
            <w:vAlign w:val="center"/>
            <w:hideMark/>
          </w:tcPr>
          <w:p w14:paraId="1FB315F7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0.879884</w:t>
            </w:r>
          </w:p>
        </w:tc>
        <w:tc>
          <w:tcPr>
            <w:tcW w:w="1076" w:type="dxa"/>
            <w:noWrap/>
            <w:vAlign w:val="center"/>
            <w:hideMark/>
          </w:tcPr>
          <w:p w14:paraId="345E585B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0.326523</w:t>
            </w:r>
          </w:p>
        </w:tc>
        <w:tc>
          <w:tcPr>
            <w:tcW w:w="1192" w:type="dxa"/>
            <w:noWrap/>
            <w:vAlign w:val="center"/>
            <w:hideMark/>
          </w:tcPr>
          <w:p w14:paraId="22707AAB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2.694707</w:t>
            </w:r>
          </w:p>
        </w:tc>
        <w:tc>
          <w:tcPr>
            <w:tcW w:w="1076" w:type="dxa"/>
            <w:noWrap/>
            <w:vAlign w:val="center"/>
            <w:hideMark/>
          </w:tcPr>
          <w:p w14:paraId="501EC345" w14:textId="77777777" w:rsidR="00DC539E" w:rsidRPr="00AE4436" w:rsidRDefault="00DC539E" w:rsidP="00DD4287">
            <w:pPr>
              <w:widowControl/>
              <w:spacing w:after="0" w:line="240" w:lineRule="auto"/>
              <w:jc w:val="right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0.114533</w:t>
            </w:r>
          </w:p>
        </w:tc>
      </w:tr>
      <w:tr w:rsidR="00DC539E" w:rsidRPr="00AE4436" w14:paraId="36391EF7" w14:textId="77777777" w:rsidTr="00DD4287">
        <w:trPr>
          <w:trHeight w:val="278"/>
          <w:jc w:val="center"/>
        </w:trPr>
        <w:tc>
          <w:tcPr>
            <w:tcW w:w="1108" w:type="dxa"/>
            <w:noWrap/>
            <w:vAlign w:val="center"/>
            <w:hideMark/>
          </w:tcPr>
          <w:p w14:paraId="7D3953B4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Primary site</w:t>
            </w:r>
          </w:p>
        </w:tc>
        <w:tc>
          <w:tcPr>
            <w:tcW w:w="1473" w:type="dxa"/>
            <w:noWrap/>
            <w:vAlign w:val="center"/>
            <w:hideMark/>
          </w:tcPr>
          <w:p w14:paraId="1B4D0FE3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Spinal/Cauda equina</w:t>
            </w:r>
          </w:p>
        </w:tc>
        <w:tc>
          <w:tcPr>
            <w:tcW w:w="1262" w:type="dxa"/>
            <w:noWrap/>
            <w:vAlign w:val="center"/>
            <w:hideMark/>
          </w:tcPr>
          <w:p w14:paraId="766735BA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2020</w:t>
            </w:r>
            <w:r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-2</w:t>
            </w: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024</w:t>
            </w:r>
          </w:p>
        </w:tc>
        <w:tc>
          <w:tcPr>
            <w:tcW w:w="1864" w:type="dxa"/>
            <w:noWrap/>
            <w:vAlign w:val="center"/>
            <w:hideMark/>
          </w:tcPr>
          <w:p w14:paraId="70851E99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DengXian" w:eastAsia="DengXian" w:hAnsi="DengXian" w:hint="eastAsia"/>
                <w:color w:val="000000"/>
                <w:szCs w:val="22"/>
              </w:rPr>
              <w:t>96.1 (95.3–96.9)</w:t>
            </w:r>
          </w:p>
        </w:tc>
        <w:tc>
          <w:tcPr>
            <w:tcW w:w="2083" w:type="dxa"/>
            <w:noWrap/>
            <w:vAlign w:val="center"/>
            <w:hideMark/>
          </w:tcPr>
          <w:p w14:paraId="3DF3C181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0.035389</w:t>
            </w:r>
          </w:p>
        </w:tc>
        <w:tc>
          <w:tcPr>
            <w:tcW w:w="1076" w:type="dxa"/>
            <w:noWrap/>
            <w:vAlign w:val="center"/>
            <w:hideMark/>
          </w:tcPr>
          <w:p w14:paraId="4B533752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0.031505</w:t>
            </w:r>
          </w:p>
        </w:tc>
        <w:tc>
          <w:tcPr>
            <w:tcW w:w="1192" w:type="dxa"/>
            <w:noWrap/>
            <w:vAlign w:val="center"/>
            <w:hideMark/>
          </w:tcPr>
          <w:p w14:paraId="527E2D3D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1.123286</w:t>
            </w:r>
          </w:p>
        </w:tc>
        <w:tc>
          <w:tcPr>
            <w:tcW w:w="1076" w:type="dxa"/>
            <w:noWrap/>
            <w:vAlign w:val="center"/>
            <w:hideMark/>
          </w:tcPr>
          <w:p w14:paraId="4D9A5EF1" w14:textId="77777777" w:rsidR="00DC539E" w:rsidRPr="00AE4436" w:rsidRDefault="00DC539E" w:rsidP="00DD4287">
            <w:pPr>
              <w:widowControl/>
              <w:spacing w:after="0" w:line="240" w:lineRule="auto"/>
              <w:jc w:val="right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0.378038</w:t>
            </w:r>
          </w:p>
        </w:tc>
      </w:tr>
      <w:tr w:rsidR="00DC539E" w:rsidRPr="00AE4436" w14:paraId="571C826C" w14:textId="77777777" w:rsidTr="00DD4287">
        <w:trPr>
          <w:trHeight w:val="278"/>
          <w:jc w:val="center"/>
        </w:trPr>
        <w:tc>
          <w:tcPr>
            <w:tcW w:w="1108" w:type="dxa"/>
            <w:noWrap/>
            <w:vAlign w:val="center"/>
            <w:hideMark/>
          </w:tcPr>
          <w:p w14:paraId="4865B449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Stage</w:t>
            </w:r>
          </w:p>
        </w:tc>
        <w:tc>
          <w:tcPr>
            <w:tcW w:w="1473" w:type="dxa"/>
            <w:noWrap/>
            <w:vAlign w:val="center"/>
            <w:hideMark/>
          </w:tcPr>
          <w:p w14:paraId="00C22419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Localized</w:t>
            </w:r>
          </w:p>
        </w:tc>
        <w:tc>
          <w:tcPr>
            <w:tcW w:w="1262" w:type="dxa"/>
            <w:noWrap/>
            <w:vAlign w:val="center"/>
            <w:hideMark/>
          </w:tcPr>
          <w:p w14:paraId="32EF82D0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2020</w:t>
            </w:r>
            <w:r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-2</w:t>
            </w: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024</w:t>
            </w:r>
          </w:p>
        </w:tc>
        <w:tc>
          <w:tcPr>
            <w:tcW w:w="1864" w:type="dxa"/>
            <w:noWrap/>
            <w:vAlign w:val="center"/>
            <w:hideMark/>
          </w:tcPr>
          <w:p w14:paraId="297A3417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DengXian" w:eastAsia="DengXian" w:hAnsi="DengXian" w:hint="eastAsia"/>
                <w:color w:val="000000"/>
                <w:szCs w:val="22"/>
              </w:rPr>
              <w:t>92.6 (91.6–93.6)</w:t>
            </w:r>
          </w:p>
        </w:tc>
        <w:tc>
          <w:tcPr>
            <w:tcW w:w="2083" w:type="dxa"/>
            <w:noWrap/>
            <w:vAlign w:val="center"/>
            <w:hideMark/>
          </w:tcPr>
          <w:p w14:paraId="502D231E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0.28225</w:t>
            </w:r>
          </w:p>
        </w:tc>
        <w:tc>
          <w:tcPr>
            <w:tcW w:w="1076" w:type="dxa"/>
            <w:noWrap/>
            <w:vAlign w:val="center"/>
            <w:hideMark/>
          </w:tcPr>
          <w:p w14:paraId="6EA92667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0.047416</w:t>
            </w:r>
          </w:p>
        </w:tc>
        <w:tc>
          <w:tcPr>
            <w:tcW w:w="1192" w:type="dxa"/>
            <w:noWrap/>
            <w:vAlign w:val="center"/>
            <w:hideMark/>
          </w:tcPr>
          <w:p w14:paraId="6A33202C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5.952653</w:t>
            </w:r>
          </w:p>
        </w:tc>
        <w:tc>
          <w:tcPr>
            <w:tcW w:w="1076" w:type="dxa"/>
            <w:noWrap/>
            <w:vAlign w:val="center"/>
            <w:hideMark/>
          </w:tcPr>
          <w:p w14:paraId="46662169" w14:textId="77777777" w:rsidR="00DC539E" w:rsidRPr="00AE4436" w:rsidRDefault="00DC539E" w:rsidP="00DD4287">
            <w:pPr>
              <w:widowControl/>
              <w:spacing w:after="0" w:line="240" w:lineRule="auto"/>
              <w:jc w:val="right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0.105958</w:t>
            </w:r>
          </w:p>
        </w:tc>
      </w:tr>
      <w:tr w:rsidR="00DC539E" w:rsidRPr="00AE4436" w14:paraId="2F1EDFD4" w14:textId="77777777" w:rsidTr="00DD4287">
        <w:trPr>
          <w:trHeight w:val="278"/>
          <w:jc w:val="center"/>
        </w:trPr>
        <w:tc>
          <w:tcPr>
            <w:tcW w:w="1108" w:type="dxa"/>
            <w:noWrap/>
            <w:vAlign w:val="center"/>
            <w:hideMark/>
          </w:tcPr>
          <w:p w14:paraId="7BC45BCC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Stage</w:t>
            </w:r>
          </w:p>
        </w:tc>
        <w:tc>
          <w:tcPr>
            <w:tcW w:w="1473" w:type="dxa"/>
            <w:noWrap/>
            <w:vAlign w:val="center"/>
            <w:hideMark/>
          </w:tcPr>
          <w:p w14:paraId="370296E6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Non-localized</w:t>
            </w:r>
          </w:p>
        </w:tc>
        <w:tc>
          <w:tcPr>
            <w:tcW w:w="1262" w:type="dxa"/>
            <w:noWrap/>
            <w:vAlign w:val="center"/>
            <w:hideMark/>
          </w:tcPr>
          <w:p w14:paraId="7963BDB5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2020</w:t>
            </w:r>
            <w:r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-2</w:t>
            </w: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024</w:t>
            </w:r>
          </w:p>
        </w:tc>
        <w:tc>
          <w:tcPr>
            <w:tcW w:w="1864" w:type="dxa"/>
            <w:noWrap/>
            <w:vAlign w:val="center"/>
            <w:hideMark/>
          </w:tcPr>
          <w:p w14:paraId="0271C5E3" w14:textId="77777777" w:rsidR="00DC539E" w:rsidRPr="00AE4436" w:rsidRDefault="00DC539E" w:rsidP="00DD4287">
            <w:pPr>
              <w:widowControl/>
              <w:spacing w:after="0" w:line="240" w:lineRule="auto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DengXian" w:eastAsia="DengXian" w:hAnsi="DengXian" w:hint="eastAsia"/>
                <w:color w:val="000000"/>
                <w:szCs w:val="22"/>
              </w:rPr>
              <w:t>74.8 (55.6–94.0)</w:t>
            </w:r>
          </w:p>
        </w:tc>
        <w:tc>
          <w:tcPr>
            <w:tcW w:w="2083" w:type="dxa"/>
            <w:noWrap/>
            <w:vAlign w:val="center"/>
            <w:hideMark/>
          </w:tcPr>
          <w:p w14:paraId="61C15620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-0.142268</w:t>
            </w:r>
          </w:p>
        </w:tc>
        <w:tc>
          <w:tcPr>
            <w:tcW w:w="1076" w:type="dxa"/>
            <w:noWrap/>
            <w:vAlign w:val="center"/>
            <w:hideMark/>
          </w:tcPr>
          <w:p w14:paraId="51120077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0.863903</w:t>
            </w:r>
          </w:p>
        </w:tc>
        <w:tc>
          <w:tcPr>
            <w:tcW w:w="1192" w:type="dxa"/>
            <w:noWrap/>
            <w:vAlign w:val="center"/>
            <w:hideMark/>
          </w:tcPr>
          <w:p w14:paraId="3AA8A2DB" w14:textId="77777777" w:rsidR="00DC539E" w:rsidRPr="00AE4436" w:rsidRDefault="00DC539E" w:rsidP="00DD4287">
            <w:pPr>
              <w:widowControl/>
              <w:spacing w:after="0" w:line="240" w:lineRule="auto"/>
              <w:jc w:val="center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-0.164681</w:t>
            </w:r>
          </w:p>
        </w:tc>
        <w:tc>
          <w:tcPr>
            <w:tcW w:w="1076" w:type="dxa"/>
            <w:noWrap/>
            <w:vAlign w:val="center"/>
            <w:hideMark/>
          </w:tcPr>
          <w:p w14:paraId="727C8C4A" w14:textId="77777777" w:rsidR="00DC539E" w:rsidRPr="00AE4436" w:rsidRDefault="00DC539E" w:rsidP="00DD4287">
            <w:pPr>
              <w:widowControl/>
              <w:spacing w:after="0" w:line="240" w:lineRule="auto"/>
              <w:jc w:val="right"/>
              <w:rPr>
                <w:rFonts w:ascii="DengXian" w:eastAsia="DengXian" w:hAnsi="DengXian" w:cs="SimSun"/>
                <w:color w:val="000000"/>
                <w:kern w:val="0"/>
                <w:szCs w:val="22"/>
                <w14:ligatures w14:val="none"/>
              </w:rPr>
            </w:pPr>
            <w:r w:rsidRPr="00AE4436">
              <w:rPr>
                <w:rFonts w:ascii="DengXian" w:eastAsia="DengXian" w:hAnsi="DengXian" w:cs="SimSun" w:hint="eastAsia"/>
                <w:color w:val="000000"/>
                <w:kern w:val="0"/>
                <w:szCs w:val="22"/>
                <w14:ligatures w14:val="none"/>
              </w:rPr>
              <w:t>0.896094</w:t>
            </w:r>
          </w:p>
        </w:tc>
      </w:tr>
    </w:tbl>
    <w:p w14:paraId="4E7DA60D" w14:textId="77777777" w:rsidR="00DC539E" w:rsidRPr="00D66464" w:rsidRDefault="00DC539E" w:rsidP="00DC539E"/>
    <w:p w14:paraId="455818FD" w14:textId="77777777" w:rsidR="00DC539E" w:rsidRPr="00810ACC" w:rsidRDefault="00DC539E" w:rsidP="00DC539E">
      <w:pPr>
        <w:rPr>
          <w:i/>
          <w:iCs/>
        </w:rPr>
      </w:pPr>
      <w:r w:rsidRPr="00810ACC">
        <w:rPr>
          <w:i/>
          <w:iCs/>
        </w:rPr>
        <w:t>Predicted values for 2020–2024 were generated using models on the linear scale with diagnosis-period mid-year as the time variable and weights equal to the inverse variance of each observed estimate. The reported 95% confidence intervals reflect uncertainty around the predicted mean.</w:t>
      </w:r>
    </w:p>
    <w:p w14:paraId="290C7263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39E"/>
    <w:rsid w:val="00066677"/>
    <w:rsid w:val="003A4E89"/>
    <w:rsid w:val="00556784"/>
    <w:rsid w:val="008B07A6"/>
    <w:rsid w:val="00987B63"/>
    <w:rsid w:val="00CE0334"/>
    <w:rsid w:val="00D31E7D"/>
    <w:rsid w:val="00DC5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5730F"/>
  <w15:chartTrackingRefBased/>
  <w15:docId w15:val="{559802EA-841F-418A-9B3D-6F128C5B3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539E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539E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539E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539E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539E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539E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539E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539E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539E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539E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53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53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53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53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53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53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53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53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53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539E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DC5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539E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C53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539E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DC53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539E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DC53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539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53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539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C539E"/>
    <w:pPr>
      <w:spacing w:after="0" w:line="240" w:lineRule="auto"/>
    </w:pPr>
    <w:rPr>
      <w:rFonts w:eastAsiaTheme="minorEastAsia"/>
      <w:sz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375</Words>
  <Characters>2388</Characters>
  <Application>Microsoft Office Word</Application>
  <DocSecurity>0</DocSecurity>
  <Lines>204</Lines>
  <Paragraphs>159</Paragraphs>
  <ScaleCrop>false</ScaleCrop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2026-04-07T17:41:00Z</dcterms:created>
  <dcterms:modified xsi:type="dcterms:W3CDTF">2026-04-07T17:42:00Z</dcterms:modified>
</cp:coreProperties>
</file>