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4025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60B216CB" w14:textId="368F3EA3" w:rsidR="008B4EA4" w:rsidRPr="00C70484" w:rsidRDefault="008B4EA4" w:rsidP="008B4EA4">
      <w:pPr>
        <w:pStyle w:val="af3"/>
        <w:jc w:val="left"/>
        <w:rPr>
          <w:b/>
          <w:bCs/>
          <w:sz w:val="22"/>
          <w:szCs w:val="22"/>
        </w:rPr>
      </w:pPr>
      <w:r w:rsidRPr="00C70484">
        <w:rPr>
          <w:rFonts w:hint="eastAsia"/>
          <w:b/>
          <w:bCs/>
          <w:sz w:val="22"/>
          <w:szCs w:val="22"/>
        </w:rPr>
        <w:t>T</w:t>
      </w:r>
      <w:r w:rsidRPr="00C70484">
        <w:rPr>
          <w:b/>
          <w:bCs/>
          <w:sz w:val="22"/>
          <w:szCs w:val="22"/>
        </w:rPr>
        <w:t>able 1</w:t>
      </w:r>
      <w:r w:rsidRPr="00C70484">
        <w:rPr>
          <w:rFonts w:eastAsiaTheme="minorEastAsia" w:hint="eastAsia"/>
          <w:b/>
          <w:bCs/>
          <w:sz w:val="22"/>
          <w:szCs w:val="22"/>
        </w:rPr>
        <w:t>.</w:t>
      </w:r>
      <w:r w:rsidRPr="00C70484">
        <w:rPr>
          <w:b/>
          <w:bCs/>
          <w:sz w:val="22"/>
          <w:szCs w:val="22"/>
        </w:rPr>
        <w:t xml:space="preserve"> Clinical</w:t>
      </w:r>
      <w:r w:rsidRPr="00C70484">
        <w:rPr>
          <w:rFonts w:eastAsiaTheme="minorEastAsia" w:hint="eastAsia"/>
          <w:b/>
          <w:bCs/>
          <w:sz w:val="22"/>
          <w:szCs w:val="22"/>
        </w:rPr>
        <w:t xml:space="preserve"> data </w:t>
      </w:r>
      <w:r w:rsidRPr="00C70484">
        <w:rPr>
          <w:rFonts w:eastAsiaTheme="minorEastAsia"/>
          <w:b/>
          <w:bCs/>
          <w:sz w:val="22"/>
          <w:szCs w:val="22"/>
        </w:rPr>
        <w:t>of the Patients</w:t>
      </w:r>
      <w:r w:rsidRPr="00C70484">
        <w:rPr>
          <w:rFonts w:ascii="宋体" w:eastAsia="宋体" w:hAnsi="宋体" w:cs="宋体" w:hint="eastAsia"/>
          <w:b/>
          <w:bCs/>
          <w:sz w:val="22"/>
          <w:szCs w:val="22"/>
        </w:rPr>
        <w:t>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4856"/>
        <w:gridCol w:w="3152"/>
        <w:gridCol w:w="3152"/>
        <w:gridCol w:w="3152"/>
        <w:gridCol w:w="967"/>
      </w:tblGrid>
      <w:tr w:rsidR="00DD7605" w:rsidRPr="00CC300E" w14:paraId="0088AF1B" w14:textId="77777777" w:rsidTr="00CC300E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3E0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bookmarkStart w:id="0" w:name="_Hlk204775854"/>
            <w:bookmarkStart w:id="1" w:name="_Hlk204618001"/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Characteristic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770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Overall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br/>
              <w:t>N = 2,791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EAE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test set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br/>
              <w:t>N = 836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BC4C" w14:textId="7C8A2106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tra</w:t>
            </w:r>
            <w:r w:rsidR="00C54D9C">
              <w:rPr>
                <w:rFonts w:ascii="Times New Roman" w:eastAsiaTheme="minorEastAsia" w:hAnsi="Times New Roman" w:cs="Times New Roman" w:hint="eastAsia"/>
                <w:b/>
                <w:color w:val="000000"/>
                <w:kern w:val="0"/>
                <w:szCs w:val="22"/>
                <w14:ligatures w14:val="none"/>
              </w:rPr>
              <w:t>i</w:t>
            </w: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ning set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br/>
              <w:t>N = 1,955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664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p-value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2</w:t>
            </w:r>
          </w:p>
        </w:tc>
      </w:tr>
      <w:bookmarkEnd w:id="0"/>
      <w:tr w:rsidR="00DD7605" w:rsidRPr="00CC300E" w14:paraId="421C0615" w14:textId="77777777" w:rsidTr="00CC300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6073" w14:textId="1EE00B0B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Age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years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D3C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61.00 (52.00, 71.00)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460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61.00 (51.00, 71.00)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517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61.00 (52.00, 72.00)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EA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0.295</w:t>
            </w:r>
          </w:p>
        </w:tc>
      </w:tr>
      <w:tr w:rsidR="00DD7605" w:rsidRPr="00CC300E" w14:paraId="6EAA83F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399B" w14:textId="39F61BAE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D15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DA6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9FCB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FF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0.411</w:t>
            </w:r>
          </w:p>
        </w:tc>
      </w:tr>
      <w:tr w:rsidR="00DD7605" w:rsidRPr="00CC300E" w14:paraId="0B3A9A7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91F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5DD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1,865.00 (66.82%)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E80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568.00 (67.94%)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972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1,297.00 (66.34%)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7C4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4991D8D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7A6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C3F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926.00 (33.18%)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DE6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268.00 (32.06%)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C86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658.00 (33.66%)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D1DC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6495F21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6394" w14:textId="6C7BC12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Height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cm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1CC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164.00 (157.00, 170.00)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BE0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164.00 (157.00, 170.00)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554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164.00 (157.00, 170.00)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624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0.304</w:t>
            </w:r>
          </w:p>
        </w:tc>
      </w:tr>
      <w:tr w:rsidR="00DD7605" w:rsidRPr="00CC300E" w14:paraId="02096F8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5477" w14:textId="052BCDFD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Body Weight</w:t>
            </w:r>
            <w:r w:rsidR="00C54D9C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kg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399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62.00 (55.00, 73.00)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1FF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62.00 (55.00, 74.80)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EC7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62.00 (54.00, 72.50)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8C9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0.186</w:t>
            </w:r>
          </w:p>
        </w:tc>
      </w:tr>
      <w:tr w:rsidR="00DD7605" w:rsidRPr="00CC300E" w14:paraId="6FFFC10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3188" w14:textId="5607D2B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BMI</w:t>
            </w:r>
            <w:r w:rsidR="00C54D9C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(kg/m²)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F2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23.53 (20.76, 26.67)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C73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23.53 (20.98, 27.05)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A37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23.51 (20.76, 26.57)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6E4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0.079</w:t>
            </w:r>
          </w:p>
        </w:tc>
      </w:tr>
      <w:tr w:rsidR="00DD7605" w:rsidRPr="00CC300E" w14:paraId="60600CD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1F5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Educational Attainment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11EB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188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905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344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0.129</w:t>
            </w:r>
          </w:p>
        </w:tc>
      </w:tr>
      <w:tr w:rsidR="00DD7605" w:rsidRPr="00CC300E" w14:paraId="75FB622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67E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Associate Degree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92D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608.00 (21.78%)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0E3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202.00 (24.16%)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3DC4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406.00 (20.77%)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75F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09387A9B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D281" w14:textId="6BDB7999" w:rsidR="00DD7605" w:rsidRPr="00CC300E" w:rsidRDefault="00CC300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>Mediate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Education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726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1,335.00 (47.83%)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2EDE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384.00 (45.93%)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77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951.00 (48.64%)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E62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18BFE13B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394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Primary Education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BEF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848.00 (30.38%)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0A3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250.00 (29.90%)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40E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598.00 (30.59%)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0FB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70D03C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457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Smoking History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AB9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935.00 (33.50%)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616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277.00 (33.13%)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547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658.00 (33.66%)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FFB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0.788</w:t>
            </w:r>
          </w:p>
        </w:tc>
      </w:tr>
      <w:tr w:rsidR="00DD7605" w:rsidRPr="00CC300E" w14:paraId="22DD46D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98F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Alcohol Use History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8FE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777.00 (27.84%)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608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234.00 (27.99%)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BDF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543.00 (27.77%)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5E0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0.907</w:t>
            </w:r>
          </w:p>
        </w:tc>
      </w:tr>
      <w:tr w:rsidR="00DD7605" w:rsidRPr="00CC300E" w14:paraId="379C564B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F86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Shock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428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13.00 (0.47%)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67A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4.00 (0.48%)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0C8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9.00 (0.46%)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3EC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&gt;0.999</w:t>
            </w:r>
          </w:p>
        </w:tc>
      </w:tr>
      <w:tr w:rsidR="00DD7605" w:rsidRPr="00CC300E" w14:paraId="56C0486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4F7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Hypothyroidism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685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366.00 (13.11%)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935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125.00 (14.95%)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95D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241.00 (12.33%)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86F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0.060</w:t>
            </w:r>
          </w:p>
        </w:tc>
      </w:tr>
      <w:tr w:rsidR="00DD7605" w:rsidRPr="00CC300E" w14:paraId="350BCEB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EBD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Postoperative Status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48F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535.00 (19.17%)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846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158.00 (18.90%)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08C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377.00 (19.28%)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DFF6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0.813</w:t>
            </w:r>
          </w:p>
        </w:tc>
      </w:tr>
      <w:tr w:rsidR="00DD7605" w:rsidRPr="00CC300E" w14:paraId="3AB340B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E4AE" w14:textId="63C4DCBF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Baseline Body Temperature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ADA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36.60 (36.40, 36.80)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62E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36.60 (36.40, 36.90)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976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36.60 (36.40, 36.80)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045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0.265</w:t>
            </w:r>
          </w:p>
        </w:tc>
      </w:tr>
      <w:tr w:rsidR="00DD7605" w:rsidRPr="00CC300E" w14:paraId="370DC39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894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Consciousness Level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0A83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1364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A7F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70E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0.564</w:t>
            </w:r>
          </w:p>
        </w:tc>
      </w:tr>
      <w:tr w:rsidR="00DD7605" w:rsidRPr="00CC300E" w14:paraId="7CECFBA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DC0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Alert and Oriented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F6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1,914.00 (68.60%)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B34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580.00 (69.38%)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05B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1,334.00 (68.27%)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1CDB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A145B5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302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Impaired Consciousness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4DD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876.00 (31.40%)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E6A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256.00 (30.62%)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9501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620.00 (31.73%)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3768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4312813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0C1D0" w14:textId="514EC5D1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SpO₂</w:t>
            </w:r>
            <w:r w:rsidR="00C54D9C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%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45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(97.00, 99.00)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5F2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(97.00, 99.00)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67E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(97.00, 99.00)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279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0.067</w:t>
            </w:r>
          </w:p>
        </w:tc>
      </w:tr>
      <w:tr w:rsidR="00DD7605" w:rsidRPr="00CC300E" w14:paraId="28464B6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8E52" w14:textId="0263FF8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RR</w:t>
            </w:r>
            <w:r w:rsidR="00C54D9C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(per minute)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9EE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F55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7E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20.00 (18.00,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CB5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0.498</w:t>
            </w:r>
          </w:p>
        </w:tc>
      </w:tr>
      <w:tr w:rsidR="00DD7605" w:rsidRPr="00CC300E" w14:paraId="179F21A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BD7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>Heart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01D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89.00 (78.00,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F11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89.00 (78.00,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E4D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89.00 (77.00,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6A9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0.730</w:t>
            </w:r>
          </w:p>
        </w:tc>
      </w:tr>
      <w:tr w:rsidR="00DD7605" w:rsidRPr="00CC300E" w14:paraId="424F522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E45B" w14:textId="748BAC09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SBP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503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126.00 (111.00,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7A6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126.00 (111.00, 143.00)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26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127.00 (110.00,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AE4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0.685</w:t>
            </w:r>
          </w:p>
        </w:tc>
      </w:tr>
      <w:tr w:rsidR="00DD7605" w:rsidRPr="00CC300E" w14:paraId="55B7226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67C6" w14:textId="12557C3B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DBP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0D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70.00 (61.00,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B5F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70.00 (61.00,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A0E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70.00 (61.00,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4BB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0.885</w:t>
            </w:r>
          </w:p>
        </w:tc>
      </w:tr>
      <w:tr w:rsidR="00DD7605" w:rsidRPr="00CC300E" w14:paraId="22F9319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172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Mechanical Ventilation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C49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675.00 (26.74%)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5AA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221.00 (29.00%)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857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454.00 (25.77%)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075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0.092</w:t>
            </w:r>
          </w:p>
        </w:tc>
      </w:tr>
      <w:tr w:rsidR="00DD7605" w:rsidRPr="00CC300E" w14:paraId="0B74242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A00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Artificial Airway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2AC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497.00 (19.69%)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8A5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170.00 (22.31%)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8C4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327.00 (18.56%)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A93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0.030</w:t>
            </w:r>
          </w:p>
        </w:tc>
      </w:tr>
      <w:tr w:rsidR="00DD7605" w:rsidRPr="00CC300E" w14:paraId="2075FF1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CEF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Airway Humidification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431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775.00 (30.71%)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1BD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241.00 (31.63%)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823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534.00 (30.31%)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190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0.509</w:t>
            </w:r>
          </w:p>
        </w:tc>
      </w:tr>
      <w:tr w:rsidR="00DD7605" w:rsidRPr="00CC300E" w14:paraId="7C5ACC2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B007" w14:textId="31A30BB6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HCO3- (mmol/L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EFD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22.90 (20.10, 25.60)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934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23.10 (20.20, 25.65)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DCA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22.90 (20.00, 25.50)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807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0.206</w:t>
            </w:r>
          </w:p>
        </w:tc>
      </w:tr>
      <w:tr w:rsidR="00DD7605" w:rsidRPr="00CC300E" w14:paraId="1D9623D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41E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K+ 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CC7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4.20 (3.80, 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6B0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4.20 (3.80, 4.65)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4F1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4.20 (3.80, 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3649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&gt;0.999</w:t>
            </w:r>
          </w:p>
        </w:tc>
      </w:tr>
      <w:tr w:rsidR="00DD7605" w:rsidRPr="00CC300E" w14:paraId="21287778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7B3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CA2+ 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29E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(1.05,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06C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(1.05, 1.18)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8AB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(1.05,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251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0.788</w:t>
            </w:r>
          </w:p>
        </w:tc>
      </w:tr>
      <w:tr w:rsidR="00DD7605" w:rsidRPr="00CC300E" w14:paraId="10E9221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F75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Lac(mmol/L)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4F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1.00 (0.70,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D5A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1.00 (0.70, 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51D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1.00 (0.70,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8DB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0.974</w:t>
            </w:r>
          </w:p>
        </w:tc>
      </w:tr>
      <w:tr w:rsidR="00DD7605" w:rsidRPr="00CC300E" w14:paraId="6ED7574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5F57" w14:textId="7B89E2C6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Glu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mmol/L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7E4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8.30 (6.30, 11.20)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0BF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8.10 (6.25, 11.00)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AF9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8.40 (6.40, 11.30)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EC4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0.403</w:t>
            </w:r>
          </w:p>
        </w:tc>
      </w:tr>
      <w:tr w:rsidR="00DD7605" w:rsidRPr="00CC300E" w14:paraId="64FB4498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6088" w14:textId="043FB3FC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HGB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32E6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83.00 (70.00,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F07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83.00 (70.00,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585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83.00 (70.00,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2FB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0.305</w:t>
            </w:r>
          </w:p>
        </w:tc>
      </w:tr>
      <w:tr w:rsidR="00DD7605" w:rsidRPr="00CC300E" w14:paraId="5AF7463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5A6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PLT(×10⁹/L)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08F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132.00 (81.00, 197.00)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C6E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127.50 (77.50, 193.00)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DB4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134.00 (83.00, 198.00)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842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0.065</w:t>
            </w:r>
          </w:p>
        </w:tc>
      </w:tr>
      <w:tr w:rsidR="00DD7605" w:rsidRPr="00CC300E" w14:paraId="06E36CD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D1AD" w14:textId="1AE88F55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RBC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 ×</w:t>
            </w:r>
            <w:proofErr w:type="gram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10¹²/L)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BE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2.83 (2.36, 3.43)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A68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2.81 (2.36, 3.41)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7AE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2.85 (2.37, 3.43)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9DA2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0.484</w:t>
            </w:r>
          </w:p>
        </w:tc>
      </w:tr>
      <w:tr w:rsidR="00DD7605" w:rsidRPr="00CC300E" w14:paraId="04D65A4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C63F" w14:textId="66CF7FF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Hct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58C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25.90 (21.90, 31.30)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51E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25.70 (21.80, 31.10)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724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(21.90, 31.30)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7DC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0.305</w:t>
            </w:r>
          </w:p>
        </w:tc>
      </w:tr>
      <w:tr w:rsidR="00DD7605" w:rsidRPr="00CC300E" w14:paraId="3723F3A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A491" w14:textId="416D7A54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WBC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1B8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9.64 (6.68, 13.66)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D80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9.74 (6.65, 13.73)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416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9.59 (6.70, 13.57)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F31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0.996</w:t>
            </w:r>
          </w:p>
        </w:tc>
      </w:tr>
      <w:tr w:rsidR="00DD7605" w:rsidRPr="00CC300E" w14:paraId="0C36CEB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3064" w14:textId="1FFAC08F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CRP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(mg/L)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626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36.20 (15.40, 86.40)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608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35.65 (15.65, 83.00)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54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36.70 (15.40, 87.60)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4F0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0.837</w:t>
            </w:r>
          </w:p>
        </w:tc>
      </w:tr>
      <w:tr w:rsidR="00DD7605" w:rsidRPr="00CC300E" w14:paraId="536AF0A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BA32" w14:textId="71B9F1D5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Eos 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D6F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0.07 (0.01, 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DAE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0.06 (0.01, 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F46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0.07 (0.01, 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023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0.751</w:t>
            </w:r>
          </w:p>
        </w:tc>
      </w:tr>
      <w:tr w:rsidR="00DD7605" w:rsidRPr="00CC300E" w14:paraId="035B959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5B9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Eos%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5B5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0.70 (0.10, 2.20)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F36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0.60 (0.10, 2.20)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095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0.70 (0.10, 2.30)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0E9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0.550</w:t>
            </w:r>
          </w:p>
        </w:tc>
      </w:tr>
      <w:tr w:rsidR="00DD7605" w:rsidRPr="00CC300E" w14:paraId="23E1248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5FB4" w14:textId="057F67F3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Neut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7B0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7.79 (5.05, 11.76)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47C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7.84 (5.03, 11.77)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A84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7.77 (5.06, 11.76)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AA1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0.913</w:t>
            </w:r>
          </w:p>
        </w:tc>
      </w:tr>
      <w:tr w:rsidR="00DD7605" w:rsidRPr="00CC300E" w14:paraId="0677B92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FF4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Neut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%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DF8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83.50 (75.10, 89.20)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EF0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84.25 (75.25, 89.15)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B77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83.30 (75.00, 89.20)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B36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0.450</w:t>
            </w:r>
          </w:p>
        </w:tc>
      </w:tr>
      <w:tr w:rsidR="00DD7605" w:rsidRPr="00CC300E" w14:paraId="6ADA99D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10AB" w14:textId="7857A04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Lymph 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417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0.73 (0.47,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62A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0.72 (0.46,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7F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0.74 (0.47,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767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0.494</w:t>
            </w:r>
          </w:p>
        </w:tc>
      </w:tr>
      <w:tr w:rsidR="00DD7605" w:rsidRPr="00CC300E" w14:paraId="1A6BB06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8D5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Lymph%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4FE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7.70 (4.50, 13.40)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B42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7.70 (4.60, 13.10)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D2E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7.80 (4.40, 13.50)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904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0.848</w:t>
            </w:r>
          </w:p>
        </w:tc>
      </w:tr>
      <w:tr w:rsidR="00DD7605" w:rsidRPr="00CC300E" w14:paraId="0B6143B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840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INR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299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(1.01, 1.35)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0A9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1.13 (1.01, 1.35)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944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(1.00, 1.35)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35D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0.344</w:t>
            </w:r>
          </w:p>
        </w:tc>
      </w:tr>
      <w:tr w:rsidR="00DD7605" w:rsidRPr="00CC300E" w14:paraId="31FE628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59D7" w14:textId="38D2111E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 xml:space="preserve">PT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5F1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12.30 (11.00, 14.70)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512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12.30 (11.10, 14.85)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9C5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12.20 (11.00, 14.70)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690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0.275</w:t>
            </w:r>
          </w:p>
        </w:tc>
      </w:tr>
      <w:tr w:rsidR="00DD7605" w:rsidRPr="00CC300E" w14:paraId="2010B87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89DF" w14:textId="6264DEF9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APTT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E5A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33.00 (29.50, 37.50)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605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33.00 (29.45, 37.60)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71D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33.00 (29.60, 37.50)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6AE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0.632</w:t>
            </w:r>
          </w:p>
        </w:tc>
      </w:tr>
      <w:tr w:rsidR="00DD7605" w:rsidRPr="00CC300E" w14:paraId="3B64554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F004" w14:textId="4CF89F0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TT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93E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15.60 (14.20, 17.50)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006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15.70 (14.35, 17.80)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56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15.60 (14.10, 17.30)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CA8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0.064</w:t>
            </w:r>
          </w:p>
        </w:tc>
      </w:tr>
      <w:tr w:rsidR="00DD7605" w:rsidRPr="00CC300E" w14:paraId="08742F58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A19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Fbg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(g/L)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D0AE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3.57 (2.62, 4.47)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3E5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3.52 (2.56, 4.53)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BA0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3.58 (2.66, 4.47)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DAD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0.635</w:t>
            </w:r>
          </w:p>
        </w:tc>
      </w:tr>
      <w:tr w:rsidR="00DD7605" w:rsidRPr="00CC300E" w14:paraId="6A6A80C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F026" w14:textId="75BF691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D2-F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μg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/mL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CFF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1.42 (0.63, 3.18)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77B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1.52 (0.66, 3.20)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8A8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1.38 (0.62, 3.18)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888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0.282</w:t>
            </w:r>
          </w:p>
        </w:tc>
      </w:tr>
      <w:tr w:rsidR="00DD7605" w:rsidRPr="00CC300E" w14:paraId="1731B22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5B25" w14:textId="54369BB3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ALB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5B0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32.10 (28.60, 35.80)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0B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32.00 (28.80, 36.00)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9C4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32.10 (28.50, 35.80)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2CA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0.603</w:t>
            </w:r>
          </w:p>
        </w:tc>
      </w:tr>
      <w:tr w:rsidR="00DD7605" w:rsidRPr="00CC300E" w14:paraId="2A0F1F5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73B1" w14:textId="7FD722C3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PA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mg/dL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2B5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152.00 (100.00, 217.00)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CA6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152.50 (99.00, 210.50)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CB0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152.00 (100.00, 219.00)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9DD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0.382</w:t>
            </w:r>
          </w:p>
        </w:tc>
      </w:tr>
      <w:tr w:rsidR="00DD7605" w:rsidRPr="00CC300E" w14:paraId="3AD3C33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F9D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ALB/GLB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620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1.28 (1.03, 1.55)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C97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1.28 (1.04, 1.58)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A32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1.29 (1.02, 1.54)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FF3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0.719</w:t>
            </w:r>
          </w:p>
        </w:tc>
      </w:tr>
      <w:tr w:rsidR="00DD7605" w:rsidRPr="00CC300E" w14:paraId="3278F80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CD79" w14:textId="54ACAF8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TBIL (</w:t>
            </w: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μmol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998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12.30 (7.70, 25.00)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08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13.20 (7.90, 25.85)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8B7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11.90 (7.60, 24.50)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B66F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0.064</w:t>
            </w:r>
          </w:p>
        </w:tc>
      </w:tr>
      <w:tr w:rsidR="00DD7605" w:rsidRPr="00CC300E" w14:paraId="568C338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0F605" w14:textId="4E04942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DBIL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μmol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FBD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4.60 (2.30, 13.20)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B27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4.95 (2.30, 13.45)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31A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4.40 (2.30, 13.10)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DD3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0.097</w:t>
            </w:r>
          </w:p>
        </w:tc>
      </w:tr>
      <w:tr w:rsidR="00DD7605" w:rsidRPr="00CC300E" w14:paraId="7B22CF1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3E4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ALT(U/L)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C04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18.20 (10.00, 41.00)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29E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17.95 (9.50, 39.60)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89C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18.40 (10.00, 42.00)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BC5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0.400</w:t>
            </w:r>
          </w:p>
        </w:tc>
      </w:tr>
      <w:tr w:rsidR="00DD7605" w:rsidRPr="00CC300E" w14:paraId="1C0481E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606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PCT-J(ng/mL)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07F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1.46 (0.51, 4.38)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541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1.42 (0.51, 4.42)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0FB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1.47 (0.51, 4.35)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BC0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0.704</w:t>
            </w:r>
          </w:p>
        </w:tc>
      </w:tr>
      <w:tr w:rsidR="00DD7605" w:rsidRPr="00CC300E" w14:paraId="2CE3887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3BD5" w14:textId="454112C5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CREA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mol/L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594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407.30 (236.80, 625.50)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FA2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407.15 (241.50, 616.10)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647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407.40 (234.60, 630.00)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E8D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0.643</w:t>
            </w:r>
          </w:p>
        </w:tc>
      </w:tr>
      <w:tr w:rsidR="00DD7605" w:rsidRPr="00CC300E" w14:paraId="6B2B90CB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7A4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UA (</w:t>
            </w: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μmol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B3F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368.00 (265.00, 497.00)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9B3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363.50 (266.00, 495.00)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8B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370.00 (264.00, 497.00)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3EF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0.643</w:t>
            </w:r>
          </w:p>
        </w:tc>
      </w:tr>
      <w:tr w:rsidR="00DD7605" w:rsidRPr="00CC300E" w14:paraId="79C0B4A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B582" w14:textId="4C52B503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Predilution Replacement Fluid Flow Rate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F62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1,800.00)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D2F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2,000.00)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434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1,700.00)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B7B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0.049</w:t>
            </w:r>
          </w:p>
        </w:tc>
      </w:tr>
      <w:tr w:rsidR="00DD7605" w:rsidRPr="00CC300E" w14:paraId="3A53E7C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9468" w14:textId="20B49F5F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Dialysate Flow Rate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5D4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2,000.00)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649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2,000.00)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52D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2,000.00)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F03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0.378</w:t>
            </w:r>
          </w:p>
        </w:tc>
      </w:tr>
      <w:tr w:rsidR="00DD7605" w:rsidRPr="00CC300E" w14:paraId="229865B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FAC2" w14:textId="1BF7021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Sodium Bicarbonate Infusion Rate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:lang w:val="it-IT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B2E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150.00 (150.00, 200.00)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0EC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150.00 (150.00, 200.00)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E81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150.00 (150.00, 200.00)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9C5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0.354</w:t>
            </w:r>
          </w:p>
        </w:tc>
      </w:tr>
      <w:tr w:rsidR="00DD7605" w:rsidRPr="00CC300E" w14:paraId="1B39642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E837" w14:textId="6E18099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Blood Flow Rate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ml/min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56A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180.00 (180.00, 180.00)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1CB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180.00 (180.00, 180.00)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5C1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180.00 (180.00, 180.00)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F1F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0.113</w:t>
            </w:r>
          </w:p>
        </w:tc>
      </w:tr>
      <w:tr w:rsidR="00DD7605" w:rsidRPr="00CC300E" w14:paraId="0E93300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FFE9" w14:textId="2B33D805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Ultrafiltration Rate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:lang w:val="it-IT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50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300.00 (100.00, 400.00)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D8E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300.00 (100.00, 400.00)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047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300.00 (120.00, 400.00)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137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0.335</w:t>
            </w:r>
          </w:p>
        </w:tc>
      </w:tr>
      <w:tr w:rsidR="00DD7605" w:rsidRPr="00CC300E" w14:paraId="4585408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F26E" w14:textId="7EF2F14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Volume of Predilution Replacement Fluid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2BC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11,200.00 (8,820.00, 13,607.00)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EFA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11,248.00 (8,843.50, 13,862.00)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8D0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11,169.00 (8,810.00, 13,524.00)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FC7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0.595</w:t>
            </w:r>
          </w:p>
        </w:tc>
      </w:tr>
      <w:tr w:rsidR="00DD7605" w:rsidRPr="00CC300E" w14:paraId="5719385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C9C6" w14:textId="491F6392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Volume of Dialysate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6A0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11,537.00 (9,651.00, 14,142.00)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51C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11,619.00 (9,582.00, 14,239.50)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305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11,514.00 (9,681.00, 14,092.00)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F0D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0.997</w:t>
            </w:r>
          </w:p>
        </w:tc>
      </w:tr>
      <w:tr w:rsidR="00DD7605" w:rsidRPr="00CC300E" w14:paraId="1237E87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C336" w14:textId="543BC12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Predilution Replacement Fluid Flow Rate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EBC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1,156.00 (975.00, 1,421.00)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E5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1,161.50 (974.00, 1,423.00)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E3F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1,154.00 (978.00, 1,420.00)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F1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0.876</w:t>
            </w:r>
          </w:p>
        </w:tc>
      </w:tr>
      <w:tr w:rsidR="00DD7605" w:rsidRPr="00CC300E" w14:paraId="761B9B1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1CDE" w14:textId="136E3C0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Effluent Volume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2FA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25,796.00 (21,895.00, 30,803.00)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ED7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25,797.00 (21,623.50, 30,904.50)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082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25,796.00 (21,967.00, 30,794.00)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976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0.852</w:t>
            </w:r>
          </w:p>
        </w:tc>
      </w:tr>
      <w:tr w:rsidR="00DD7605" w:rsidRPr="00CC300E" w14:paraId="36C7A7A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BC8A" w14:textId="0701B53C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bookmarkStart w:id="2" w:name="_Hlk204619720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Treatment Duration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  <w:bookmarkEnd w:id="2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C54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8.00 (6.42, 8.08)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627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8.00 (6.50, 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BDC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8.00 (6.33, 8.17)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7FB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0.962</w:t>
            </w:r>
          </w:p>
        </w:tc>
      </w:tr>
      <w:tr w:rsidR="00DD7605" w:rsidRPr="00CC300E" w14:paraId="1DE971C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D4DD" w14:textId="6792665B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>Heater Temperature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℃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ED4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43.00 (41.00, 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02E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43.00 (41.00, 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3BA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43.00 (41.00, 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201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0.039</w:t>
            </w:r>
          </w:p>
        </w:tc>
      </w:tr>
      <w:tr w:rsidR="00DD7605" w:rsidRPr="00CC300E" w14:paraId="1B1B3CC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1F2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Heating Method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08C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FD4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9895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4A2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0.012</w:t>
            </w:r>
          </w:p>
        </w:tc>
      </w:tr>
      <w:tr w:rsidR="00DD7605" w:rsidRPr="00CC300E" w14:paraId="70405BA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3F3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Blood Line Warming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9E1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2,261.00 (81.01%)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A25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701.00 (83.85%)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954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1,560.00 (79.80%)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AF4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B11C2A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6D2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Replacement Fluid Warming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A70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530.00 (18.99%)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3EA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135.00 (16.15%)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BD0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395.00 (20.20%)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658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1B44B4A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A65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Anticoagulant Use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FC0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1,628.00 (58.33%)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304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465.00 (55.62%)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9D5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1,163.00 (59.49%)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E24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0.058</w:t>
            </w:r>
          </w:p>
        </w:tc>
      </w:tr>
      <w:tr w:rsidR="00DD7605" w:rsidRPr="00CC300E" w14:paraId="7376E34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1B4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Vascular Access Type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4E4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CB9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0744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AA5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0.898</w:t>
            </w:r>
          </w:p>
        </w:tc>
      </w:tr>
      <w:tr w:rsidR="00DD7605" w:rsidRPr="00CC300E" w14:paraId="52CEDF9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737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Autogenous Arteriovenous Fistula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419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397.00 (14.22%)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82F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120.00 (14.35%)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FA0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277.00 (14.17%)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80AA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15671AE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518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Central Venous Catheter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D38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2,394.00 (85.78%)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060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716.00 (85.65%)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38A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1,678.00 (85.83%)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06AE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C76BC3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D3A8" w14:textId="4010936D" w:rsidR="00DD7605" w:rsidRPr="00CC300E" w:rsidRDefault="00000000" w:rsidP="00C54D9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Room temperature (℃)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8F4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(23.00, 26.00)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4A7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(22.00, 26.00)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F09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(23.00, 26.00)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063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0.171</w:t>
            </w:r>
          </w:p>
        </w:tc>
      </w:tr>
      <w:tr w:rsidR="00DD7605" w:rsidRPr="00CC300E" w14:paraId="2C80F428" w14:textId="77777777" w:rsidTr="00CC300E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0EA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Median (Q1, Q3); n (%)</w:t>
            </w:r>
          </w:p>
        </w:tc>
      </w:tr>
      <w:tr w:rsidR="00DD7605" w:rsidRPr="00CC300E" w14:paraId="6B7BBBCE" w14:textId="77777777" w:rsidTr="00CC300E">
        <w:trPr>
          <w:jc w:val="center"/>
        </w:trPr>
        <w:tc>
          <w:tcPr>
            <w:tcW w:w="0" w:type="auto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68E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2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Wilcoxon rank sum test; Pearson's Chi-squared test; Fisher's exact test</w:t>
            </w:r>
          </w:p>
        </w:tc>
      </w:tr>
      <w:bookmarkEnd w:id="1"/>
    </w:tbl>
    <w:p w14:paraId="04E0CAE5" w14:textId="6E6B4812" w:rsidR="008B4EA4" w:rsidRDefault="008B4EA4">
      <w:pPr>
        <w:rPr>
          <w:rFonts w:ascii="Times New Roman" w:hAnsi="Times New Roman" w:cs="Times New Roman"/>
        </w:rPr>
      </w:pPr>
    </w:p>
    <w:p w14:paraId="24B8D499" w14:textId="77777777" w:rsidR="008B4EA4" w:rsidRDefault="008B4EA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B1B4A0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3ED46CD0" w14:textId="77777777" w:rsidR="00DD7605" w:rsidRPr="008B4EA4" w:rsidRDefault="00DD7605">
      <w:pPr>
        <w:widowControl/>
        <w:spacing w:after="0" w:line="240" w:lineRule="auto"/>
        <w:rPr>
          <w:rFonts w:ascii="Times New Roman" w:eastAsia="宋体" w:hAnsi="Times New Roman" w:cs="Times New Roman"/>
          <w:iCs/>
          <w:kern w:val="0"/>
          <w:sz w:val="24"/>
          <w14:ligatures w14:val="none"/>
        </w:rPr>
      </w:pPr>
    </w:p>
    <w:p w14:paraId="765F352F" w14:textId="215FFBB1" w:rsidR="00DD7605" w:rsidRPr="008B4EA4" w:rsidRDefault="008B4EA4" w:rsidP="008B4EA4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 w:line="240" w:lineRule="auto"/>
        <w:ind w:left="60" w:right="60"/>
        <w:rPr>
          <w:rFonts w:ascii="Times New Roman" w:eastAsia="宋体" w:hAnsi="Times New Roman" w:cs="Times New Roman"/>
          <w:b/>
          <w:iCs/>
          <w:kern w:val="0"/>
          <w:sz w:val="24"/>
          <w:lang w:eastAsia="en-US"/>
          <w14:ligatures w14:val="none"/>
        </w:rPr>
      </w:pP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 xml:space="preserve">Table 2. Comparison of </w:t>
      </w:r>
      <w:r>
        <w:rPr>
          <w:rFonts w:ascii="Times New Roman" w:eastAsia="宋体" w:hAnsi="Times New Roman" w:cs="Times New Roman" w:hint="eastAsia"/>
          <w:b/>
          <w:bCs/>
          <w:iCs/>
          <w:kern w:val="0"/>
          <w:sz w:val="24"/>
          <w14:ligatures w14:val="none"/>
        </w:rPr>
        <w:t>c</w:t>
      </w: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 xml:space="preserve">linical </w:t>
      </w:r>
      <w:r>
        <w:rPr>
          <w:rFonts w:ascii="Times New Roman" w:eastAsia="宋体" w:hAnsi="Times New Roman" w:cs="Times New Roman" w:hint="eastAsia"/>
          <w:b/>
          <w:bCs/>
          <w:iCs/>
          <w:kern w:val="0"/>
          <w:sz w:val="24"/>
          <w14:ligatures w14:val="none"/>
        </w:rPr>
        <w:t>c</w:t>
      </w: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 xml:space="preserve">haracteristics between the </w:t>
      </w:r>
      <w:r>
        <w:rPr>
          <w:rFonts w:ascii="Times New Roman" w:eastAsia="宋体" w:hAnsi="Times New Roman" w:cs="Times New Roman" w:hint="eastAsia"/>
          <w:b/>
          <w:bCs/>
          <w:iCs/>
          <w:kern w:val="0"/>
          <w:sz w:val="24"/>
          <w14:ligatures w14:val="none"/>
        </w:rPr>
        <w:t>h</w:t>
      </w: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 xml:space="preserve">ypothermia and </w:t>
      </w:r>
      <w:r>
        <w:rPr>
          <w:rFonts w:ascii="Times New Roman" w:eastAsia="宋体" w:hAnsi="Times New Roman" w:cs="Times New Roman" w:hint="eastAsia"/>
          <w:b/>
          <w:bCs/>
          <w:iCs/>
          <w:kern w:val="0"/>
          <w:sz w:val="24"/>
          <w14:ligatures w14:val="none"/>
        </w:rPr>
        <w:t>n</w:t>
      </w: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 xml:space="preserve">on-hypothermia </w:t>
      </w:r>
      <w:r>
        <w:rPr>
          <w:rFonts w:ascii="Times New Roman" w:eastAsia="宋体" w:hAnsi="Times New Roman" w:cs="Times New Roman" w:hint="eastAsia"/>
          <w:b/>
          <w:bCs/>
          <w:iCs/>
          <w:kern w:val="0"/>
          <w:sz w:val="24"/>
          <w14:ligatures w14:val="none"/>
        </w:rPr>
        <w:t>g</w:t>
      </w: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 xml:space="preserve">roups in the </w:t>
      </w:r>
      <w:r>
        <w:rPr>
          <w:rFonts w:ascii="Times New Roman" w:eastAsia="宋体" w:hAnsi="Times New Roman" w:cs="Times New Roman" w:hint="eastAsia"/>
          <w:b/>
          <w:bCs/>
          <w:iCs/>
          <w:kern w:val="0"/>
          <w:sz w:val="24"/>
          <w14:ligatures w14:val="none"/>
        </w:rPr>
        <w:t>t</w:t>
      </w:r>
      <w:r w:rsidRPr="008B4EA4">
        <w:rPr>
          <w:rFonts w:ascii="Times New Roman" w:eastAsia="宋体" w:hAnsi="Times New Roman" w:cs="Times New Roman"/>
          <w:b/>
          <w:bCs/>
          <w:iCs/>
          <w:kern w:val="0"/>
          <w:sz w:val="24"/>
          <w:lang w:eastAsia="en-US"/>
          <w14:ligatures w14:val="none"/>
        </w:rPr>
        <w:t>raining Set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4801"/>
        <w:gridCol w:w="3152"/>
        <w:gridCol w:w="3152"/>
        <w:gridCol w:w="3152"/>
        <w:gridCol w:w="967"/>
      </w:tblGrid>
      <w:tr w:rsidR="00DD7605" w:rsidRPr="00CC300E" w14:paraId="5731997F" w14:textId="77777777" w:rsidTr="00CC300E">
        <w:trPr>
          <w:tblHeader/>
          <w:jc w:val="center"/>
        </w:trPr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53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Characteristic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85A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Overall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br/>
              <w:t>N = 2,039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C96F" w14:textId="4A014985" w:rsidR="00DD7605" w:rsidRPr="00CC300E" w:rsidRDefault="008B4EA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kern w:val="0"/>
                <w:sz w:val="24"/>
                <w14:ligatures w14:val="none"/>
              </w:rPr>
              <w:t>N</w:t>
            </w:r>
            <w:r w:rsidRPr="008B4EA4"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4"/>
                <w:lang w:eastAsia="en-US"/>
                <w14:ligatures w14:val="none"/>
              </w:rPr>
              <w:t>on-hypothermia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br/>
              <w:t>N = 1,876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6D88" w14:textId="57EEF093" w:rsidR="00DD7605" w:rsidRPr="00CC300E" w:rsidRDefault="008B4EA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kern w:val="0"/>
                <w:sz w:val="24"/>
                <w14:ligatures w14:val="none"/>
              </w:rPr>
              <w:t>H</w:t>
            </w:r>
            <w:r w:rsidRPr="008B4EA4"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4"/>
                <w:lang w:eastAsia="en-US"/>
                <w14:ligatures w14:val="none"/>
              </w:rPr>
              <w:t>ypothermia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br/>
              <w:t>N = 163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DBD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kern w:val="0"/>
                <w:szCs w:val="22"/>
                <w:lang w:eastAsia="en-US"/>
                <w14:ligatures w14:val="none"/>
              </w:rPr>
              <w:t>p-value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2</w:t>
            </w:r>
          </w:p>
        </w:tc>
      </w:tr>
      <w:tr w:rsidR="00DD7605" w:rsidRPr="00CC300E" w14:paraId="0DF0ED9C" w14:textId="77777777" w:rsidTr="00CC300E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7C5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 Room temperature (℃)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1D2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(23.00, 26.00)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514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(24.00, 26.00)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6D2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24.00 (22.00, 26.00)</w:t>
            </w:r>
          </w:p>
        </w:tc>
        <w:tc>
          <w:tcPr>
            <w:tcW w:w="0" w:type="auto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793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087723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21FB" w14:textId="65EC9309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Age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years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8FB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61.00 (52.00, 71.00)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6C1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62.00 (52.00, 72.00)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FF1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59.00 (47.00, 67.00)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648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0.003</w:t>
            </w:r>
          </w:p>
        </w:tc>
      </w:tr>
      <w:tr w:rsidR="00DD7605" w:rsidRPr="00CC300E" w14:paraId="7B9C96A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A197" w14:textId="766DADA9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F02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E66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AAC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5D7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0.007</w:t>
            </w:r>
          </w:p>
        </w:tc>
      </w:tr>
      <w:tr w:rsidR="00DD7605" w:rsidRPr="00CC300E" w14:paraId="4F574FC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E7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E08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1,357.00 (66.55%)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366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1,233.00 (65.72%)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A5B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124.00 (76.07%)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97E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A23B70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B3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359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682.00 (33.45%)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E14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643.00 (34.28%)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46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39.00 (23.93%)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965A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BCF107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D066" w14:textId="68AC2F3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Height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cm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988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164.00 (157.00, 170.00)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FA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164.00 (156.50, 170.00)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7A4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166.00 (160.00, 171.00)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1A8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75488F0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AA1C" w14:textId="0966A25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Body Weight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kg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C33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62.00 (54.00, 72.50)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2D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61.00 (54.00, 72.00)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F3F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68.00 (59.00, 76.00)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7C7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D2A912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3F40" w14:textId="309C56E1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BMI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(kg/m²)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80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23.53 (20.76, 26.61)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7B8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23.44 (20.76, 26.57)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4D1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24.61 (22.28, 27.34)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B9F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3DC73D6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424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Educational Attainment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18CD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CEED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242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CB2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0.011</w:t>
            </w:r>
          </w:p>
        </w:tc>
      </w:tr>
      <w:tr w:rsidR="00DD7605" w:rsidRPr="00CC300E" w14:paraId="4B4F870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A48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Associate Degree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C2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434.00 (21.28%)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24E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388.00 (20.68%)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BA1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46.00 (28.22%)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F95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4E345BA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A88D" w14:textId="3269B762" w:rsidR="00DD7605" w:rsidRPr="00CC300E" w:rsidRDefault="00CC300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Theme="minorEastAsia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>Mediate Education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0BF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982.00 (48.16%)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5F1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900.00 (47.97%)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FD6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82.00 (50.31%)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130B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4991C2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A4A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Primary Education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A73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623.00 (30.55%)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BF9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588.00 (31.34%)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036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35.00 (21.47%)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601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C0B28B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901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Smoking History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412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987B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8C6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71C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0.025</w:t>
            </w:r>
          </w:p>
        </w:tc>
      </w:tr>
      <w:tr w:rsidR="00DD7605" w:rsidRPr="00CC300E" w14:paraId="59A6628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3E7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E9C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1,351.00 (66.26%)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E72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1,256.00 (66.95%)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CDE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95.00 (58.28%)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792D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48A479C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A5B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7BC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688.00 (33.74%)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3A2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620.00 (33.05%)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31E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68.00 (41.72%)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34D3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412DECF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0CE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Alcohol Use History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ED0E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F95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74D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4E1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7256336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C2A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3A9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1,471.00 (72.14%)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9C1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1,373.00 (73.19%)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C5F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(60.12%)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7E7C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2149E4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3CB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64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568.00 (27.86%)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17C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503.00 (26.81%)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B14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65.00 (39.88%)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6F5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3BB7FA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6BB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Artificial Airway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5E7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100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F95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459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5B338BB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EBE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12C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1,482.00 (80.76%)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40B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1,384.00 (82.78%)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FBE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(60.12%)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DE8C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EBD5C9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797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AF5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353.00 (19.24%)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6AE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288.00 (17.22%)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190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65.00 (39.88%)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338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698B07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50F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Airway Humidification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150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817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767D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857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A1785F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CD8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9D2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1,267.00 (69.05%)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949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1,204.00 (72.01%)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298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63.00 (38.65%)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AF08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8487CA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608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B2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568.00 (30.95%)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CC9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468.00 (27.99%)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2BB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100.00 (61.35%)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351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0FB74FD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456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Mechanical Ventilation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E94C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D0C3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C5F8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A21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197A88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9C2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69D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1,348.00 (73.46%)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6FF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1,272.00 (76.08%)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31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76.00 (46.63%)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21C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1A357FB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29F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BF0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487.00 (26.54%)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12C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400.00 (23.92%)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C1A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87.00 (53.37%)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D738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29D9A1B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33D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Shock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A7AD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6E04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64F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7B6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0.566</w:t>
            </w:r>
          </w:p>
        </w:tc>
      </w:tr>
      <w:tr w:rsidR="00DD7605" w:rsidRPr="00CC300E" w14:paraId="283C345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B64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A68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2,029.00 (99.51%)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5AD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1,867.00 (99.52%)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B79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162.00 (99.39%)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C80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8A0225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F2B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813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10.00 (0.49%)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FFC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9.00 (0.48%)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C1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1.00 (0.61%)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A3A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127AA1B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752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Hypothyroidism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F62A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8E6A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343B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65F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906CBD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6DD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260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1,786.00 (87.59%)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7D0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1,661.00 (88.54%)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A4D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125.00 (76.69%)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DA9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8C7D58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0AC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9BA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253.00 (12.41%)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341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215.00 (11.46%)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B80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38.00 (23.31%)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0F4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450F70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B75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Postoperative Status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680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FC8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D063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3DC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0.003</w:t>
            </w:r>
          </w:p>
        </w:tc>
      </w:tr>
      <w:tr w:rsidR="00DD7605" w:rsidRPr="00CC300E" w14:paraId="0830BE6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909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F52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1,646.00 (80.73%)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90E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1,529.00 (81.50%)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403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117.00 (71.78%)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5F3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15178058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787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3B6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393.00 (19.27%)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9D2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347.00 (18.50%)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229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46.00 (28.22%)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9AAB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7AE9D48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6AD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Consciousness Level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714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BE8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40E6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A64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4820B70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ADA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Alert and Oriented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632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1,386.00 (68.01%)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5D2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1,333.00 (71.09%)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864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53.00 (32.52%)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201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7EE62B3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B5E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Impaired Consciousness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720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652.00 (31.99%)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596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542.00 (28.91%)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3B9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110.00 (67.48%)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8C10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06A43A6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8C70" w14:textId="78BDBFE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SpO₂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%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976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(97.00, 99.00)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27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(97.00, 99.00)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E39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98.00 (97.00, 100.00)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2F8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0.016</w:t>
            </w:r>
          </w:p>
        </w:tc>
      </w:tr>
      <w:tr w:rsidR="00DD7605" w:rsidRPr="00CC300E" w14:paraId="4B91C33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00E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RR( per minute)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46B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20.00 (18.00,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79F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20.00 (17.00, 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443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21.00 (18.00, 25.00)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726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823BA3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273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Heart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84C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89.00 (77.00,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8BE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88.00 (77.00, 100.00)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130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105.00 (87.00, 118.00)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179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02E2FE6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A894" w14:textId="201018A2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HCO3- (mmol/L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F74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22.90 (20.00, 25.60)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490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22.90 (20.00, 25.60)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CE1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22.40 (19.60, 25.70)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CFB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0.451</w:t>
            </w:r>
          </w:p>
        </w:tc>
      </w:tr>
      <w:tr w:rsidR="00DD7605" w:rsidRPr="00CC300E" w14:paraId="18DD2BB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2A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K+ 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F61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4.20 (3.80, 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295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4.20 (3.80, 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F05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4.10 (3.70, 4.60)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841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0.042</w:t>
            </w:r>
          </w:p>
        </w:tc>
      </w:tr>
      <w:tr w:rsidR="00DD7605" w:rsidRPr="00CC300E" w14:paraId="49DC836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AD0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CA2+ 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8D9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(1.05,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807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(1.05,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5DC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(1.04, 1.19)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206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0.487</w:t>
            </w:r>
          </w:p>
        </w:tc>
      </w:tr>
      <w:tr w:rsidR="00DD7605" w:rsidRPr="00CC300E" w14:paraId="50D86D6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30A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Lac(mmol/L)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44C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1.00 (0.70,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CAF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1.00 (0.70, 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D19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1.50 (1.00, 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F9A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39D2733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24A5" w14:textId="22786D7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Hct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9D1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(22.00, 32.00)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67D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(22.00, 32.00)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CA8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(21.20, 31.00)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F58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0.283</w:t>
            </w:r>
          </w:p>
        </w:tc>
      </w:tr>
      <w:tr w:rsidR="00DD7605" w:rsidRPr="00CC300E" w14:paraId="00A83BF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C98A" w14:textId="702956B2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Glu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mmol/L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94B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8.40 (6.40, 11.30)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10D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8.30 (6.40, 11.30)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AC1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8.70 (6.60, 11.50)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C95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0.118</w:t>
            </w:r>
          </w:p>
        </w:tc>
      </w:tr>
      <w:tr w:rsidR="00DD7605" w:rsidRPr="00CC300E" w14:paraId="504C369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3EE3" w14:textId="51BF4EFC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HGB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6C7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83.00 (70.00,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336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83.00 (70.00, 101.00)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C6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90.00 (71.00, 103.00)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907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0.178</w:t>
            </w:r>
          </w:p>
        </w:tc>
      </w:tr>
      <w:tr w:rsidR="00DD7605" w:rsidRPr="00CC300E" w14:paraId="35A04E7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4D8D" w14:textId="3345E84C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PLT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E14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133.00 (82.00, 197.00)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5BF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134.00 (82.00, 197.00)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2AE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115.00 (74.00, 187.00)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F40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0.208</w:t>
            </w:r>
          </w:p>
        </w:tc>
      </w:tr>
      <w:tr w:rsidR="00DD7605" w:rsidRPr="00CC300E" w14:paraId="3501B06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0ABB" w14:textId="1BED8D3E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RBC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 ×</w:t>
            </w:r>
            <w:proofErr w:type="gram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10¹²/L)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A54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2.85 (2.36, 3.43)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DD4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2.83 (2.36, 3.43)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1AF8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3.03 (2.44, 3.48)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F49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0.248</w:t>
            </w:r>
          </w:p>
        </w:tc>
      </w:tr>
      <w:tr w:rsidR="00DD7605" w:rsidRPr="00CC300E" w14:paraId="2521C44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22B5" w14:textId="03505101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Hct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319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26.00 (21.90, 31.30)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BA9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25.95 (21.90, 31.20)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9CD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27.60 (22.00, 31.60)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618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0.315</w:t>
            </w:r>
          </w:p>
        </w:tc>
      </w:tr>
      <w:tr w:rsidR="00DD7605" w:rsidRPr="00CC300E" w14:paraId="21EC036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5134" w14:textId="3B403FCC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WBC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EBF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9.56 (6.66, 13.55)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F45C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9.39 (6.55, 13.30)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0EC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12.03 (8.11, 17.94)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C60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5205B9D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FA5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CRP(mg/L)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458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37.70 (15.40, 87.90)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4F8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34.25 (14.80, 80.90)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58D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82.00 (39.80, 139.50)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208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E1FBC6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CB3D" w14:textId="2ADC43F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Eos 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B91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0.07 (0.01, 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016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0.07 (0.01, 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6F8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0.02 (0.00, 0.11)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A22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2230687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C0C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Eos%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C5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0.70 (0.10, 2.30)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65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0.80 (0.10, 2.30)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36D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0.20 (0.00, 1.20)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D51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0DBD541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85A7" w14:textId="5F271BF6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Neut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 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1FE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7.72 (5.01, 11.76)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984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7.58 (4.93, 11.32)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31A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10.78 (7.24, 16.27)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237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A064AB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D75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Neut%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19A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83.30 (74.90, 89.40)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9E2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82.80 (74.30, 88.90)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A4B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88.40 (83.30, 92.60)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BFD6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07DA12D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1B96" w14:textId="4073536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Lymph (×10⁹/L)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F97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0.74 (0.47,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6DD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0.75 (0.48, 1.11)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D2B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0.63 (0.38,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32E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69C1D5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FDF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>Lymph%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F53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7.80 (4.40, 13.60)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B65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8.00 (4.60, 13.90)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EBE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5.40 (3.10, 9.10)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8F6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4820B49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7D3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INR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061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1.12 (1.00, 1.35)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83E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1.11 (1.00, 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973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1.26 (1.07, 1.52)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286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42B6C5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DA47" w14:textId="189F749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PT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8BF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12.20 (11.00, 14.70)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691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12.20 (11.00, 14.50)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291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13.50 (11.90, 16.50)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194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B169B5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1E84" w14:textId="52A13F7E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 xml:space="preserve">APTT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858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33.00 (29.60, 37.70)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0C4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32.90 (29.50, 37.40)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A18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34.10 (30.80, 40.70)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147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20977C0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E8BF" w14:textId="1BAF9A8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TT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B67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15.60 (14.20, 17.40)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B25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15.60 (14.20, 17.40)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852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15.40 (14.00, 17.40)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400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0.304</w:t>
            </w:r>
          </w:p>
        </w:tc>
      </w:tr>
      <w:tr w:rsidR="00DD7605" w:rsidRPr="00CC300E" w14:paraId="2A9BC24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DB7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Fbg (g/L)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D2D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3.58 (2.65, 4.47)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A34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3.57 (2.66, 4.41)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A98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3.65 (2.63, 4.89)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0FA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0.111</w:t>
            </w:r>
          </w:p>
        </w:tc>
      </w:tr>
      <w:tr w:rsidR="00DD7605" w:rsidRPr="00CC300E" w14:paraId="79BEE7E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F4C1" w14:textId="2C8E60B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D2-F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proofErr w:type="spellStart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μg</w:t>
            </w:r>
            <w:proofErr w:type="spellEnd"/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/mL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725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1.38 (0.62, 3.15)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78D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1.34 (0.61, 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355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2.31 (0.91, 3.50)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C3E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AA27C5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8BB7" w14:textId="23526F8E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ALB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B16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32.20 (28.60, 35.80)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0ED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32.20 (28.55, 35.80)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FD5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31.60 (28.70, 35.40)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D05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0.367</w:t>
            </w:r>
          </w:p>
        </w:tc>
      </w:tr>
      <w:tr w:rsidR="00DD7605" w:rsidRPr="00CC300E" w14:paraId="1C5C40D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BEB1" w14:textId="6D214D48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PA</w:t>
            </w:r>
            <w:r w:rsidR="00D1564E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mg/dL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945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152.00 (100.00, 219.00)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D4F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156.00 (103.00, 222.00)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89A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116.00 (77.00, 165.00)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A76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4ACAE37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158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ALB/GLB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AAD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1.30 (1.03, 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2A0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1.30 (1.04, 1.55)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61E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1.25 (1.00, 1.60)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7FD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0.962</w:t>
            </w:r>
          </w:p>
        </w:tc>
      </w:tr>
      <w:tr w:rsidR="00DD7605" w:rsidRPr="00CC300E" w14:paraId="5E18FB9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AC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TBIL (μmol/L 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243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12.00 (7.60, 24.50)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FC9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11.50 (7.50, 22.70)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40A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21.20 (11.10, 42.40)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622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0B64189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652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DBIL(μmol/L 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DFC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4.40 (2.30, 13.20)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1E1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4.20 (2.20, 12.15)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777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10.10 (4.60, 26.50)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3C1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758395A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8D49" w14:textId="5E97D949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ALT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(U/L)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EBF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18.40 (10.00, 42.00)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DA7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18.00 (10.00, 40.00)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0E3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30.00 (14.50, 64.80)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6D2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3FD3346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165E" w14:textId="0277B22B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PCT-J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(ng/mL)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EC3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1.47 (0.51, 4.41)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D7B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1.35 (0.47, 4.02)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442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3.04 (1.24, 10.58)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04A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8706342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CE8D" w14:textId="44FADDA2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CREA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:lang w:val="it-IT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μ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mol/L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B21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407.00 (231.00, 629.00)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F9E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423.35 (248.25, 643.30)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ADA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240.30 (150.00, 411.00)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4D0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138CBA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A0B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UA (μmol/L)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2A4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370.00 (264.00, 498.00)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F74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370.00 (269.00, 496.50)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155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368.00 (211.00, 510.00)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8D7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0.252</w:t>
            </w:r>
          </w:p>
        </w:tc>
      </w:tr>
      <w:tr w:rsidR="00DD7605" w:rsidRPr="00CC300E" w14:paraId="40B207D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3722" w14:textId="3BA9F24C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Treatment Duration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E40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8.00 (6.42, 8.17)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924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8.00 (6.17, 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7EA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8.83 (7.75, 12.00)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ECD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9072C7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6487" w14:textId="67156AA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Heater Temperature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℃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42F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43.00 (41.00, 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F93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43.00 (41.00, 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73A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42.00 (38.00, 43.00)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51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57C2E86C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C792" w14:textId="0623DA9E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Predilution Replacement Fluid Flow Rate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182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1,700.00)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BAD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1,800.00)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34D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1,700.00)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927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0.327</w:t>
            </w:r>
          </w:p>
        </w:tc>
      </w:tr>
      <w:tr w:rsidR="00DD7605" w:rsidRPr="00CC300E" w14:paraId="1CC8FFE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678D" w14:textId="01C10EBA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Dialysate Flow Rate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70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2,000.00)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532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2,000.00)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658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1,500.00 (1,500.00, 1,500.00)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5AB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0.001</w:t>
            </w:r>
          </w:p>
        </w:tc>
      </w:tr>
      <w:tr w:rsidR="00DD7605" w:rsidRPr="00CC300E" w14:paraId="107DF21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402D" w14:textId="665EA32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Sodium Bicarbonate Infusion Rate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:lang w:val="it-IT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DBB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150.00 (150.00, 200.00)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950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150.00 (150.00, 200.00)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2B7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150.00 (150.00, 200.00)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8E0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0.190</w:t>
            </w:r>
          </w:p>
        </w:tc>
      </w:tr>
      <w:tr w:rsidR="00DD7605" w:rsidRPr="00CC300E" w14:paraId="04EB739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3C1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Heating Method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DD8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4D19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95B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75C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0.033</w:t>
            </w:r>
          </w:p>
        </w:tc>
      </w:tr>
      <w:tr w:rsidR="00DD7605" w:rsidRPr="00CC300E" w14:paraId="3E31718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6F8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Blood Line Warming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4C3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1,633.00 (80.09%)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B0B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1,492.00 (79.53%)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502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141.00 (86.50%)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6CD7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0432CE53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712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Replacement Fluid Warming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E3F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406.00 (19.91%)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A1A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384.00 (20.47%)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EB8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22.00 (13.50%)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FA9A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65C1B0D6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FA9B" w14:textId="57A4ED40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Blood Flow Rate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ml/min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C57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180.00 (180.00, 180.00)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C9D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180.00 (180.00, 180.00)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F6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180.00 (180.00, 180.00)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D1F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0.574</w:t>
            </w:r>
          </w:p>
        </w:tc>
      </w:tr>
      <w:tr w:rsidR="00DD7605" w:rsidRPr="00CC300E" w14:paraId="35832BB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FAFA" w14:textId="6D2E8CEF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Ultrafiltration Rate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:lang w:val="it-IT"/>
                <w14:ligatures w14:val="none"/>
              </w:rPr>
              <w:t xml:space="preserve"> 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val="it-IT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1E9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300.00 (100.00, 400.00)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460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300.00 (150.00, 400.00)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327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200.00 (50.00, 350.00)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05F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CBB789A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0A85" w14:textId="6D8BB0D3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Volume of Predilution Replacement Fluid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A496A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11,200.00 (8,848.00, 13,547.00)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2AB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11,097.00 (8,750.50, 13,302.00)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AC1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12,317.00 (10,225.00, 21,877.00)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A5C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0F34889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A212" w14:textId="0D79F90D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Volume of Dialysate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6C6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11,518.00 (9,720.00, 14,142.00)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5EA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11,482.00 (9,619.50, 13,879.00)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832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12,930.00 (10,753.00, 21,776.00)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7D9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305F98F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B8B0" w14:textId="0462282D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Predilution Replacement Fluid Flow Rate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ml/h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26FC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1,155.00 (979.00, 1,428.00)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4C8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1,150.00 (965.00, 1,394.50)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3BE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1,357.00 (1,097.00, 2,150.00)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89A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65A47825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337F" w14:textId="173F66EF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Effluent Volume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663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25,847.00 (22,021.00, 30,840.00)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B54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25,661.00 (21,863.00, 30,269.00)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3D3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28,125.00 (24,046.00, 45,218.00)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00F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7C333409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10E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Anticoagulant Use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A2F1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F1C2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8335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590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410BE5AE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3CF2" w14:textId="25617C74" w:rsidR="00DD7605" w:rsidRPr="00CC300E" w:rsidRDefault="00CC300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FD8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840.00 (41.20%)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40A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753.00 (40.14%)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C58B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87.00 (53.37%)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49E5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437879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180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B4BD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1,199.00 (58.80%)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A6D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1,123.00 (59.86%)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F53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76.00 (46.63%)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50B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2C331487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0A97" w14:textId="5CAC945F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Total Net Ultrafiltration Volume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ml</w:t>
            </w:r>
            <w:r w:rsidR="00D1564E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03D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2,245.00 (1,442.00, 2,910.00)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554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2,240.00 (1,486.00, 2,893.50)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366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2,253.00 (1,277.00, 3,183.00)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A41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0.459</w:t>
            </w:r>
          </w:p>
        </w:tc>
      </w:tr>
      <w:tr w:rsidR="00DD7605" w:rsidRPr="00CC300E" w14:paraId="542DCE88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3BC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Vascular Access Type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59F4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B2BE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F958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620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EC0DF21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1A6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Autogenous Arteriovenous Fistula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1FC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287.00 (14.08%)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10FF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280.00 (14.93%)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029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7.00 (4.29%)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6A9D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15E15C0D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C38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Central Venous Catheter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603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1,752.00 (85.92%)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FFD5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1,596.00 (85.07%)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9746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156.00 (95.71%)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2CDF" w14:textId="77777777" w:rsidR="00DD7605" w:rsidRPr="00CC300E" w:rsidRDefault="00DD760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DD7605" w:rsidRPr="00CC300E" w14:paraId="3C16A48F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2E13" w14:textId="2DE1A11D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Baseline Body Temperature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501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36.50 (36.40, 36.80)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5D3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36.50 (36.30, 36.80)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057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37.60 (37.10, 38.20)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70E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11E1780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E89A" w14:textId="43EEABC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SBP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2FF0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126.00 (110.00, 144.00)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FBC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127.00 (111.00, 145.00)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E938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118.00 (105.00, 137.00)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E0B7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&lt;0.001</w:t>
            </w:r>
          </w:p>
        </w:tc>
      </w:tr>
      <w:tr w:rsidR="00DD7605" w:rsidRPr="00CC300E" w14:paraId="3F10BA74" w14:textId="77777777" w:rsidTr="00CC300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F963" w14:textId="3640CDC1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DBP</w:t>
            </w:r>
            <w:r w:rsidR="004B0EB8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0CD3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70.00 (60.00,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EDE4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70.00 (61.00, 81.00)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2BC1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67.00 (57.00, 76.00)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628E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0.004</w:t>
            </w:r>
          </w:p>
        </w:tc>
      </w:tr>
      <w:tr w:rsidR="00DD7605" w:rsidRPr="00CC300E" w14:paraId="1216CDE1" w14:textId="77777777" w:rsidTr="00CC300E">
        <w:trPr>
          <w:jc w:val="center"/>
        </w:trPr>
        <w:tc>
          <w:tcPr>
            <w:tcW w:w="0" w:type="auto"/>
            <w:gridSpan w:val="5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B7F2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1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Median (Q1, Q3); n (%)</w:t>
            </w:r>
          </w:p>
        </w:tc>
      </w:tr>
      <w:tr w:rsidR="00DD7605" w:rsidRPr="00CC300E" w14:paraId="5E5B3DE3" w14:textId="77777777" w:rsidTr="00CC300E">
        <w:trPr>
          <w:jc w:val="center"/>
        </w:trPr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FA19" w14:textId="77777777" w:rsidR="00DD7605" w:rsidRPr="00CC300E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192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vertAlign w:val="superscript"/>
                <w:lang w:eastAsia="en-US"/>
                <w14:ligatures w14:val="none"/>
              </w:rPr>
              <w:t>2</w:t>
            </w: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Wilcoxon rank sum test; Pearson's Chi-squared test; Fisher's exact test</w:t>
            </w:r>
          </w:p>
        </w:tc>
      </w:tr>
    </w:tbl>
    <w:p w14:paraId="6D621F21" w14:textId="77777777" w:rsidR="00DD7605" w:rsidRDefault="00DD7605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</w:p>
    <w:p w14:paraId="28429984" w14:textId="1E081E85" w:rsidR="008B4EA4" w:rsidRDefault="008B4EA4">
      <w:pPr>
        <w:widowControl/>
        <w:rPr>
          <w:rFonts w:ascii="Times New Roman" w:eastAsia="宋体" w:hAnsi="Times New Roman" w:cs="Times New Roman"/>
          <w:kern w:val="0"/>
          <w:sz w:val="24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14:ligatures w14:val="none"/>
        </w:rPr>
        <w:br w:type="page"/>
      </w:r>
    </w:p>
    <w:p w14:paraId="0EE92CE1" w14:textId="24727582" w:rsidR="008B4EA4" w:rsidRPr="00E744FD" w:rsidRDefault="008B4EA4" w:rsidP="008B4EA4">
      <w:pPr>
        <w:spacing w:line="276" w:lineRule="auto"/>
        <w:rPr>
          <w:rFonts w:ascii="Times New Roman" w:hAnsi="Times New Roman" w:cs="Times New Roman"/>
          <w:b/>
          <w:bCs/>
        </w:rPr>
      </w:pPr>
      <w:r w:rsidRPr="00E744FD">
        <w:rPr>
          <w:rFonts w:ascii="Times New Roman" w:hAnsi="Times New Roman" w:cs="Times New Roman" w:hint="eastAsia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3</w:t>
      </w:r>
      <w:r w:rsidRPr="00E744FD">
        <w:rPr>
          <w:rFonts w:ascii="Times New Roman" w:hAnsi="Times New Roman" w:cs="Times New Roman" w:hint="eastAsia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M</w:t>
      </w:r>
      <w:r w:rsidRPr="00E744FD">
        <w:rPr>
          <w:rFonts w:ascii="Times New Roman" w:hAnsi="Times New Roman" w:cs="Times New Roman"/>
          <w:b/>
          <w:bCs/>
        </w:rPr>
        <w:t xml:space="preserve">ultivariate </w:t>
      </w:r>
      <w:r w:rsidRPr="00E744FD">
        <w:rPr>
          <w:rFonts w:ascii="Times New Roman" w:hAnsi="Times New Roman" w:cs="Times New Roman" w:hint="eastAsia"/>
          <w:b/>
          <w:bCs/>
        </w:rPr>
        <w:t>logistics</w:t>
      </w:r>
      <w:r w:rsidRPr="00E744FD">
        <w:rPr>
          <w:rFonts w:ascii="Times New Roman" w:hAnsi="Times New Roman" w:cs="Times New Roman"/>
          <w:b/>
          <w:bCs/>
        </w:rPr>
        <w:t xml:space="preserve"> analyses on variables for the prediction of</w:t>
      </w:r>
      <w:r w:rsidRPr="008B4EA4"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h</w:t>
      </w:r>
      <w:r w:rsidRPr="008B4EA4">
        <w:rPr>
          <w:rFonts w:ascii="Times New Roman" w:hAnsi="Times New Roman" w:cs="Times New Roman" w:hint="eastAsia"/>
          <w:b/>
          <w:bCs/>
        </w:rPr>
        <w:t>ypothermia</w:t>
      </w:r>
      <w:r w:rsidRPr="008B4EA4">
        <w:rPr>
          <w:rFonts w:ascii="Times New Roman" w:hAnsi="Times New Roman" w:cs="Times New Roman"/>
          <w:b/>
          <w:bCs/>
        </w:rPr>
        <w:t xml:space="preserve"> </w:t>
      </w:r>
      <w:r w:rsidRPr="00E744FD">
        <w:rPr>
          <w:rFonts w:ascii="Times New Roman" w:hAnsi="Times New Roman" w:cs="Times New Roman"/>
          <w:b/>
          <w:bCs/>
        </w:rPr>
        <w:t>of patients</w:t>
      </w:r>
      <w:r w:rsidRPr="00E744FD">
        <w:rPr>
          <w:rFonts w:ascii="Times New Roman" w:hAnsi="Times New Roman" w:cs="Times New Roman" w:hint="eastAsia"/>
          <w:b/>
          <w:bCs/>
        </w:rPr>
        <w:t xml:space="preserve"> in the </w:t>
      </w:r>
      <w:r>
        <w:rPr>
          <w:rFonts w:ascii="Times New Roman" w:hAnsi="Times New Roman" w:cs="Times New Roman" w:hint="eastAsia"/>
          <w:b/>
          <w:bCs/>
        </w:rPr>
        <w:t>test set</w:t>
      </w:r>
      <w:r w:rsidRPr="00E744FD">
        <w:rPr>
          <w:rFonts w:ascii="Times New Roman" w:hAnsi="Times New Roman" w:cs="Times New Roman" w:hint="eastAsia"/>
          <w:b/>
          <w:bCs/>
        </w:rPr>
        <w:t>.</w:t>
      </w:r>
    </w:p>
    <w:p w14:paraId="38878552" w14:textId="77777777" w:rsidR="008B4EA4" w:rsidRPr="008B4EA4" w:rsidRDefault="008B4EA4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</w:p>
    <w:tbl>
      <w:tblPr>
        <w:tblpPr w:leftFromText="180" w:rightFromText="180" w:vertAnchor="page" w:horzAnchor="margin" w:tblpY="2825"/>
        <w:tblW w:w="0" w:type="auto"/>
        <w:tblLook w:val="0420" w:firstRow="1" w:lastRow="0" w:firstColumn="0" w:lastColumn="0" w:noHBand="0" w:noVBand="1"/>
      </w:tblPr>
      <w:tblGrid>
        <w:gridCol w:w="2330"/>
        <w:gridCol w:w="676"/>
        <w:gridCol w:w="1375"/>
        <w:gridCol w:w="1036"/>
      </w:tblGrid>
      <w:tr w:rsidR="008B4EA4" w:rsidRPr="00CC300E" w14:paraId="4E655E05" w14:textId="77777777" w:rsidTr="008B4EA4">
        <w:trPr>
          <w:tblHeader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6BEB" w14:textId="77777777" w:rsidR="008B4EA4" w:rsidRPr="00CC300E" w:rsidRDefault="008B4EA4" w:rsidP="003622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Characteristic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F0CF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OR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1841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95% CI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548C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p-value</w:t>
            </w:r>
          </w:p>
        </w:tc>
      </w:tr>
      <w:tr w:rsidR="008B4EA4" w:rsidRPr="00CC300E" w14:paraId="5C94F30D" w14:textId="77777777" w:rsidTr="008B4EA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B687" w14:textId="77777777" w:rsidR="008B4EA4" w:rsidRPr="00CC300E" w:rsidRDefault="008B4EA4" w:rsidP="003622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hAnsi="Times New Roman" w:cs="Times New Roman"/>
                <w:color w:val="000000"/>
                <w:szCs w:val="22"/>
              </w:rPr>
              <w:t>LAC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4098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1.18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E241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1.11, 1.25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CC0E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&lt;0.001</w:t>
            </w:r>
          </w:p>
        </w:tc>
      </w:tr>
      <w:tr w:rsidR="008B4EA4" w:rsidRPr="00CC300E" w14:paraId="27CD9938" w14:textId="77777777" w:rsidTr="008B4EA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1BE1" w14:textId="77777777" w:rsidR="008B4EA4" w:rsidRPr="00CC300E" w:rsidRDefault="008B4EA4" w:rsidP="003622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hAnsi="Times New Roman" w:cs="Times New Roman"/>
                <w:color w:val="000000"/>
                <w:szCs w:val="22"/>
              </w:rPr>
              <w:t>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5EA2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1.00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22CD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1.00, 1.01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E3EC" w14:textId="2F9FCF8C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0.07</w:t>
            </w:r>
          </w:p>
        </w:tc>
      </w:tr>
      <w:tr w:rsidR="008B4EA4" w:rsidRPr="00CC300E" w14:paraId="240C0AC3" w14:textId="77777777" w:rsidTr="008B4EA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D3EF" w14:textId="77777777" w:rsidR="008B4EA4" w:rsidRPr="00CC300E" w:rsidRDefault="008B4EA4" w:rsidP="003622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kern w:val="0"/>
                <w:szCs w:val="22"/>
                <w:lang w:eastAsia="en-US"/>
                <w14:ligatures w14:val="none"/>
              </w:rPr>
              <w:t>Treatment Duration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4274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1.02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32AE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1.01, 1.02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358B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&lt;0.001</w:t>
            </w:r>
          </w:p>
        </w:tc>
      </w:tr>
      <w:tr w:rsidR="008B4EA4" w:rsidRPr="00CC300E" w14:paraId="7319C144" w14:textId="77777777" w:rsidTr="008B4EA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9894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hAnsi="Times New Roman" w:cs="Times New Roman"/>
                <w:color w:val="000000"/>
                <w:szCs w:val="22"/>
              </w:rPr>
              <w:t>Baseline Temperature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5961" w14:textId="4BAC98C3" w:rsidR="008B4EA4" w:rsidRPr="00CC18C2" w:rsidRDefault="00CC18C2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  <w:t>9</w:t>
            </w:r>
            <w:r w:rsidR="008B4EA4"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C291" w14:textId="2097D228" w:rsidR="008B4EA4" w:rsidRPr="00CC18C2" w:rsidRDefault="00CC18C2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  <w:t>7</w:t>
            </w:r>
            <w:r w:rsidR="008B4EA4"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  <w:t>29</w:t>
            </w:r>
            <w:r w:rsidR="008B4EA4"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  <w:t>13</w:t>
            </w:r>
            <w:r w:rsidR="008B4EA4"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Cs w:val="22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16D4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&lt;0.001</w:t>
            </w:r>
          </w:p>
        </w:tc>
      </w:tr>
      <w:tr w:rsidR="008B4EA4" w:rsidRPr="00CC300E" w14:paraId="45D34AA2" w14:textId="77777777" w:rsidTr="008B4EA4">
        <w:tc>
          <w:tcPr>
            <w:tcW w:w="0" w:type="auto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5074" w14:textId="77777777" w:rsidR="008B4EA4" w:rsidRPr="00CC300E" w:rsidRDefault="008B4EA4" w:rsidP="008B4E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CC300E">
              <w:rPr>
                <w:rFonts w:ascii="Times New Roman" w:eastAsia="Arial" w:hAnsi="Times New Roman" w:cs="Times New Roman"/>
                <w:color w:val="000000"/>
                <w:szCs w:val="22"/>
              </w:rPr>
              <w:t>Abbreviations: CI = Confidence Interval, OR = Odds Ratio</w:t>
            </w:r>
          </w:p>
        </w:tc>
      </w:tr>
    </w:tbl>
    <w:p w14:paraId="685123E1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0BDA685A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29C27A75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24E0ABCE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5A2BB462" w14:textId="77777777" w:rsidR="00DD7605" w:rsidRPr="00CC300E" w:rsidRDefault="00DD7605">
      <w:pPr>
        <w:rPr>
          <w:rFonts w:ascii="Times New Roman" w:hAnsi="Times New Roman" w:cs="Times New Roman"/>
        </w:rPr>
      </w:pPr>
    </w:p>
    <w:p w14:paraId="369485BA" w14:textId="77777777" w:rsidR="00DD7605" w:rsidRPr="00CC300E" w:rsidRDefault="00DD760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D7605" w:rsidRPr="00CC300E" w:rsidSect="00CC300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6A1C" w14:textId="77777777" w:rsidR="0008713B" w:rsidRDefault="0008713B" w:rsidP="00CC30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06E328" w14:textId="77777777" w:rsidR="0008713B" w:rsidRDefault="0008713B" w:rsidP="00CC30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F41F" w14:textId="77777777" w:rsidR="0008713B" w:rsidRDefault="0008713B" w:rsidP="00CC30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2C248C" w14:textId="77777777" w:rsidR="0008713B" w:rsidRDefault="0008713B" w:rsidP="00CC30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05"/>
    <w:rsid w:val="0008713B"/>
    <w:rsid w:val="00123D5F"/>
    <w:rsid w:val="001860FF"/>
    <w:rsid w:val="0023209B"/>
    <w:rsid w:val="00260FBF"/>
    <w:rsid w:val="00331832"/>
    <w:rsid w:val="003622F1"/>
    <w:rsid w:val="004B0EB8"/>
    <w:rsid w:val="00591E83"/>
    <w:rsid w:val="008B4EA4"/>
    <w:rsid w:val="00A2459D"/>
    <w:rsid w:val="00B66171"/>
    <w:rsid w:val="00C54D9C"/>
    <w:rsid w:val="00CC18C2"/>
    <w:rsid w:val="00CC300E"/>
    <w:rsid w:val="00D1564E"/>
    <w:rsid w:val="00DD7605"/>
    <w:rsid w:val="00F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EDF5B"/>
  <w15:docId w15:val="{24BB6A31-021A-4ADF-BC14-9F510455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rFonts w:cs="宋体"/>
      <w:color w:val="0F4761"/>
      <w:sz w:val="24"/>
    </w:rPr>
  </w:style>
  <w:style w:type="character" w:customStyle="1" w:styleId="60">
    <w:name w:val="标题 6 字符"/>
    <w:basedOn w:val="a0"/>
    <w:link w:val="6"/>
    <w:uiPriority w:val="9"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rPr>
      <w:rFonts w:eastAsia="等线 Light" w:cs="宋体"/>
      <w:color w:val="595959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Pr>
      <w:rFonts w:ascii="等线 Light" w:eastAsia="等线 Light" w:hAnsi="等线 Light" w:cs="宋体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/>
    </w:rPr>
  </w:style>
  <w:style w:type="character" w:styleId="ad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paragraph" w:customStyle="1" w:styleId="TableCaption">
    <w:name w:val="Table Caption"/>
    <w:basedOn w:val="a"/>
    <w:qFormat/>
    <w:pPr>
      <w:widowControl/>
      <w:spacing w:after="0" w:line="240" w:lineRule="auto"/>
      <w:jc w:val="center"/>
    </w:pPr>
    <w:rPr>
      <w:b/>
      <w:i/>
      <w:kern w:val="0"/>
      <w:sz w:val="24"/>
      <w:lang w:eastAsia="en-US"/>
      <w14:ligatures w14:val="none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Pr>
      <w:sz w:val="18"/>
      <w:szCs w:val="18"/>
    </w:rPr>
  </w:style>
  <w:style w:type="paragraph" w:styleId="af2">
    <w:name w:val="caption"/>
    <w:basedOn w:val="a"/>
    <w:next w:val="a"/>
    <w:uiPriority w:val="35"/>
    <w:qFormat/>
    <w:rPr>
      <w:rFonts w:ascii="等线 Light" w:eastAsia="黑体" w:hAnsi="等线 Light"/>
      <w:sz w:val="20"/>
      <w:szCs w:val="20"/>
    </w:rPr>
  </w:style>
  <w:style w:type="paragraph" w:customStyle="1" w:styleId="af3">
    <w:name w:val="英文投稿"/>
    <w:basedOn w:val="a"/>
    <w:qFormat/>
    <w:rsid w:val="008B4EA4"/>
    <w:pPr>
      <w:spacing w:after="0" w:line="480" w:lineRule="auto"/>
      <w:jc w:val="both"/>
    </w:pPr>
    <w:rPr>
      <w:rFonts w:ascii="Times New Roman" w:eastAsia="Times New Roman" w:hAnsi="Times New Roman" w:cstheme="minorBidi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1991</Words>
  <Characters>12430</Characters>
  <Application>Microsoft Office Word</Application>
  <DocSecurity>0</DocSecurity>
  <Lines>1035</Lines>
  <Paragraphs>961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 wang</dc:creator>
  <cp:lastModifiedBy>荣杰 柏</cp:lastModifiedBy>
  <cp:revision>9</cp:revision>
  <cp:lastPrinted>2025-07-30T05:51:00Z</cp:lastPrinted>
  <dcterms:created xsi:type="dcterms:W3CDTF">2025-10-01T14:14:00Z</dcterms:created>
  <dcterms:modified xsi:type="dcterms:W3CDTF">2025-10-04T08:35:00Z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b1d19de63bb54097a90f9b2446ab7b01_22</vt:lpwstr>
  </property>
</Properties>
</file>