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2B57" w14:textId="77777777" w:rsidR="005B3C21" w:rsidRDefault="005B3C21" w:rsidP="005B3C21">
      <w:pPr>
        <w:keepNext/>
        <w:spacing w:before="180" w:after="180" w:line="480" w:lineRule="auto"/>
        <w:outlineLvl w:val="0"/>
        <w:rPr>
          <w:rFonts w:ascii="Times New Roman" w:hAnsi="Times New Roman" w:cs="Times New Roman"/>
          <w:b/>
          <w:bCs/>
          <w:w w:val="105"/>
          <w:kern w:val="52"/>
          <w:sz w:val="28"/>
          <w:szCs w:val="28"/>
          <w:lang w:eastAsia="en-US" w:bidi="en-US"/>
        </w:rPr>
      </w:pPr>
      <w:r w:rsidRPr="001D41A4">
        <w:rPr>
          <w:rFonts w:ascii="Times New Roman" w:hAnsi="Times New Roman" w:cs="Times New Roman" w:hint="eastAsia"/>
          <w:b/>
          <w:bCs/>
          <w:w w:val="105"/>
          <w:kern w:val="52"/>
          <w:sz w:val="28"/>
          <w:szCs w:val="28"/>
          <w:lang w:eastAsia="en-US" w:bidi="en-US"/>
        </w:rPr>
        <w:t>Su</w:t>
      </w:r>
      <w:r w:rsidRPr="001D41A4">
        <w:rPr>
          <w:rFonts w:ascii="Times New Roman" w:hAnsi="Times New Roman" w:cs="Times New Roman"/>
          <w:b/>
          <w:bCs/>
          <w:w w:val="105"/>
          <w:kern w:val="52"/>
          <w:sz w:val="28"/>
          <w:szCs w:val="28"/>
          <w:lang w:eastAsia="en-US" w:bidi="en-US"/>
        </w:rPr>
        <w:t>pp</w:t>
      </w:r>
      <w:r>
        <w:rPr>
          <w:rFonts w:ascii="Times New Roman" w:hAnsi="Times New Roman" w:cs="Times New Roman"/>
          <w:b/>
          <w:bCs/>
          <w:w w:val="105"/>
          <w:kern w:val="52"/>
          <w:sz w:val="28"/>
          <w:szCs w:val="28"/>
          <w:lang w:eastAsia="en-US" w:bidi="en-US"/>
        </w:rPr>
        <w:t>lementary</w:t>
      </w:r>
      <w:r w:rsidRPr="001D41A4">
        <w:rPr>
          <w:rFonts w:ascii="Times New Roman" w:hAnsi="Times New Roman" w:cs="Times New Roman"/>
          <w:b/>
          <w:bCs/>
          <w:w w:val="105"/>
          <w:kern w:val="52"/>
          <w:sz w:val="28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b/>
          <w:bCs/>
          <w:w w:val="105"/>
          <w:kern w:val="52"/>
          <w:sz w:val="28"/>
          <w:szCs w:val="28"/>
          <w:lang w:eastAsia="en-US" w:bidi="en-US"/>
        </w:rPr>
        <w:t>I</w:t>
      </w:r>
      <w:r w:rsidRPr="001D41A4">
        <w:rPr>
          <w:rFonts w:ascii="Times New Roman" w:hAnsi="Times New Roman" w:cs="Times New Roman"/>
          <w:b/>
          <w:bCs/>
          <w:w w:val="105"/>
          <w:kern w:val="52"/>
          <w:sz w:val="28"/>
          <w:szCs w:val="28"/>
          <w:lang w:eastAsia="en-US" w:bidi="en-US"/>
        </w:rPr>
        <w:t>nformation</w:t>
      </w:r>
    </w:p>
    <w:p w14:paraId="7556A270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>Table S1</w:t>
      </w:r>
      <w:r>
        <w:rPr>
          <w:rStyle w:val="Heading2Char"/>
          <w:rFonts w:ascii="Times New Roman" w:hAnsi="Times New Roman" w:cs="Times New Roman"/>
          <w:sz w:val="24"/>
          <w:szCs w:val="24"/>
        </w:rPr>
        <w:t>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Clinical characteristics of patients in our cohort.</w:t>
      </w:r>
    </w:p>
    <w:p w14:paraId="17A28A04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>Table S2</w:t>
      </w:r>
      <w:r>
        <w:rPr>
          <w:rStyle w:val="Heading2Char"/>
          <w:rFonts w:ascii="Times New Roman" w:hAnsi="Times New Roman" w:cs="Times New Roman"/>
          <w:sz w:val="24"/>
          <w:szCs w:val="24"/>
        </w:rPr>
        <w:t>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The result of differentially expressed HERVs (absolute Log2 Fold Change &gt;1.5 and adjusted p value &lt;0.05).</w:t>
      </w:r>
    </w:p>
    <w:p w14:paraId="51958183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 xml:space="preserve">Table S3: 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>The details of 246 survival-related differentially expressed HERVs.</w:t>
      </w:r>
    </w:p>
    <w:p w14:paraId="6F96520F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>Table S4: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The annotations of 246 survival-related differentially expressed HERVs using Telescope.</w:t>
      </w:r>
    </w:p>
    <w:p w14:paraId="74D6F09F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>Table S5: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The 246 survival-related differentially expressed HERVs characters (oncogene-like or tumor suppressor gene-like).</w:t>
      </w:r>
    </w:p>
    <w:p w14:paraId="74DA089B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 xml:space="preserve">Table S6: 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>Survival-related differentially expressed HERVs up-regulated (A) and down-regulated (B) in cancer tissue compared to non-tumor tissue.</w:t>
      </w:r>
    </w:p>
    <w:p w14:paraId="6B892475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>Table S7: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Expression levels of nearby genes associated with 246 survival-related differentially expressed HERVs in tumor and non-tumor tissues.</w:t>
      </w:r>
    </w:p>
    <w:p w14:paraId="074889FA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>Table S8: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The detail of survival-related nearby genes.</w:t>
      </w:r>
    </w:p>
    <w:p w14:paraId="04E1FDD6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>Table S9: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Expression levels of 246 survival-related differentially expressed HERVs and their nearby genes in tumor and non-tumor tissues.</w:t>
      </w:r>
    </w:p>
    <w:p w14:paraId="6CD3AF31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>Table S10: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The 246 survival-related differentially expressed HERVs associated with breast cancer subgroups. Red label HERVs represent no expression in non-cancerous tissues.</w:t>
      </w:r>
    </w:p>
    <w:p w14:paraId="0FF4CA56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>Table S11: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Clinical phenotypes associated with HCC subgroups.</w:t>
      </w:r>
    </w:p>
    <w:p w14:paraId="3D030F7F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>Table S12: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Gene mutations associated with HCC subgroups.</w:t>
      </w:r>
    </w:p>
    <w:p w14:paraId="39765534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>Table S13: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Comparison of ten HERV-related gene panels and nearby genes of survival-related differentially expressed HERVs across HERV-based subgroups in breast cancer. All comparisons are shown, including non-significant results.</w:t>
      </w:r>
    </w:p>
    <w:p w14:paraId="0BAF6C1C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lastRenderedPageBreak/>
        <w:t>Table S14: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Comprehensive Fisher’s exact test results assessing enrichment of upregulated and downregulated genes in all curated gene panels across HERV-defined breast cancer subtypes. This table includes all gene panels regardless of statistical significance and serves as a complete reference for the summarized results shown in the main figures, which display only panels with p &lt; 0.05.</w:t>
      </w:r>
    </w:p>
    <w:p w14:paraId="63D314D5" w14:textId="77777777" w:rsidR="005B3C21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 xml:space="preserve">Table S15: 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>Comparison of tumor microenvironment cell type composition across tissue types (tumor vs. normal), HERV expression levels, and HERV-based subgroups in breast cancer. All comparisons are shown, including non-significant results.</w:t>
      </w:r>
    </w:p>
    <w:p w14:paraId="33D32518" w14:textId="77777777" w:rsidR="005B3C21" w:rsidRPr="001D41A4" w:rsidRDefault="005B3C21" w:rsidP="005B3C21">
      <w:pPr>
        <w:widowControl/>
        <w:spacing w:line="480" w:lineRule="auto"/>
        <w:jc w:val="both"/>
        <w:rPr>
          <w:rStyle w:val="Heading2Char"/>
          <w:rFonts w:ascii="Times New Roman" w:hAnsi="Times New Roman" w:cs="Times New Roman"/>
          <w:b/>
          <w:bCs/>
          <w:sz w:val="24"/>
          <w:szCs w:val="24"/>
        </w:rPr>
      </w:pPr>
      <w:r w:rsidRPr="00F533B7">
        <w:rPr>
          <w:rStyle w:val="Heading2Char"/>
          <w:rFonts w:ascii="Times New Roman" w:hAnsi="Times New Roman" w:cs="Times New Roman"/>
          <w:sz w:val="24"/>
          <w:szCs w:val="24"/>
        </w:rPr>
        <w:t>Table S16</w:t>
      </w:r>
      <w:r>
        <w:rPr>
          <w:rStyle w:val="Heading2Char"/>
          <w:rFonts w:ascii="Times New Roman" w:hAnsi="Times New Roman" w:cs="Times New Roman"/>
          <w:sz w:val="24"/>
          <w:szCs w:val="24"/>
        </w:rPr>
        <w:t>:</w:t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t xml:space="preserve"> The result of differentially expressed non-LTR (absolute Log2 Fold Change &gt;1 and adjusted p value &lt;0.05).</w:t>
      </w:r>
      <w:r w:rsidRPr="001D41A4">
        <w:rPr>
          <w:rStyle w:val="Heading2Char"/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1D41A4">
        <w:rPr>
          <w:rStyle w:val="Heading2Char"/>
          <w:rFonts w:ascii="Times New Roman" w:hAnsi="Times New Roman" w:cs="Times New Roman"/>
          <w:sz w:val="24"/>
          <w:szCs w:val="24"/>
        </w:rPr>
        <w:instrText xml:space="preserve"> ADDIN </w:instrText>
      </w:r>
      <w:r w:rsidRPr="001D41A4">
        <w:rPr>
          <w:rStyle w:val="Heading2Char"/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00A36981" w14:textId="77777777" w:rsidR="00EB4A2D" w:rsidRDefault="00EB4A2D"/>
    <w:sectPr w:rsidR="00EB4A2D" w:rsidSect="005B3C21">
      <w:footerReference w:type="default" r:id="rId5"/>
      <w:pgSz w:w="11910" w:h="16840"/>
      <w:pgMar w:top="1440" w:right="1800" w:bottom="1440" w:left="1800" w:header="0" w:footer="839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3688215"/>
      <w:docPartObj>
        <w:docPartGallery w:val="Page Numbers (Bottom of Page)"/>
        <w:docPartUnique/>
      </w:docPartObj>
    </w:sdtPr>
    <w:sdtContent>
      <w:p w14:paraId="4642CAE8" w14:textId="77777777" w:rsidR="005B3C21" w:rsidRDefault="005B3C2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B6F012C" w14:textId="77777777" w:rsidR="005B3C21" w:rsidRDefault="005B3C2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21"/>
    <w:rsid w:val="002C7D54"/>
    <w:rsid w:val="0033371E"/>
    <w:rsid w:val="005B3C21"/>
    <w:rsid w:val="005C0D39"/>
    <w:rsid w:val="0070406C"/>
    <w:rsid w:val="00724754"/>
    <w:rsid w:val="00C321FA"/>
    <w:rsid w:val="00C97210"/>
    <w:rsid w:val="00EB4A2D"/>
    <w:rsid w:val="00EE513F"/>
    <w:rsid w:val="00F50800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9C56F"/>
  <w15:chartTrackingRefBased/>
  <w15:docId w15:val="{3305251A-741F-4A39-8E45-E265D534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C21"/>
    <w:pPr>
      <w:widowControl w:val="0"/>
      <w:spacing w:after="0" w:line="240" w:lineRule="auto"/>
    </w:pPr>
    <w:rPr>
      <w:rFonts w:eastAsiaTheme="minorEastAsia"/>
      <w:szCs w:val="22"/>
      <w:lang w:val="en-US"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C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C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C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C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B3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C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C2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B3C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3C21"/>
    <w:rPr>
      <w:rFonts w:eastAsiaTheme="minorEastAsia"/>
      <w:sz w:val="20"/>
      <w:szCs w:val="20"/>
      <w:lang w:val="en-US"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2026-05-18T14:13:00Z</dcterms:created>
  <dcterms:modified xsi:type="dcterms:W3CDTF">2026-05-18T14:14:00Z</dcterms:modified>
</cp:coreProperties>
</file>