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179E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Table 1. </w:t>
      </w:r>
      <w:r>
        <w:rPr>
          <w:rFonts w:hint="default" w:ascii="Times New Roman" w:hAnsi="Times New Roman" w:cs="Times New Roman"/>
          <w:lang w:val="en-US" w:eastAsia="zh-CN"/>
        </w:rPr>
        <w:t>Baseline demographic and clinical characteristics of patients after propensity score matching</w:t>
      </w:r>
    </w:p>
    <w:tbl>
      <w:tblPr>
        <w:tblStyle w:val="3"/>
        <w:tblW w:w="842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6"/>
        <w:gridCol w:w="2626"/>
        <w:gridCol w:w="1942"/>
        <w:gridCol w:w="1131"/>
      </w:tblGrid>
      <w:tr w14:paraId="1105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  <w:tl2br w:val="nil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D9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F2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Non-rLDH (n=53)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370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rLDH (n=53)</w:t>
            </w:r>
          </w:p>
        </w:tc>
        <w:tc>
          <w:tcPr>
            <w:tcW w:w="1087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E2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4BAB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8E7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Age (years)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F0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45.28 ± 11.34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1D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47.19 ± 10.92</w:t>
            </w:r>
          </w:p>
        </w:tc>
        <w:tc>
          <w:tcPr>
            <w:tcW w:w="1087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0A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0.38</w:t>
            </w:r>
          </w:p>
        </w:tc>
      </w:tr>
      <w:tr w14:paraId="346B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33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Male, n (%)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53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29 (54.7)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DE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31 (58.5)</w:t>
            </w:r>
          </w:p>
        </w:tc>
        <w:tc>
          <w:tcPr>
            <w:tcW w:w="108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90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0.69</w:t>
            </w:r>
          </w:p>
        </w:tc>
      </w:tr>
      <w:tr w14:paraId="5109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095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BMI (kg/m²)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9C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.12 ± 3.01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B0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24.39 ± 3.26</w:t>
            </w:r>
          </w:p>
        </w:tc>
        <w:tc>
          <w:tcPr>
            <w:tcW w:w="108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9B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D3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52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Smoking, n (%)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5D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 (34.0)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621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 (39.6)</w:t>
            </w:r>
          </w:p>
        </w:tc>
        <w:tc>
          <w:tcPr>
            <w:tcW w:w="108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2724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0.54</w:t>
            </w:r>
          </w:p>
        </w:tc>
      </w:tr>
      <w:tr w14:paraId="2D0C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A5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Diabetes, n (%)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E7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 (11.3)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65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 (15.1)</w:t>
            </w:r>
          </w:p>
        </w:tc>
        <w:tc>
          <w:tcPr>
            <w:tcW w:w="108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B2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0.56</w:t>
            </w:r>
          </w:p>
        </w:tc>
      </w:tr>
      <w:tr w14:paraId="6093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C55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Follow-up (months)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8A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24.9 ± 6.3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3C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25.4 ± 5.8</w:t>
            </w:r>
          </w:p>
        </w:tc>
        <w:tc>
          <w:tcPr>
            <w:tcW w:w="108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49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0.62</w:t>
            </w:r>
          </w:p>
        </w:tc>
      </w:tr>
    </w:tbl>
    <w:p w14:paraId="476229FF">
      <w:pPr>
        <w:rPr>
          <w:rFonts w:hint="default" w:ascii="Times New Roman" w:hAnsi="Times New Roman" w:cs="Times New Roman"/>
          <w:lang w:val="en-US" w:eastAsia="zh-CN"/>
        </w:rPr>
      </w:pPr>
    </w:p>
    <w:p w14:paraId="30CCF79B">
      <w:pPr>
        <w:rPr>
          <w:rFonts w:hint="default" w:ascii="Times New Roman" w:hAnsi="Times New Roman" w:cs="Times New Roman"/>
          <w:lang w:val="en-US" w:eastAsia="zh-CN"/>
        </w:rPr>
      </w:pPr>
    </w:p>
    <w:p w14:paraId="4DDE7BF3">
      <w:pPr>
        <w:rPr>
          <w:rFonts w:hint="default" w:ascii="Times New Roman" w:hAnsi="Times New Roman" w:cs="Times New Roman"/>
          <w:lang w:val="en-US" w:eastAsia="zh-CN"/>
        </w:rPr>
      </w:pPr>
    </w:p>
    <w:p w14:paraId="7B5A91AC">
      <w:pPr>
        <w:rPr>
          <w:rFonts w:hint="default" w:ascii="Times New Roman" w:hAnsi="Times New Roman" w:cs="Times New Roman"/>
          <w:lang w:val="en-US" w:eastAsia="zh-CN"/>
        </w:rPr>
      </w:pPr>
    </w:p>
    <w:p w14:paraId="29592965">
      <w:pPr>
        <w:rPr>
          <w:rFonts w:hint="default" w:ascii="Times New Roman" w:hAnsi="Times New Roman" w:cs="Times New Roman"/>
          <w:lang w:val="en-US" w:eastAsia="zh-CN"/>
        </w:rPr>
      </w:pPr>
    </w:p>
    <w:p w14:paraId="739BE1AA">
      <w:pPr>
        <w:rPr>
          <w:rFonts w:hint="default" w:ascii="Times New Roman" w:hAnsi="Times New Roman" w:cs="Times New Roman"/>
          <w:lang w:val="en-US" w:eastAsia="zh-CN"/>
        </w:rPr>
      </w:pPr>
    </w:p>
    <w:p w14:paraId="0B196BC2">
      <w:pPr>
        <w:rPr>
          <w:rFonts w:hint="default" w:ascii="Times New Roman" w:hAnsi="Times New Roman" w:cs="Times New Roman"/>
          <w:lang w:val="en-US" w:eastAsia="zh-CN"/>
        </w:rPr>
      </w:pPr>
    </w:p>
    <w:p w14:paraId="7E6587EA">
      <w:pPr>
        <w:rPr>
          <w:rFonts w:hint="default" w:ascii="Times New Roman" w:hAnsi="Times New Roman" w:cs="Times New Roman"/>
          <w:lang w:val="en-US" w:eastAsia="zh-CN"/>
        </w:rPr>
      </w:pPr>
    </w:p>
    <w:p w14:paraId="7C39EC0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Table 2.</w:t>
      </w:r>
      <w:r>
        <w:rPr>
          <w:rFonts w:hint="default" w:ascii="Times New Roman" w:hAnsi="Times New Roman" w:cs="Times New Roman"/>
          <w:lang w:val="en-US" w:eastAsia="zh-CN"/>
        </w:rPr>
        <w:t xml:space="preserve"> Comparison of spinopelvic parameters and segmental degenerative features between the rLDH and non-rLDH groups</w:t>
      </w:r>
    </w:p>
    <w:tbl>
      <w:tblPr>
        <w:tblStyle w:val="3"/>
        <w:tblW w:w="842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1"/>
        <w:gridCol w:w="2336"/>
        <w:gridCol w:w="1721"/>
        <w:gridCol w:w="1007"/>
      </w:tblGrid>
      <w:tr w14:paraId="2BD1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A7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51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Non-rLDH (n=53)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E7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rLDH (n=53)</w:t>
            </w:r>
          </w:p>
        </w:tc>
        <w:tc>
          <w:tcPr>
            <w:tcW w:w="962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8A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572B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5D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PI (°)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4A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46.21 ± 7.88</w:t>
            </w:r>
          </w:p>
        </w:tc>
        <w:tc>
          <w:tcPr>
            <w:tcW w:w="0" w:type="auto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14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47.06 ± 7.42</w:t>
            </w:r>
          </w:p>
        </w:tc>
        <w:tc>
          <w:tcPr>
            <w:tcW w:w="962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20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0.56</w:t>
            </w:r>
          </w:p>
        </w:tc>
      </w:tr>
      <w:tr w14:paraId="1CA7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CE0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PT (°)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5B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17.38 ± 6.04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BF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18.02 ± 5.91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7D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0.59</w:t>
            </w:r>
          </w:p>
        </w:tc>
      </w:tr>
      <w:tr w14:paraId="7E68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E69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SS (°)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6E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28.83 ± 6.72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95B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29.04 ± 6.51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4D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0.87</w:t>
            </w:r>
          </w:p>
        </w:tc>
      </w:tr>
      <w:tr w14:paraId="2A37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C0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LL (°)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22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43.55 ± 9.14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37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42.09 ± 8.76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27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0.41</w:t>
            </w:r>
          </w:p>
        </w:tc>
      </w:tr>
      <w:tr w14:paraId="615A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60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PI–LL (°)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78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2.66 ± 7.81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99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5.92 ± 8.36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71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0.010</w:t>
            </w:r>
          </w:p>
        </w:tc>
      </w:tr>
      <w:tr w14:paraId="4374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EC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DH (mm)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85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7.84 ± 1.21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4A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9.36 ± 1.48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9F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 w14:paraId="44EB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C7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ROM (°)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DD9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9.18 ± 2.41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85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12.94 ± 3.27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F7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 w14:paraId="78AB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E9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Facet degeneration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B7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2.11 ± 0.63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D2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2.69 ± 0.71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CA6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0.003</w:t>
            </w:r>
          </w:p>
        </w:tc>
      </w:tr>
      <w:tr w14:paraId="6F42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B5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Pfirrmann grade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B3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3.06 ± 0.74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FE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3.81 ± 0.68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16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 w14:paraId="2D9B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02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Modic change, n (%)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43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 (7.5)</w:t>
            </w:r>
          </w:p>
        </w:tc>
        <w:tc>
          <w:tcPr>
            <w:tcW w:w="0" w:type="auto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F7D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 (35.8)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281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0.001</w:t>
            </w:r>
          </w:p>
        </w:tc>
      </w:tr>
      <w:tr w14:paraId="598A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331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18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Segmental instability, n (%)</w:t>
            </w:r>
          </w:p>
        </w:tc>
        <w:tc>
          <w:tcPr>
            <w:tcW w:w="230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88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 (11.3)</w:t>
            </w:r>
          </w:p>
        </w:tc>
        <w:tc>
          <w:tcPr>
            <w:tcW w:w="169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5E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22 (41.5)</w:t>
            </w:r>
          </w:p>
        </w:tc>
        <w:tc>
          <w:tcPr>
            <w:tcW w:w="96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B7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0.001</w:t>
            </w:r>
          </w:p>
        </w:tc>
      </w:tr>
    </w:tbl>
    <w:p w14:paraId="7A284CFB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BA4C7B6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6EB112A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8AD8A8E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4A558BA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C49243D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0E9EB24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4793EDE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23CD06E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96E0A3D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22004CD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Table 3. </w:t>
      </w:r>
      <w:r>
        <w:rPr>
          <w:rFonts w:hint="default" w:ascii="Times New Roman" w:hAnsi="Times New Roman" w:cs="Times New Roman"/>
          <w:lang w:val="en-US" w:eastAsia="zh-CN"/>
        </w:rPr>
        <w:t>Univariate and multivariate logistic regression analyses for risk factors of recurrent lumbar disc herniation</w:t>
      </w:r>
    </w:p>
    <w:tbl>
      <w:tblPr>
        <w:tblStyle w:val="3"/>
        <w:tblW w:w="8425" w:type="dxa"/>
        <w:tblCellSpacing w:w="15" w:type="dxa"/>
        <w:tblInd w:w="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2252"/>
        <w:gridCol w:w="994"/>
        <w:gridCol w:w="2410"/>
        <w:gridCol w:w="999"/>
      </w:tblGrid>
      <w:tr w14:paraId="2349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</w:trPr>
        <w:tc>
          <w:tcPr>
            <w:tcW w:w="1726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22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Variable</w:t>
            </w:r>
          </w:p>
        </w:tc>
        <w:tc>
          <w:tcPr>
            <w:tcW w:w="2222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16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 xml:space="preserve">Univariate OR </w:t>
            </w:r>
          </w:p>
          <w:p w14:paraId="73E3B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(95% CI)</w:t>
            </w:r>
          </w:p>
        </w:tc>
        <w:tc>
          <w:tcPr>
            <w:tcW w:w="96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43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  <w:tc>
          <w:tcPr>
            <w:tcW w:w="238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3B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 xml:space="preserve">Multivariate OR </w:t>
            </w:r>
          </w:p>
          <w:p w14:paraId="11146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(95% CI)</w:t>
            </w:r>
          </w:p>
        </w:tc>
        <w:tc>
          <w:tcPr>
            <w:tcW w:w="95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E6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FFFFFF"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0541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1726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15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BMI</w:t>
            </w:r>
          </w:p>
        </w:tc>
        <w:tc>
          <w:tcPr>
            <w:tcW w:w="2222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C4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1.14 (1.02–1.28)</w:t>
            </w:r>
          </w:p>
        </w:tc>
        <w:tc>
          <w:tcPr>
            <w:tcW w:w="96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B5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0.026</w:t>
            </w:r>
          </w:p>
        </w:tc>
        <w:tc>
          <w:tcPr>
            <w:tcW w:w="238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13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1.09 (0.95–1.25)</w:t>
            </w:r>
          </w:p>
        </w:tc>
        <w:tc>
          <w:tcPr>
            <w:tcW w:w="95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2C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0.22</w:t>
            </w:r>
          </w:p>
        </w:tc>
      </w:tr>
      <w:tr w14:paraId="2C51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172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8F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PI–LL</w:t>
            </w:r>
          </w:p>
        </w:tc>
        <w:tc>
          <w:tcPr>
            <w:tcW w:w="222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E9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1.07 (1.01–1.13)</w:t>
            </w:r>
          </w:p>
        </w:tc>
        <w:tc>
          <w:tcPr>
            <w:tcW w:w="96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23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0.011</w:t>
            </w:r>
          </w:p>
        </w:tc>
        <w:tc>
          <w:tcPr>
            <w:tcW w:w="2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EE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1.08 (1.01–1.14)</w:t>
            </w:r>
          </w:p>
        </w:tc>
        <w:tc>
          <w:tcPr>
            <w:tcW w:w="95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BA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0.015</w:t>
            </w:r>
          </w:p>
        </w:tc>
      </w:tr>
      <w:tr w14:paraId="13CF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172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1C1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DH</w:t>
            </w:r>
          </w:p>
        </w:tc>
        <w:tc>
          <w:tcPr>
            <w:tcW w:w="222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5D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1.52 (1.28–1.81)</w:t>
            </w:r>
          </w:p>
        </w:tc>
        <w:tc>
          <w:tcPr>
            <w:tcW w:w="96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5FA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  <w:tc>
          <w:tcPr>
            <w:tcW w:w="2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77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1.50 (1.14–1.97)</w:t>
            </w:r>
          </w:p>
        </w:tc>
        <w:tc>
          <w:tcPr>
            <w:tcW w:w="95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99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0.004</w:t>
            </w:r>
          </w:p>
        </w:tc>
      </w:tr>
      <w:tr w14:paraId="6331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172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F8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ROM</w:t>
            </w:r>
          </w:p>
        </w:tc>
        <w:tc>
          <w:tcPr>
            <w:tcW w:w="222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63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1.24 (1.14–1.35)</w:t>
            </w:r>
          </w:p>
        </w:tc>
        <w:tc>
          <w:tcPr>
            <w:tcW w:w="96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40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  <w:tc>
          <w:tcPr>
            <w:tcW w:w="2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51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1.12 (0.97–1.29)</w:t>
            </w:r>
          </w:p>
        </w:tc>
        <w:tc>
          <w:tcPr>
            <w:tcW w:w="95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D7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0.13</w:t>
            </w:r>
          </w:p>
        </w:tc>
      </w:tr>
      <w:tr w14:paraId="121D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172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13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Facet degeneration</w:t>
            </w:r>
          </w:p>
        </w:tc>
        <w:tc>
          <w:tcPr>
            <w:tcW w:w="222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AE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2.73 (1.39–5.36)</w:t>
            </w:r>
          </w:p>
        </w:tc>
        <w:tc>
          <w:tcPr>
            <w:tcW w:w="96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1B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0.004</w:t>
            </w:r>
          </w:p>
        </w:tc>
        <w:tc>
          <w:tcPr>
            <w:tcW w:w="2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B25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6.00 (1.74–20.70)</w:t>
            </w:r>
          </w:p>
        </w:tc>
        <w:tc>
          <w:tcPr>
            <w:tcW w:w="95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B6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0.005</w:t>
            </w:r>
          </w:p>
        </w:tc>
      </w:tr>
      <w:tr w14:paraId="08A7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172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FC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Modic change</w:t>
            </w:r>
          </w:p>
        </w:tc>
        <w:tc>
          <w:tcPr>
            <w:tcW w:w="222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617B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6.85 (1.89–24.83)</w:t>
            </w:r>
          </w:p>
        </w:tc>
        <w:tc>
          <w:tcPr>
            <w:tcW w:w="96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CF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0.001</w:t>
            </w:r>
          </w:p>
        </w:tc>
        <w:tc>
          <w:tcPr>
            <w:tcW w:w="2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42A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7.35 (1.55–34.86)</w:t>
            </w:r>
          </w:p>
        </w:tc>
        <w:tc>
          <w:tcPr>
            <w:tcW w:w="95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64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0.012</w:t>
            </w:r>
          </w:p>
        </w:tc>
      </w:tr>
      <w:tr w14:paraId="2E5D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172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52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Instability</w:t>
            </w:r>
          </w:p>
        </w:tc>
        <w:tc>
          <w:tcPr>
            <w:tcW w:w="222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8C6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5.56 (1.98–15.62)</w:t>
            </w:r>
          </w:p>
        </w:tc>
        <w:tc>
          <w:tcPr>
            <w:tcW w:w="96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36A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0.001</w:t>
            </w:r>
          </w:p>
        </w:tc>
        <w:tc>
          <w:tcPr>
            <w:tcW w:w="2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3C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2.01 (0.61–6.64)</w:t>
            </w:r>
          </w:p>
        </w:tc>
        <w:tc>
          <w:tcPr>
            <w:tcW w:w="95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4C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0.25</w:t>
            </w:r>
          </w:p>
        </w:tc>
      </w:tr>
      <w:tr w14:paraId="343F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1726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07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L4/5 level</w:t>
            </w:r>
          </w:p>
        </w:tc>
        <w:tc>
          <w:tcPr>
            <w:tcW w:w="2222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D1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2.04 (0.99–4.21)</w:t>
            </w:r>
          </w:p>
        </w:tc>
        <w:tc>
          <w:tcPr>
            <w:tcW w:w="96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B0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0.053</w:t>
            </w:r>
          </w:p>
        </w:tc>
        <w:tc>
          <w:tcPr>
            <w:tcW w:w="238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A8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4.08 (1.13–14.74)</w:t>
            </w:r>
          </w:p>
        </w:tc>
        <w:tc>
          <w:tcPr>
            <w:tcW w:w="95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22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0.032</w:t>
            </w:r>
          </w:p>
        </w:tc>
      </w:tr>
    </w:tbl>
    <w:p w14:paraId="06E9E907">
      <w:pPr>
        <w:rPr>
          <w:rFonts w:ascii="宋体" w:hAnsi="宋体" w:eastAsia="宋体" w:cs="宋体"/>
          <w:sz w:val="24"/>
          <w:szCs w:val="24"/>
        </w:rPr>
      </w:pPr>
    </w:p>
    <w:p w14:paraId="2B583970">
      <w:pPr>
        <w:rPr>
          <w:rFonts w:ascii="宋体" w:hAnsi="宋体" w:eastAsia="宋体" w:cs="宋体"/>
          <w:sz w:val="24"/>
          <w:szCs w:val="24"/>
        </w:rPr>
      </w:pPr>
    </w:p>
    <w:p w14:paraId="60D739C5">
      <w:pPr>
        <w:rPr>
          <w:rFonts w:ascii="宋体" w:hAnsi="宋体" w:eastAsia="宋体" w:cs="宋体"/>
          <w:sz w:val="24"/>
          <w:szCs w:val="24"/>
        </w:rPr>
      </w:pPr>
    </w:p>
    <w:p w14:paraId="280DEDEF">
      <w:pPr>
        <w:rPr>
          <w:rFonts w:ascii="宋体" w:hAnsi="宋体" w:eastAsia="宋体" w:cs="宋体"/>
          <w:sz w:val="24"/>
          <w:szCs w:val="24"/>
        </w:rPr>
      </w:pPr>
    </w:p>
    <w:p w14:paraId="0A46E684">
      <w:pPr>
        <w:rPr>
          <w:rFonts w:ascii="宋体" w:hAnsi="宋体" w:eastAsia="宋体" w:cs="宋体"/>
          <w:sz w:val="24"/>
          <w:szCs w:val="24"/>
        </w:rPr>
      </w:pPr>
    </w:p>
    <w:p w14:paraId="2317BE89">
      <w:pPr>
        <w:rPr>
          <w:rFonts w:ascii="宋体" w:hAnsi="宋体" w:eastAsia="宋体" w:cs="宋体"/>
          <w:sz w:val="24"/>
          <w:szCs w:val="24"/>
        </w:rPr>
      </w:pPr>
    </w:p>
    <w:p w14:paraId="53C254F7">
      <w:pPr>
        <w:rPr>
          <w:rFonts w:ascii="宋体" w:hAnsi="宋体" w:eastAsia="宋体" w:cs="宋体"/>
          <w:sz w:val="24"/>
          <w:szCs w:val="24"/>
        </w:rPr>
      </w:pPr>
    </w:p>
    <w:p w14:paraId="662B1261">
      <w:pPr>
        <w:rPr>
          <w:rFonts w:ascii="宋体" w:hAnsi="宋体" w:eastAsia="宋体" w:cs="宋体"/>
          <w:sz w:val="24"/>
          <w:szCs w:val="24"/>
        </w:rPr>
      </w:pPr>
    </w:p>
    <w:p w14:paraId="5E626E01">
      <w:pPr>
        <w:rPr>
          <w:rFonts w:ascii="宋体" w:hAnsi="宋体" w:eastAsia="宋体" w:cs="宋体"/>
          <w:sz w:val="24"/>
          <w:szCs w:val="24"/>
        </w:rPr>
      </w:pPr>
    </w:p>
    <w:p w14:paraId="24620FB2">
      <w:pPr>
        <w:rPr>
          <w:rFonts w:ascii="宋体" w:hAnsi="宋体" w:eastAsia="宋体" w:cs="宋体"/>
          <w:sz w:val="24"/>
          <w:szCs w:val="24"/>
        </w:rPr>
      </w:pPr>
    </w:p>
    <w:p w14:paraId="0EBC5C86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Table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b/>
          <w:bCs/>
          <w:sz w:val="24"/>
          <w:szCs w:val="24"/>
        </w:rPr>
        <w:t>.</w:t>
      </w:r>
      <w:r>
        <w:rPr>
          <w:rFonts w:ascii="宋体" w:hAnsi="宋体" w:eastAsia="宋体" w:cs="宋体"/>
          <w:sz w:val="24"/>
          <w:szCs w:val="24"/>
        </w:rPr>
        <w:t xml:space="preserve"> Baseline covariate balance after propensity score matching</w:t>
      </w:r>
    </w:p>
    <w:tbl>
      <w:tblPr>
        <w:tblStyle w:val="3"/>
        <w:tblW w:w="842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2123"/>
        <w:gridCol w:w="1644"/>
        <w:gridCol w:w="879"/>
        <w:gridCol w:w="1039"/>
      </w:tblGrid>
      <w:tr w14:paraId="632D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74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166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Covariate</w:t>
            </w:r>
          </w:p>
        </w:tc>
        <w:tc>
          <w:tcPr>
            <w:tcW w:w="212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382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Non-rLDH (n=53)</w:t>
            </w:r>
          </w:p>
        </w:tc>
        <w:tc>
          <w:tcPr>
            <w:tcW w:w="164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40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rLDH (n=53)</w:t>
            </w:r>
          </w:p>
        </w:tc>
        <w:tc>
          <w:tcPr>
            <w:tcW w:w="87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1C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SMD</w:t>
            </w:r>
          </w:p>
        </w:tc>
        <w:tc>
          <w:tcPr>
            <w:tcW w:w="103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000000" w:themeFill="dark1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EC7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P value</w:t>
            </w:r>
          </w:p>
        </w:tc>
      </w:tr>
      <w:tr w14:paraId="60F5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40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0A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(years)</w:t>
            </w:r>
          </w:p>
        </w:tc>
        <w:tc>
          <w:tcPr>
            <w:tcW w:w="2123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F5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kern w:val="0"/>
                <w:sz w:val="22"/>
                <w:szCs w:val="24"/>
                <w:lang w:val="en-US" w:eastAsia="zh-CN" w:bidi="ar"/>
              </w:rPr>
              <w:t>45.28 ± 11.34</w:t>
            </w:r>
          </w:p>
        </w:tc>
        <w:tc>
          <w:tcPr>
            <w:tcW w:w="164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A6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kern w:val="0"/>
                <w:sz w:val="22"/>
                <w:szCs w:val="24"/>
                <w:lang w:val="en-US" w:eastAsia="zh-CN" w:bidi="ar"/>
              </w:rPr>
              <w:t>47.19 ± 10.92</w:t>
            </w:r>
          </w:p>
        </w:tc>
        <w:tc>
          <w:tcPr>
            <w:tcW w:w="87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62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103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64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0.770</w:t>
            </w:r>
          </w:p>
        </w:tc>
      </w:tr>
      <w:tr w14:paraId="54D3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08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Male, n (%)</w:t>
            </w:r>
          </w:p>
        </w:tc>
        <w:tc>
          <w:tcPr>
            <w:tcW w:w="212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85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 (54.7)</w:t>
            </w:r>
          </w:p>
        </w:tc>
        <w:tc>
          <w:tcPr>
            <w:tcW w:w="16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51D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 (50.9)</w:t>
            </w:r>
          </w:p>
        </w:tc>
        <w:tc>
          <w:tcPr>
            <w:tcW w:w="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80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</w:p>
        </w:tc>
        <w:tc>
          <w:tcPr>
            <w:tcW w:w="10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C63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0.846</w:t>
            </w:r>
          </w:p>
        </w:tc>
      </w:tr>
      <w:tr w14:paraId="0490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19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 (kg/m²)</w:t>
            </w:r>
          </w:p>
        </w:tc>
        <w:tc>
          <w:tcPr>
            <w:tcW w:w="212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6F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kern w:val="0"/>
                <w:sz w:val="22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kern w:val="0"/>
                <w:sz w:val="22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kern w:val="0"/>
                <w:sz w:val="22"/>
                <w:szCs w:val="24"/>
                <w:lang w:val="en-US" w:eastAsia="zh-CN" w:bidi="ar"/>
              </w:rPr>
              <w:t>.12 ± 3.01</w:t>
            </w:r>
          </w:p>
        </w:tc>
        <w:tc>
          <w:tcPr>
            <w:tcW w:w="16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E7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kern w:val="0"/>
                <w:sz w:val="22"/>
                <w:szCs w:val="24"/>
                <w:lang w:val="en-US" w:eastAsia="zh-CN" w:bidi="ar"/>
              </w:rPr>
              <w:t>24.39 ± 3.26</w:t>
            </w:r>
          </w:p>
        </w:tc>
        <w:tc>
          <w:tcPr>
            <w:tcW w:w="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3E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FB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58CB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40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36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z w:val="22"/>
                <w:szCs w:val="24"/>
              </w:rPr>
              <w:t>Surgical level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z w:val="22"/>
                <w:szCs w:val="24"/>
                <w:lang w:val="en-US" w:eastAsia="zh-CN"/>
              </w:rPr>
              <w:t xml:space="preserve"> L4/5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 n (%)</w:t>
            </w:r>
          </w:p>
        </w:tc>
        <w:tc>
          <w:tcPr>
            <w:tcW w:w="2123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996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 (62.3)</w:t>
            </w:r>
          </w:p>
        </w:tc>
        <w:tc>
          <w:tcPr>
            <w:tcW w:w="16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3A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 (58.5)</w:t>
            </w:r>
          </w:p>
        </w:tc>
        <w:tc>
          <w:tcPr>
            <w:tcW w:w="87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5C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10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88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0.843</w:t>
            </w:r>
          </w:p>
        </w:tc>
      </w:tr>
    </w:tbl>
    <w:p w14:paraId="784E4DDE">
      <w:pPr>
        <w:pStyle w:val="2"/>
        <w:keepNext w:val="0"/>
        <w:keepLines w:val="0"/>
        <w:widowControl/>
        <w:suppressLineNumbers w:val="0"/>
        <w:rPr>
          <w:sz w:val="18"/>
          <w:szCs w:val="18"/>
        </w:rPr>
      </w:pPr>
      <w:r>
        <w:rPr>
          <w:sz w:val="18"/>
          <w:szCs w:val="18"/>
        </w:rPr>
        <w:t>Values are presented as mean ± standard deviation or number (%).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sz w:val="18"/>
          <w:szCs w:val="18"/>
        </w:rPr>
        <w:t>SMD, standardized mean difference; BMI, body mass index.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sz w:val="18"/>
          <w:szCs w:val="18"/>
        </w:rPr>
        <w:t>An SMD &lt; 0.1 was considered indicative of adequate covariate balance.</w:t>
      </w:r>
    </w:p>
    <w:p w14:paraId="49CD186F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</w:p>
    <w:p w14:paraId="540A19AF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7088BF9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AB5308B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31667A5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24DB615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55A3C69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6AE2B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A54D8"/>
    <w:rsid w:val="2DC64AE0"/>
    <w:rsid w:val="4BE156B5"/>
    <w:rsid w:val="685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2026-03-14T08:13:52Z</dcterms:created>
  <dc:creator>G-D</dc:creator>
  <cp:lastModifiedBy>万古霉素(震感人 East)</cp:lastModifiedBy>
  <dcterms:modified xsi:type="dcterms:W3CDTF">2026-03-14T08:14:43Z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eyJoZGlkIjoiNDUxYTBhZDViOWE0ZTEzZGFlNmNhOTEwY2NlYWRmMWIiLCJ1c2VySWQiOiIzOTgzNzkwNDYifQ==</vt:lpwstr>
  </property>
  <property fmtid="{D5CDD505-2E9C-101B-9397-08002B2CF9AE}" pid="4" name="ICV">
    <vt:lpwstr>371CCAA78F794F9DB0ADB1B22FDF6133_12</vt:lpwstr>
  </property>
</Properties>
</file>