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474C" w14:textId="2CD7AAEA" w:rsidR="008E098B" w:rsidRPr="003B1E45" w:rsidRDefault="008E098B" w:rsidP="008E098B">
      <w:pPr>
        <w:adjustRightInd w:val="0"/>
        <w:snapToGrid w:val="0"/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098B">
        <w:rPr>
          <w:rFonts w:ascii="Arial" w:hAnsi="Arial" w:cs="Arial"/>
          <w:b/>
          <w:bCs/>
          <w:sz w:val="24"/>
          <w:szCs w:val="24"/>
        </w:rPr>
        <w:t>Supplementary material Appendix, Table 1</w:t>
      </w:r>
      <w:r w:rsidRPr="003B1E45">
        <w:rPr>
          <w:rFonts w:ascii="Arial" w:hAnsi="Arial" w:cs="Arial"/>
          <w:b/>
          <w:bCs/>
          <w:sz w:val="24"/>
          <w:szCs w:val="24"/>
        </w:rPr>
        <w:t xml:space="preserve">. </w:t>
      </w:r>
      <w:r w:rsidRPr="003B1E45">
        <w:rPr>
          <w:rFonts w:ascii="Arial" w:hAnsi="Arial" w:cs="Arial"/>
          <w:sz w:val="24"/>
          <w:szCs w:val="24"/>
        </w:rPr>
        <w:t>Documents for the ethical committee</w:t>
      </w:r>
      <w:sdt>
        <w:sdtPr>
          <w:rPr>
            <w:rFonts w:ascii="Arial" w:hAnsi="Arial" w:cs="Arial"/>
            <w:color w:val="000000"/>
            <w:sz w:val="24"/>
            <w:szCs w:val="24"/>
            <w:vertAlign w:val="superscript"/>
          </w:rPr>
          <w:tag w:val="MENDELEY_CITATION_v3_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"/>
          <w:id w:val="-1131317406"/>
          <w:placeholder>
            <w:docPart w:val="E02A1D84935B4438869A52A5809FD0D5"/>
          </w:placeholder>
        </w:sdtPr>
        <w:sdtContent>
          <w:r w:rsidRPr="003B1E45">
            <w:rPr>
              <w:rFonts w:ascii="Arial" w:hAnsi="Arial" w:cs="Arial"/>
              <w:color w:val="000000"/>
              <w:sz w:val="24"/>
              <w:szCs w:val="24"/>
              <w:vertAlign w:val="superscript"/>
            </w:rPr>
            <w:t>7</w:t>
          </w:r>
        </w:sdtContent>
      </w:sdt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098B" w:rsidRPr="003B1E45" w14:paraId="62F5C9CF" w14:textId="77777777" w:rsidTr="0014291E">
        <w:tc>
          <w:tcPr>
            <w:tcW w:w="9062" w:type="dxa"/>
          </w:tcPr>
          <w:p w14:paraId="63AE0573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(a) Approved and Turkish-translated kinship relationship documents (when their consanguinity is more than the fourth degree)</w:t>
            </w:r>
          </w:p>
          <w:p w14:paraId="2613FAA0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(b) Turkish-translated and approved passports</w:t>
            </w:r>
          </w:p>
          <w:p w14:paraId="67828A8A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(c) Report taken from a psychiatrist indicating that the donor can discriminate and voluntariness of donation</w:t>
            </w:r>
          </w:p>
          <w:p w14:paraId="1609B5BD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(d) Consent signed by the donor with two witnesses and the approval of the transplant physician</w:t>
            </w:r>
          </w:p>
          <w:p w14:paraId="0D8DD2D4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(e) Medically appropriate report for the donor and recipient that is provided by the transplant center</w:t>
            </w:r>
          </w:p>
          <w:p w14:paraId="14DDC737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(f) Several documents (e.g., photos, videos, and letters) showing acquaintance</w:t>
            </w:r>
          </w:p>
          <w:p w14:paraId="1B30454D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(g) Declaration of address</w:t>
            </w:r>
          </w:p>
          <w:p w14:paraId="25DF56EB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(h) Declaration of current income and any debts of both the donor and recipient</w:t>
            </w:r>
          </w:p>
          <w:p w14:paraId="041634D7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B1E45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B1E45">
              <w:rPr>
                <w:rFonts w:ascii="Arial" w:hAnsi="Arial" w:cs="Arial"/>
                <w:sz w:val="24"/>
                <w:szCs w:val="24"/>
              </w:rPr>
              <w:t>) When the donor is married, acceptance of spouse for the surgery is needed</w:t>
            </w:r>
          </w:p>
        </w:tc>
      </w:tr>
    </w:tbl>
    <w:p w14:paraId="0A4C02C3" w14:textId="77777777" w:rsidR="008E098B" w:rsidRPr="003B1E45" w:rsidRDefault="008E098B" w:rsidP="008E098B">
      <w:pPr>
        <w:adjustRightInd w:val="0"/>
        <w:snapToGrid w:val="0"/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B1E45">
        <w:rPr>
          <w:rFonts w:ascii="Arial" w:hAnsi="Arial" w:cs="Arial"/>
          <w:b/>
          <w:bCs/>
          <w:sz w:val="24"/>
          <w:szCs w:val="24"/>
        </w:rPr>
        <w:br w:type="page"/>
      </w:r>
    </w:p>
    <w:p w14:paraId="2112B049" w14:textId="78619408" w:rsidR="008E098B" w:rsidRPr="003B1E45" w:rsidRDefault="008E098B" w:rsidP="008E098B">
      <w:pPr>
        <w:adjustRightInd w:val="0"/>
        <w:snapToGri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8E098B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material </w:t>
      </w:r>
      <w:proofErr w:type="spellStart"/>
      <w:proofErr w:type="gramStart"/>
      <w:r w:rsidRPr="008E098B">
        <w:rPr>
          <w:rFonts w:ascii="Arial" w:hAnsi="Arial" w:cs="Arial"/>
          <w:b/>
          <w:bCs/>
          <w:sz w:val="24"/>
          <w:szCs w:val="24"/>
        </w:rPr>
        <w:t>Appendix,Table</w:t>
      </w:r>
      <w:proofErr w:type="spellEnd"/>
      <w:proofErr w:type="gramEnd"/>
      <w:r w:rsidRPr="008E098B">
        <w:rPr>
          <w:rFonts w:ascii="Arial" w:hAnsi="Arial" w:cs="Arial"/>
          <w:b/>
          <w:bCs/>
          <w:sz w:val="24"/>
          <w:szCs w:val="24"/>
        </w:rPr>
        <w:t xml:space="preserve"> 2</w:t>
      </w:r>
      <w:r w:rsidRPr="003B1E45">
        <w:rPr>
          <w:rFonts w:ascii="Arial" w:hAnsi="Arial" w:cs="Arial"/>
          <w:b/>
          <w:bCs/>
          <w:sz w:val="24"/>
          <w:szCs w:val="24"/>
        </w:rPr>
        <w:t xml:space="preserve">. </w:t>
      </w:r>
      <w:r w:rsidRPr="003B1E45">
        <w:rPr>
          <w:rFonts w:ascii="Arial" w:hAnsi="Arial" w:cs="Arial"/>
          <w:sz w:val="24"/>
          <w:szCs w:val="24"/>
        </w:rPr>
        <w:t>Preoperative workup for living donors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8E098B" w:rsidRPr="003B1E45" w14:paraId="24E26E27" w14:textId="77777777" w:rsidTr="0014291E">
        <w:tc>
          <w:tcPr>
            <w:tcW w:w="1129" w:type="dxa"/>
          </w:tcPr>
          <w:p w14:paraId="650191E5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E45">
              <w:rPr>
                <w:rFonts w:ascii="Arial" w:hAnsi="Arial" w:cs="Arial"/>
                <w:b/>
                <w:bCs/>
                <w:sz w:val="24"/>
                <w:szCs w:val="24"/>
              </w:rPr>
              <w:t>Steps</w:t>
            </w:r>
          </w:p>
        </w:tc>
        <w:tc>
          <w:tcPr>
            <w:tcW w:w="7933" w:type="dxa"/>
          </w:tcPr>
          <w:p w14:paraId="0846F2EF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E45">
              <w:rPr>
                <w:rFonts w:ascii="Arial" w:hAnsi="Arial" w:cs="Arial"/>
                <w:b/>
                <w:bCs/>
                <w:sz w:val="24"/>
                <w:szCs w:val="24"/>
              </w:rPr>
              <w:t>Items</w:t>
            </w:r>
          </w:p>
        </w:tc>
      </w:tr>
      <w:tr w:rsidR="008E098B" w:rsidRPr="003B1E45" w14:paraId="73A3EAB2" w14:textId="77777777" w:rsidTr="0014291E">
        <w:tc>
          <w:tcPr>
            <w:tcW w:w="1129" w:type="dxa"/>
          </w:tcPr>
          <w:p w14:paraId="1DA891E8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First Step</w:t>
            </w:r>
          </w:p>
        </w:tc>
        <w:tc>
          <w:tcPr>
            <w:tcW w:w="7933" w:type="dxa"/>
          </w:tcPr>
          <w:p w14:paraId="66F22C8C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 xml:space="preserve">Informing the donor regarding the surgery and postoperative period. Psychiatry consultations. Introducing the donor to the donor right protector. Quitting oral contraceptive drugs for females </w:t>
            </w:r>
          </w:p>
        </w:tc>
      </w:tr>
      <w:tr w:rsidR="008E098B" w:rsidRPr="003B1E45" w14:paraId="758E07AE" w14:textId="77777777" w:rsidTr="0014291E">
        <w:tc>
          <w:tcPr>
            <w:tcW w:w="1129" w:type="dxa"/>
          </w:tcPr>
          <w:p w14:paraId="726FA7D2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Second Step</w:t>
            </w:r>
          </w:p>
        </w:tc>
        <w:tc>
          <w:tcPr>
            <w:tcW w:w="7933" w:type="dxa"/>
          </w:tcPr>
          <w:p w14:paraId="4086188D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  <w:u w:val="single"/>
              </w:rPr>
              <w:t>General blood tests</w:t>
            </w:r>
            <w:r w:rsidRPr="003B1E45">
              <w:rPr>
                <w:rFonts w:ascii="Arial" w:hAnsi="Arial" w:cs="Arial"/>
                <w:sz w:val="24"/>
                <w:szCs w:val="24"/>
              </w:rPr>
              <w:t>: ABO-Rh typing, complete blood test, coagulation tests, liver function tests, kidney function tests, lipid profile, serological tests (hepatitis B, hepatitis C, hepatitis A, human immunodeficiency virus, syphilis, cytomegalovirus [CMV], Epstein–Barr virus [EBV], toxoplasma, rubella, and varicella)</w:t>
            </w:r>
          </w:p>
          <w:p w14:paraId="7368BD66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Chest X-ray, electrocardiography</w:t>
            </w:r>
          </w:p>
          <w:p w14:paraId="1436ECA4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Urinalysis</w:t>
            </w:r>
          </w:p>
          <w:p w14:paraId="1A21095A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Occult blood and parasite in the stool</w:t>
            </w:r>
          </w:p>
          <w:p w14:paraId="007076E6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 xml:space="preserve">B-HCG for females </w:t>
            </w:r>
          </w:p>
        </w:tc>
      </w:tr>
      <w:tr w:rsidR="008E098B" w:rsidRPr="003B1E45" w14:paraId="30F6B131" w14:textId="77777777" w:rsidTr="0014291E">
        <w:tc>
          <w:tcPr>
            <w:tcW w:w="1129" w:type="dxa"/>
          </w:tcPr>
          <w:p w14:paraId="64C98BE8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Third Step</w:t>
            </w:r>
          </w:p>
        </w:tc>
        <w:tc>
          <w:tcPr>
            <w:tcW w:w="7933" w:type="dxa"/>
          </w:tcPr>
          <w:p w14:paraId="230925AA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 xml:space="preserve">Advanced blood test: tumor markers (Ca 19-9, carcinoembryonic antigen [CEA], alpha fetoprotein [AFP], and prostate-specific antigen [PSA]), thyroid function tests, copper, vitamin B12, folic acid, </w:t>
            </w:r>
            <w:proofErr w:type="spellStart"/>
            <w:r w:rsidRPr="003B1E45">
              <w:rPr>
                <w:rFonts w:ascii="Arial" w:hAnsi="Arial" w:cs="Arial"/>
                <w:sz w:val="24"/>
                <w:szCs w:val="24"/>
              </w:rPr>
              <w:t>ceruplasmin</w:t>
            </w:r>
            <w:proofErr w:type="spellEnd"/>
            <w:r w:rsidRPr="003B1E4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B1E45">
              <w:rPr>
                <w:rFonts w:ascii="Arial" w:hAnsi="Arial" w:cs="Arial"/>
                <w:sz w:val="24"/>
                <w:szCs w:val="24"/>
              </w:rPr>
              <w:t>rheumotoid</w:t>
            </w:r>
            <w:proofErr w:type="spellEnd"/>
            <w:r w:rsidRPr="003B1E45">
              <w:rPr>
                <w:rFonts w:ascii="Arial" w:hAnsi="Arial" w:cs="Arial"/>
                <w:sz w:val="24"/>
                <w:szCs w:val="24"/>
              </w:rPr>
              <w:t xml:space="preserve"> factor, protein C activity, protein S activity, anti-thrombin III, transferrin, and iron</w:t>
            </w:r>
          </w:p>
        </w:tc>
      </w:tr>
      <w:tr w:rsidR="008E098B" w:rsidRPr="003B1E45" w14:paraId="65CA910A" w14:textId="77777777" w:rsidTr="0014291E">
        <w:tc>
          <w:tcPr>
            <w:tcW w:w="1129" w:type="dxa"/>
          </w:tcPr>
          <w:p w14:paraId="02F874C1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Fourth Step</w:t>
            </w:r>
          </w:p>
        </w:tc>
        <w:tc>
          <w:tcPr>
            <w:tcW w:w="7933" w:type="dxa"/>
          </w:tcPr>
          <w:p w14:paraId="10A3BC53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Heart consultation when the donor is older than 35 years old</w:t>
            </w:r>
          </w:p>
          <w:p w14:paraId="747C7612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Pulmonologist consultation when any symptom is noted</w:t>
            </w:r>
          </w:p>
        </w:tc>
      </w:tr>
      <w:tr w:rsidR="008E098B" w:rsidRPr="003B1E45" w14:paraId="44482A03" w14:textId="77777777" w:rsidTr="0014291E">
        <w:tc>
          <w:tcPr>
            <w:tcW w:w="1129" w:type="dxa"/>
          </w:tcPr>
          <w:p w14:paraId="272B1A41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Fifth Step</w:t>
            </w:r>
          </w:p>
        </w:tc>
        <w:tc>
          <w:tcPr>
            <w:tcW w:w="7933" w:type="dxa"/>
          </w:tcPr>
          <w:p w14:paraId="3B9AFF7D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Radiological studies: dynamic liver computed tomography (CT) with volumetry, liver magnetic resonance with cholangiography (MRCP)</w:t>
            </w:r>
          </w:p>
        </w:tc>
      </w:tr>
      <w:tr w:rsidR="008E098B" w:rsidRPr="003B1E45" w14:paraId="01A4CE54" w14:textId="77777777" w:rsidTr="0014291E">
        <w:tc>
          <w:tcPr>
            <w:tcW w:w="1129" w:type="dxa"/>
          </w:tcPr>
          <w:p w14:paraId="1F80997F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Sixth Step</w:t>
            </w:r>
          </w:p>
        </w:tc>
        <w:tc>
          <w:tcPr>
            <w:tcW w:w="7933" w:type="dxa"/>
          </w:tcPr>
          <w:p w14:paraId="238D5FE6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Ultrasonography-guided liver biopsy</w:t>
            </w:r>
          </w:p>
        </w:tc>
      </w:tr>
    </w:tbl>
    <w:p w14:paraId="2A8C22D7" w14:textId="77777777" w:rsidR="008E098B" w:rsidRDefault="008E098B" w:rsidP="008E098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br w:type="page"/>
      </w:r>
    </w:p>
    <w:p w14:paraId="5D216008" w14:textId="1179B9BA" w:rsidR="008E098B" w:rsidRPr="003B1E45" w:rsidRDefault="008E098B" w:rsidP="008E098B">
      <w:pPr>
        <w:adjustRightInd w:val="0"/>
        <w:snapToGri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8E098B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material </w:t>
      </w:r>
      <w:proofErr w:type="spellStart"/>
      <w:proofErr w:type="gramStart"/>
      <w:r w:rsidRPr="008E098B">
        <w:rPr>
          <w:rFonts w:ascii="Arial" w:hAnsi="Arial" w:cs="Arial"/>
          <w:b/>
          <w:bCs/>
          <w:sz w:val="24"/>
          <w:szCs w:val="24"/>
        </w:rPr>
        <w:t>Appendix,Table</w:t>
      </w:r>
      <w:proofErr w:type="spellEnd"/>
      <w:proofErr w:type="gramEnd"/>
      <w:r w:rsidRPr="008E098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Pr="003B1E45">
        <w:rPr>
          <w:rFonts w:ascii="Arial" w:hAnsi="Arial" w:cs="Arial"/>
          <w:sz w:val="24"/>
          <w:szCs w:val="24"/>
        </w:rPr>
        <w:t>Preoperative workup for recipient candidates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4"/>
        <w:gridCol w:w="7258"/>
      </w:tblGrid>
      <w:tr w:rsidR="008E098B" w:rsidRPr="003B1E45" w14:paraId="2773853E" w14:textId="77777777" w:rsidTr="0014291E">
        <w:tc>
          <w:tcPr>
            <w:tcW w:w="279" w:type="dxa"/>
          </w:tcPr>
          <w:p w14:paraId="646DF4A6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Groups</w:t>
            </w:r>
          </w:p>
        </w:tc>
        <w:tc>
          <w:tcPr>
            <w:tcW w:w="8783" w:type="dxa"/>
          </w:tcPr>
          <w:p w14:paraId="694F6F73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Items</w:t>
            </w:r>
          </w:p>
        </w:tc>
      </w:tr>
      <w:tr w:rsidR="008E098B" w:rsidRPr="003B1E45" w14:paraId="53436424" w14:textId="77777777" w:rsidTr="0014291E">
        <w:tc>
          <w:tcPr>
            <w:tcW w:w="279" w:type="dxa"/>
          </w:tcPr>
          <w:p w14:paraId="15CB55AC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Blood test</w:t>
            </w:r>
          </w:p>
        </w:tc>
        <w:tc>
          <w:tcPr>
            <w:tcW w:w="8783" w:type="dxa"/>
          </w:tcPr>
          <w:p w14:paraId="34A2592A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 xml:space="preserve">ABO-Rh typing, complete blood test, coagulation tests, liver function tests, kidney function tests, lipid profile, tumor markers (Ca 19-9, CEA, AFP, and PSA), thyroid function tests, copper, vitamin B12, folic acid, </w:t>
            </w:r>
            <w:proofErr w:type="spellStart"/>
            <w:r w:rsidRPr="003B1E45">
              <w:rPr>
                <w:rFonts w:ascii="Arial" w:hAnsi="Arial" w:cs="Arial"/>
                <w:sz w:val="24"/>
                <w:szCs w:val="24"/>
              </w:rPr>
              <w:t>ceruplasmin</w:t>
            </w:r>
            <w:proofErr w:type="spellEnd"/>
            <w:r w:rsidRPr="003B1E4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B1E45">
              <w:rPr>
                <w:rFonts w:ascii="Arial" w:hAnsi="Arial" w:cs="Arial"/>
                <w:sz w:val="24"/>
                <w:szCs w:val="24"/>
              </w:rPr>
              <w:t>rheumotoid</w:t>
            </w:r>
            <w:proofErr w:type="spellEnd"/>
            <w:r w:rsidRPr="003B1E45">
              <w:rPr>
                <w:rFonts w:ascii="Arial" w:hAnsi="Arial" w:cs="Arial"/>
                <w:sz w:val="24"/>
                <w:szCs w:val="24"/>
              </w:rPr>
              <w:t xml:space="preserve"> factor, protein C activity, protein S activity, anti-thrombin III, transferrin, iron, and autoimmune markers (when the patient has autoimmune hepatitis diagnosis or cryptogenic liver cirrhosis)</w:t>
            </w:r>
          </w:p>
        </w:tc>
      </w:tr>
      <w:tr w:rsidR="008E098B" w:rsidRPr="003B1E45" w14:paraId="36255AAE" w14:textId="77777777" w:rsidTr="0014291E">
        <w:tc>
          <w:tcPr>
            <w:tcW w:w="279" w:type="dxa"/>
          </w:tcPr>
          <w:p w14:paraId="5B65A8A5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Serological Test</w:t>
            </w:r>
          </w:p>
        </w:tc>
        <w:tc>
          <w:tcPr>
            <w:tcW w:w="8783" w:type="dxa"/>
          </w:tcPr>
          <w:p w14:paraId="6603AD89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Hepatitis B, hepatitis C, hepatitis A, human immunodeficiency virus, syphilis, CMV, EBV, toxoplasma, rubella, and varicella</w:t>
            </w:r>
          </w:p>
        </w:tc>
      </w:tr>
      <w:tr w:rsidR="008E098B" w:rsidRPr="003B1E45" w14:paraId="1CDB576F" w14:textId="77777777" w:rsidTr="0014291E">
        <w:tc>
          <w:tcPr>
            <w:tcW w:w="279" w:type="dxa"/>
          </w:tcPr>
          <w:p w14:paraId="52148CFE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Microbiological test</w:t>
            </w:r>
          </w:p>
        </w:tc>
        <w:tc>
          <w:tcPr>
            <w:tcW w:w="8783" w:type="dxa"/>
          </w:tcPr>
          <w:p w14:paraId="7971C68F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Rectal, nasal, urinary, and blood cultures</w:t>
            </w:r>
          </w:p>
        </w:tc>
      </w:tr>
      <w:tr w:rsidR="008E098B" w:rsidRPr="003B1E45" w14:paraId="10493B4B" w14:textId="77777777" w:rsidTr="0014291E">
        <w:tc>
          <w:tcPr>
            <w:tcW w:w="279" w:type="dxa"/>
          </w:tcPr>
          <w:p w14:paraId="25B5FDFD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Radiological test</w:t>
            </w:r>
          </w:p>
        </w:tc>
        <w:tc>
          <w:tcPr>
            <w:tcW w:w="8783" w:type="dxa"/>
          </w:tcPr>
          <w:p w14:paraId="51DDA362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 xml:space="preserve">Dynamic </w:t>
            </w:r>
            <w:proofErr w:type="spellStart"/>
            <w:r w:rsidRPr="003B1E45">
              <w:rPr>
                <w:rFonts w:ascii="Arial" w:hAnsi="Arial" w:cs="Arial"/>
                <w:sz w:val="24"/>
                <w:szCs w:val="24"/>
              </w:rPr>
              <w:t>abdomino</w:t>
            </w:r>
            <w:proofErr w:type="spellEnd"/>
            <w:r w:rsidRPr="003B1E45">
              <w:rPr>
                <w:rFonts w:ascii="Arial" w:hAnsi="Arial" w:cs="Arial"/>
                <w:sz w:val="24"/>
                <w:szCs w:val="24"/>
              </w:rPr>
              <w:t>–pelvic CT,</w:t>
            </w:r>
          </w:p>
          <w:p w14:paraId="3ED1C397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When the patient has hepatocellular carcinoma; dynamic contrast MR, positron emission tomography and cranial CT</w:t>
            </w:r>
          </w:p>
        </w:tc>
      </w:tr>
      <w:tr w:rsidR="008E098B" w:rsidRPr="003B1E45" w14:paraId="43033773" w14:textId="77777777" w:rsidTr="0014291E">
        <w:tc>
          <w:tcPr>
            <w:tcW w:w="279" w:type="dxa"/>
          </w:tcPr>
          <w:p w14:paraId="64747201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Consultations</w:t>
            </w:r>
          </w:p>
        </w:tc>
        <w:tc>
          <w:tcPr>
            <w:tcW w:w="8783" w:type="dxa"/>
          </w:tcPr>
          <w:p w14:paraId="62466E52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Dentistry, psychiatry, gastroenterology, cardiology, and other departments when needed</w:t>
            </w:r>
          </w:p>
        </w:tc>
      </w:tr>
      <w:tr w:rsidR="008E098B" w:rsidRPr="003B1E45" w14:paraId="5D9A3485" w14:textId="77777777" w:rsidTr="0014291E">
        <w:tc>
          <w:tcPr>
            <w:tcW w:w="279" w:type="dxa"/>
          </w:tcPr>
          <w:p w14:paraId="6D7313B0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Endoscopic evaluations</w:t>
            </w:r>
          </w:p>
        </w:tc>
        <w:tc>
          <w:tcPr>
            <w:tcW w:w="8783" w:type="dxa"/>
          </w:tcPr>
          <w:p w14:paraId="72C729C4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Esophagogastroduodenoscopy, colonoscopy</w:t>
            </w:r>
          </w:p>
        </w:tc>
      </w:tr>
      <w:tr w:rsidR="008E098B" w:rsidRPr="003B1E45" w14:paraId="23EBB566" w14:textId="77777777" w:rsidTr="0014291E">
        <w:tc>
          <w:tcPr>
            <w:tcW w:w="279" w:type="dxa"/>
          </w:tcPr>
          <w:p w14:paraId="7FDDB6F1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>Special test</w:t>
            </w:r>
          </w:p>
        </w:tc>
        <w:tc>
          <w:tcPr>
            <w:tcW w:w="8783" w:type="dxa"/>
          </w:tcPr>
          <w:p w14:paraId="77C03994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t xml:space="preserve">Factors II, V, </w:t>
            </w:r>
            <w:r w:rsidRPr="003B1E45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 xml:space="preserve">methylenetetrahydrofolate reductase </w:t>
            </w:r>
            <w:r w:rsidRPr="003B1E45">
              <w:rPr>
                <w:rFonts w:ascii="Arial" w:hAnsi="Arial" w:cs="Arial"/>
                <w:sz w:val="24"/>
                <w:szCs w:val="24"/>
              </w:rPr>
              <w:t xml:space="preserve">(MTHR), </w:t>
            </w:r>
            <w:r w:rsidRPr="003B1E45">
              <w:rPr>
                <w:rFonts w:ascii="Arial" w:hAnsi="Arial" w:cs="Arial"/>
                <w:color w:val="474747"/>
                <w:sz w:val="24"/>
                <w:szCs w:val="24"/>
                <w:shd w:val="clear" w:color="auto" w:fill="FFFFFF"/>
              </w:rPr>
              <w:t>plasminogen activator inhibitor</w:t>
            </w:r>
            <w:r w:rsidRPr="003B1E45">
              <w:rPr>
                <w:rFonts w:ascii="Arial" w:hAnsi="Arial" w:cs="Arial"/>
                <w:sz w:val="24"/>
                <w:szCs w:val="24"/>
              </w:rPr>
              <w:t xml:space="preserve"> (PAI) gene mutation when portal vein thrombosis is noted</w:t>
            </w:r>
          </w:p>
          <w:p w14:paraId="246DD0B0" w14:textId="77777777" w:rsidR="008E098B" w:rsidRPr="003B1E45" w:rsidRDefault="008E098B" w:rsidP="0014291E">
            <w:pPr>
              <w:adjustRightInd w:val="0"/>
              <w:snapToGri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E45">
              <w:rPr>
                <w:rFonts w:ascii="Arial" w:hAnsi="Arial" w:cs="Arial"/>
                <w:sz w:val="24"/>
                <w:szCs w:val="24"/>
              </w:rPr>
              <w:lastRenderedPageBreak/>
              <w:t>Metabolic tests when metabolic disease is observed in pediatric cases</w:t>
            </w:r>
          </w:p>
        </w:tc>
      </w:tr>
    </w:tbl>
    <w:p w14:paraId="4A7A880E" w14:textId="77777777" w:rsidR="008E098B" w:rsidRDefault="008E098B"/>
    <w:sectPr w:rsidR="008E0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8B"/>
    <w:rsid w:val="008E098B"/>
    <w:rsid w:val="00CE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2CB5"/>
  <w15:chartTrackingRefBased/>
  <w15:docId w15:val="{04273859-B821-4117-9346-5F6C5A86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0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2A1D84935B4438869A52A5809FD0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3898AC-FD9E-404E-B3C9-241329FA1DD4}"/>
      </w:docPartPr>
      <w:docPartBody>
        <w:p w:rsidR="00000000" w:rsidRDefault="00211164" w:rsidP="00211164">
          <w:pPr>
            <w:pStyle w:val="E02A1D84935B4438869A52A5809FD0D5"/>
          </w:pPr>
          <w:r w:rsidRPr="0052217B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64"/>
    <w:rsid w:val="00211164"/>
    <w:rsid w:val="00F2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11164"/>
    <w:rPr>
      <w:color w:val="808080"/>
    </w:rPr>
  </w:style>
  <w:style w:type="paragraph" w:customStyle="1" w:styleId="E02A1D84935B4438869A52A5809FD0D5">
    <w:name w:val="E02A1D84935B4438869A52A5809FD0D5"/>
    <w:rsid w:val="00211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Tonguç Utku YILMAZ</dc:creator>
  <cp:keywords/>
  <dc:description/>
  <cp:lastModifiedBy>Tonguç Utku YILMAZ</cp:lastModifiedBy>
  <cp:revision>1</cp:revision>
  <dcterms:created xsi:type="dcterms:W3CDTF">2026-03-05T19:12:00Z</dcterms:created>
  <dcterms:modified xsi:type="dcterms:W3CDTF">2026-03-05T19:36:00Z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713a0546-3c96-4ad5-8d47-cea74a99fcae</vt:lpwstr>
  </property>
</Properties>
</file>