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4117BBB">
      <w:pPr>
        <w:spacing w:line="480" w:lineRule="auto"/>
        <w:rPr>
          <w:rFonts w:ascii="Times New Roman" w:hAnsi="Times New Roman" w:eastAsia="宋体" w:cs="Times New Roman"/>
          <w:b/>
          <w:bCs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eastAsia="宋体" w:cs="Times New Roman"/>
          <w:b/>
          <w:bCs/>
          <w:sz w:val="32"/>
          <w:szCs w:val="32"/>
        </w:rPr>
        <w:t>S</w:t>
      </w:r>
      <w:r>
        <w:rPr>
          <w:rFonts w:hint="eastAsia" w:ascii="Times New Roman" w:hAnsi="Times New Roman" w:eastAsia="宋体" w:cs="Times New Roman"/>
          <w:b/>
          <w:bCs/>
          <w:sz w:val="32"/>
          <w:szCs w:val="32"/>
        </w:rPr>
        <w:t>u</w:t>
      </w:r>
      <w:r>
        <w:rPr>
          <w:rFonts w:ascii="Times New Roman" w:hAnsi="Times New Roman" w:eastAsia="宋体" w:cs="Times New Roman"/>
          <w:b/>
          <w:bCs/>
          <w:sz w:val="32"/>
          <w:szCs w:val="32"/>
        </w:rPr>
        <w:t>pplementary Material</w:t>
      </w:r>
    </w:p>
    <w:p w14:paraId="271F9EA6">
      <w:pPr>
        <w:spacing w:line="480" w:lineRule="auto"/>
        <w:rPr>
          <w:rFonts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r>
        <w:rPr>
          <w:rFonts w:ascii="Times New Roman" w:hAnsi="Times New Roman" w:cs="Times New Roman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Supplementary</w:t>
      </w:r>
      <w:r>
        <w:rPr>
          <w:rFonts w:hint="eastAsia" w:ascii="Times New Roman" w:hAnsi="Times New Roman" w:cs="Times New Roman"/>
          <w:b/>
          <w:bCs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宋体" w:cs="Times New Roman"/>
          <w:b/>
          <w:bCs/>
          <w:sz w:val="24"/>
          <w:szCs w:val="24"/>
          <w:lang w:val="en-US" w:eastAsia="zh-CN"/>
        </w:rPr>
        <w:t>Table 1.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T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he</w:t>
      </w:r>
      <w:r>
        <w:rPr>
          <w:rFonts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 International Classification of Diseases codes used in the study</w:t>
      </w:r>
    </w:p>
    <w:tbl>
      <w:tblPr>
        <w:tblStyle w:val="5"/>
        <w:tblW w:w="4998" w:type="pct"/>
        <w:tblInd w:w="0" w:type="dxa"/>
        <w:tblBorders>
          <w:top w:val="single" w:color="000000" w:sz="12" w:space="0"/>
          <w:left w:val="none" w:color="auto" w:sz="0" w:space="0"/>
          <w:bottom w:val="single" w:color="000000" w:sz="12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17"/>
        <w:gridCol w:w="1258"/>
        <w:gridCol w:w="4344"/>
      </w:tblGrid>
      <w:tr w14:paraId="36229FD6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</w:tblPrEx>
        <w:trPr>
          <w:trHeight w:val="485" w:hRule="atLeast"/>
        </w:trPr>
        <w:tc>
          <w:tcPr>
            <w:tcW w:w="1712" w:type="pct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149214AF">
            <w:pPr>
              <w:spacing w:line="480" w:lineRule="auto"/>
              <w:rPr>
                <w:rFonts w:ascii="Times New Roman" w:hAnsi="Times New Roman" w:eastAsia="宋体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sz w:val="18"/>
                <w:szCs w:val="18"/>
              </w:rPr>
              <w:t>Disease</w:t>
            </w:r>
          </w:p>
        </w:tc>
        <w:tc>
          <w:tcPr>
            <w:tcW w:w="738" w:type="pct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562A423E">
            <w:pPr>
              <w:spacing w:line="480" w:lineRule="auto"/>
              <w:rPr>
                <w:rFonts w:ascii="Times New Roman" w:hAnsi="Times New Roman" w:eastAsia="宋体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sz w:val="18"/>
                <w:szCs w:val="18"/>
              </w:rPr>
              <w:t>Version</w:t>
            </w:r>
          </w:p>
        </w:tc>
        <w:tc>
          <w:tcPr>
            <w:tcW w:w="2549" w:type="pct"/>
            <w:tcBorders>
              <w:top w:val="single" w:color="000000" w:sz="12" w:space="0"/>
              <w:left w:val="nil"/>
              <w:bottom w:val="single" w:color="000000" w:sz="12" w:space="0"/>
              <w:right w:val="nil"/>
            </w:tcBorders>
            <w:vAlign w:val="center"/>
          </w:tcPr>
          <w:p w14:paraId="0FC23A29">
            <w:pPr>
              <w:spacing w:line="480" w:lineRule="auto"/>
              <w:rPr>
                <w:rFonts w:ascii="Times New Roman" w:hAnsi="Times New Roman" w:eastAsia="宋体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/>
                <w:sz w:val="18"/>
                <w:szCs w:val="18"/>
              </w:rPr>
              <w:t>ICD code</w:t>
            </w:r>
          </w:p>
        </w:tc>
      </w:tr>
      <w:tr w14:paraId="3D451559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</w:tblPrEx>
        <w:trPr>
          <w:trHeight w:val="2279" w:hRule="atLeast"/>
        </w:trPr>
        <w:tc>
          <w:tcPr>
            <w:tcW w:w="1712" w:type="pct"/>
            <w:vMerge w:val="restart"/>
            <w:tcBorders>
              <w:top w:val="single" w:color="000000" w:sz="12" w:space="0"/>
              <w:left w:val="nil"/>
              <w:right w:val="nil"/>
            </w:tcBorders>
            <w:vAlign w:val="center"/>
          </w:tcPr>
          <w:p w14:paraId="4B0DE821">
            <w:pPr>
              <w:spacing w:line="480" w:lineRule="auto"/>
              <w:ind w:firstLine="360" w:firstLineChars="200"/>
              <w:jc w:val="both"/>
              <w:rPr>
                <w:rFonts w:ascii="Times New Roman" w:hAnsi="Times New Roman" w:eastAsia="宋体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Cs/>
                <w:sz w:val="18"/>
                <w:szCs w:val="18"/>
              </w:rPr>
              <w:t>Acute Myocardial Infarction</w:t>
            </w:r>
          </w:p>
        </w:tc>
        <w:tc>
          <w:tcPr>
            <w:tcW w:w="738" w:type="pct"/>
            <w:tcBorders>
              <w:top w:val="single" w:color="000000" w:sz="12" w:space="0"/>
              <w:left w:val="nil"/>
              <w:bottom w:val="nil"/>
              <w:right w:val="nil"/>
            </w:tcBorders>
            <w:vAlign w:val="center"/>
          </w:tcPr>
          <w:p w14:paraId="6BFA06BE">
            <w:pPr>
              <w:spacing w:line="480" w:lineRule="auto"/>
              <w:rPr>
                <w:rFonts w:ascii="Times New Roman" w:hAnsi="Times New Roman" w:eastAsia="宋体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Cs/>
                <w:sz w:val="18"/>
                <w:szCs w:val="18"/>
              </w:rPr>
              <w:t>ICD-9</w:t>
            </w:r>
          </w:p>
        </w:tc>
        <w:tc>
          <w:tcPr>
            <w:tcW w:w="2549" w:type="pct"/>
            <w:tcBorders>
              <w:top w:val="single" w:color="000000" w:sz="12" w:space="0"/>
              <w:left w:val="nil"/>
              <w:bottom w:val="nil"/>
              <w:right w:val="nil"/>
            </w:tcBorders>
            <w:vAlign w:val="center"/>
          </w:tcPr>
          <w:p w14:paraId="7E0CDFCA">
            <w:pPr>
              <w:spacing w:line="480" w:lineRule="auto"/>
              <w:rPr>
                <w:rFonts w:ascii="Times New Roman" w:hAnsi="Times New Roman" w:eastAsia="宋体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Cs/>
                <w:sz w:val="18"/>
                <w:szCs w:val="18"/>
              </w:rPr>
              <w:t>41000, 41001, 41002, 41010, 41011, 41012, 41020, 41021, 41022, 41030, 41031, 41032, 41040, 41041, 41042, 41050, 41051, 41052, 41060, 41061, 41062, 41070, 41071, 41072, 41080, 41081, 41082, 41090, 41091, 41092</w:t>
            </w:r>
          </w:p>
        </w:tc>
      </w:tr>
      <w:tr w14:paraId="4D047849">
        <w:tblPrEx>
          <w:tblBorders>
            <w:top w:val="single" w:color="000000" w:sz="12" w:space="0"/>
            <w:left w:val="none" w:color="auto" w:sz="0" w:space="0"/>
            <w:bottom w:val="single" w:color="000000" w:sz="12" w:space="0"/>
            <w:right w:val="none" w:color="auto" w:sz="0" w:space="0"/>
            <w:insideH w:val="single" w:color="auto" w:sz="4" w:space="0"/>
            <w:insideV w:val="single" w:color="auto" w:sz="4" w:space="0"/>
          </w:tblBorders>
        </w:tblPrEx>
        <w:trPr>
          <w:trHeight w:val="1666" w:hRule="atLeast"/>
        </w:trPr>
        <w:tc>
          <w:tcPr>
            <w:tcW w:w="1712" w:type="pct"/>
            <w:vMerge w:val="continue"/>
            <w:tcBorders>
              <w:left w:val="nil"/>
              <w:bottom w:val="single" w:color="000000" w:sz="12" w:space="0"/>
              <w:right w:val="nil"/>
            </w:tcBorders>
          </w:tcPr>
          <w:p w14:paraId="0E5B2129">
            <w:pPr>
              <w:spacing w:line="480" w:lineRule="auto"/>
              <w:rPr>
                <w:rFonts w:ascii="Times New Roman" w:hAnsi="Times New Roman" w:eastAsia="宋体" w:cs="Times New Roman"/>
                <w:b/>
                <w:sz w:val="18"/>
                <w:szCs w:val="18"/>
              </w:rPr>
            </w:pPr>
          </w:p>
        </w:tc>
        <w:tc>
          <w:tcPr>
            <w:tcW w:w="738" w:type="pct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40CBE24F">
            <w:pPr>
              <w:spacing w:line="480" w:lineRule="auto"/>
              <w:rPr>
                <w:rFonts w:ascii="Times New Roman" w:hAnsi="Times New Roman" w:eastAsia="宋体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Cs/>
                <w:sz w:val="18"/>
                <w:szCs w:val="18"/>
              </w:rPr>
              <w:t>ICD-10</w:t>
            </w:r>
          </w:p>
        </w:tc>
        <w:tc>
          <w:tcPr>
            <w:tcW w:w="2549" w:type="pct"/>
            <w:tcBorders>
              <w:top w:val="nil"/>
              <w:left w:val="nil"/>
              <w:bottom w:val="single" w:color="000000" w:sz="12" w:space="0"/>
              <w:right w:val="nil"/>
            </w:tcBorders>
            <w:vAlign w:val="center"/>
          </w:tcPr>
          <w:p w14:paraId="4CA4457D">
            <w:pPr>
              <w:spacing w:line="480" w:lineRule="auto"/>
              <w:rPr>
                <w:rFonts w:ascii="Times New Roman" w:hAnsi="Times New Roman" w:eastAsia="宋体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bCs/>
                <w:sz w:val="18"/>
                <w:szCs w:val="18"/>
              </w:rPr>
              <w:t>I21, I210, I2101, I2102, I2109, I211, I2111, I2119, I212, I2121, I2129 , I213, I214, I219, I21A, I21A1, I21A9, I22, I220, I221, I222, I228, I229</w:t>
            </w:r>
          </w:p>
        </w:tc>
      </w:tr>
    </w:tbl>
    <w:p w14:paraId="4109AFF7">
      <w:pPr>
        <w:spacing w:line="480" w:lineRule="auto"/>
        <w:rPr>
          <w:rFonts w:hint="default" w:ascii="Times New Roman" w:hAnsi="Times New Roman" w:cs="Times New Roman"/>
          <w:b w:val="0"/>
          <w:bCs w:val="0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Abbreviations: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ICD, International Classification of Diseases</w:t>
      </w:r>
    </w:p>
    <w:p w14:paraId="31480D1B">
      <w:pPr>
        <w:spacing w:line="480" w:lineRule="auto"/>
        <w:rPr>
          <w:rFonts w:hint="default" w:ascii="Times New Roman Bold" w:hAnsi="Times New Roman Bold" w:eastAsia="宋体" w:cs="Times New Roman Bold"/>
          <w:b/>
          <w:bCs/>
          <w:sz w:val="24"/>
        </w:rPr>
      </w:pPr>
    </w:p>
    <w:p w14:paraId="192CC9C6">
      <w:pPr>
        <w:keepNext w:val="0"/>
        <w:keepLines w:val="0"/>
        <w:widowControl/>
        <w:suppressLineNumbers w:val="0"/>
        <w:jc w:val="left"/>
        <w:rPr>
          <w:rFonts w:hint="default" w:ascii="Times New Roman Bold" w:hAnsi="Times New Roman Bold" w:eastAsia="Cambria" w:cs="Times New Roman Bold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default" w:ascii="Times New Roman Bold" w:hAnsi="Times New Roman Bold" w:eastAsia="宋体" w:cs="Times New Roman Bold"/>
          <w:b/>
          <w:bCs/>
          <w:sz w:val="24"/>
          <w:szCs w:val="24"/>
        </w:rPr>
        <w:t xml:space="preserve">Supplementary Figure 1. </w:t>
      </w:r>
      <w:r>
        <w:rPr>
          <w:rFonts w:hint="default" w:ascii="Times New Roman Bold" w:hAnsi="Times New Roman Bold" w:eastAsia="Cambria" w:cs="Times New Roman Bold"/>
          <w:b/>
          <w:bCs/>
          <w:color w:val="000000"/>
          <w:kern w:val="0"/>
          <w:sz w:val="24"/>
          <w:szCs w:val="24"/>
          <w:lang w:val="en-US" w:eastAsia="zh-CN" w:bidi="ar"/>
        </w:rPr>
        <w:t>The proportion of missing data for variables in the original cohort.</w:t>
      </w:r>
    </w:p>
    <w:p w14:paraId="1E70335B">
      <w:pPr>
        <w:spacing w:line="480" w:lineRule="auto"/>
        <w:rPr>
          <w:rFonts w:hint="eastAsia" w:ascii="Times New Roman" w:hAnsi="Times New Roman" w:eastAsia="宋体" w:cs="Times New Roman"/>
          <w:sz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lang w:eastAsia="zh-CN"/>
        </w:rPr>
        <w:drawing>
          <wp:inline distT="0" distB="0" distL="114300" distR="114300">
            <wp:extent cx="6120130" cy="4986020"/>
            <wp:effectExtent l="0" t="0" r="4445" b="5080"/>
            <wp:docPr id="1" name="图片 1" descr="缺失值_0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缺失值_01(1)"/>
                    <pic:cNvPicPr>
                      <a:picLocks noChangeAspect="1"/>
                    </pic:cNvPicPr>
                  </pic:nvPicPr>
                  <pic:blipFill>
                    <a:blip r:embed="rId5"/>
                    <a:srcRect t="49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8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C9CF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178" w:leftChars="85" w:firstLine="0" w:firstLineChars="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Abbreviations: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SBP,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 xml:space="preserve"> Systolic Blood Pressure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DBP,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Diastolic Blood Pressure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MBP,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Mean Blood Pressure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Spo2,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Peripheral Capillary Oxygen Saturation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WBC,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 xml:space="preserve"> White Blood Cell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BUN,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Blood Urea Nitrogen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RDW,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Red Blood Cell Distribution Width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INR,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International Normalized Ratio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APTT,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 xml:space="preserve"> Activated Partial Thromboplastin Time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TnT: Troponin T;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CHF,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 xml:space="preserve"> Congestive Heart Failure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PVD,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Peripheral Vascular Disease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CVD,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 xml:space="preserve"> Cerebrovascular Disease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CKD,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 xml:space="preserve"> Chronic Kidney Disease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SOFA score,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Sequential Organ Failure Assessment score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;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OASIS score,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 xml:space="preserve"> Oxford Acute Severity of Illness Score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SAPS II score,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Simplified Acute Physiology Score II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CCI,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Charlson Comorbidity Index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CRRT,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 xml:space="preserve"> Continuous Renal Replacement Therapy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PCI,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Percutaneous Coronary Intervention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CABG,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Coronary Artery Bypass Grafting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ACEI,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Angiotensin-Converting Enzyme Inhibitor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ARB,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Angiotensin II Receptor Blocker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.</w:t>
      </w:r>
    </w:p>
    <w:p w14:paraId="41B4F667">
      <w:pPr>
        <w:spacing w:line="480" w:lineRule="auto"/>
        <w:rPr>
          <w:rFonts w:hint="default" w:ascii="Times New Roman Bold" w:hAnsi="Times New Roman Bold" w:eastAsia="宋体" w:cs="Times New Roman Bold"/>
          <w:b/>
          <w:bCs/>
          <w:sz w:val="24"/>
        </w:rPr>
      </w:pPr>
    </w:p>
    <w:p w14:paraId="1A8C9BA0">
      <w:pPr>
        <w:spacing w:line="480" w:lineRule="auto"/>
        <w:rPr>
          <w:rFonts w:ascii="Times New Roman" w:hAnsi="Times New Roman" w:eastAsia="宋体" w:cs="Times New Roman"/>
          <w:sz w:val="24"/>
        </w:rPr>
      </w:pPr>
      <w:r>
        <w:rPr>
          <w:rFonts w:hint="default" w:ascii="Times New Roman Bold" w:hAnsi="Times New Roman Bold" w:eastAsia="宋体" w:cs="Times New Roman Bold"/>
          <w:b/>
          <w:bCs/>
          <w:sz w:val="24"/>
        </w:rPr>
        <w:t>Supplementary</w:t>
      </w:r>
      <w:r>
        <w:rPr>
          <w:rFonts w:hint="eastAsia" w:ascii="Times New Roman Bold" w:hAnsi="Times New Roman Bold" w:eastAsia="宋体" w:cs="Times New Roman Bold"/>
          <w:b/>
          <w:bCs/>
          <w:sz w:val="24"/>
          <w:lang w:val="en-US" w:eastAsia="zh-CN"/>
        </w:rPr>
        <w:t xml:space="preserve"> </w:t>
      </w:r>
      <w:r>
        <w:rPr>
          <w:rFonts w:hint="default" w:ascii="Times New Roman Bold" w:hAnsi="Times New Roman Bold" w:eastAsia="宋体" w:cs="Times New Roman Bold"/>
          <w:b/>
          <w:bCs/>
          <w:sz w:val="24"/>
          <w:lang w:val="en-US" w:eastAsia="zh-CN"/>
        </w:rPr>
        <w:t xml:space="preserve">Figure </w:t>
      </w:r>
      <w:r>
        <w:rPr>
          <w:rFonts w:hint="eastAsia" w:ascii="Times New Roman Bold" w:hAnsi="Times New Roman Bold" w:eastAsia="宋体" w:cs="Times New Roman Bold"/>
          <w:b/>
          <w:bCs/>
          <w:sz w:val="24"/>
          <w:lang w:val="en-US" w:eastAsia="zh-CN"/>
        </w:rPr>
        <w:t>2</w:t>
      </w:r>
      <w:r>
        <w:rPr>
          <w:rFonts w:hint="default" w:ascii="Times New Roman Bold" w:hAnsi="Times New Roman Bold" w:eastAsia="宋体" w:cs="Times New Roman Bold"/>
          <w:b/>
          <w:bCs/>
          <w:sz w:val="24"/>
          <w:lang w:val="en-US" w:eastAsia="zh-CN"/>
        </w:rPr>
        <w:t>.</w:t>
      </w:r>
      <w:r>
        <w:rPr>
          <w:rFonts w:hint="eastAsia" w:ascii="Times New Roman Bold" w:hAnsi="Times New Roman Bold" w:eastAsia="宋体" w:cs="Times New Roman Bold"/>
          <w:b/>
          <w:bCs/>
          <w:sz w:val="24"/>
          <w:lang w:val="en-US" w:eastAsia="zh-CN"/>
        </w:rPr>
        <w:t xml:space="preserve"> </w:t>
      </w:r>
      <w:r>
        <w:rPr>
          <w:rFonts w:hint="eastAsia" w:ascii="Times New Roman Bold" w:hAnsi="Times New Roman Bold" w:cs="Times New Roman Bold"/>
          <w:b/>
          <w:bCs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Standardized mean differences in variables for the original cohort (red circles), the matched cohort (blue triangles), and the weighted cohort (green squares)</w:t>
      </w:r>
    </w:p>
    <w:p w14:paraId="260745A9">
      <w:pPr>
        <w:spacing w:line="480" w:lineRule="auto"/>
        <w:rPr>
          <w:rFonts w:hint="eastAsia" w:ascii="Times New Roman" w:hAnsi="Times New Roman" w:eastAsia="宋体" w:cs="Times New Roman"/>
          <w:sz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lang w:eastAsia="zh-CN"/>
        </w:rPr>
        <w:drawing>
          <wp:inline distT="0" distB="0" distL="114300" distR="114300">
            <wp:extent cx="6120130" cy="6944995"/>
            <wp:effectExtent l="0" t="0" r="4445" b="8255"/>
            <wp:docPr id="7" name="图片 7" descr="SMD love plot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MD love plot_01"/>
                    <pic:cNvPicPr>
                      <a:picLocks noChangeAspect="1"/>
                    </pic:cNvPicPr>
                  </pic:nvPicPr>
                  <pic:blipFill>
                    <a:blip r:embed="rId6"/>
                    <a:srcRect t="27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94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35BB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178" w:leftChars="85" w:firstLine="0" w:firstLineChars="0"/>
        <w:jc w:val="both"/>
        <w:textAlignment w:val="auto"/>
        <w:rPr>
          <w:rFonts w:hint="default" w:ascii="Times New Roman" w:hAnsi="Times New Roman" w:cs="Times New Roman"/>
          <w:b w:val="0"/>
          <w:bCs w:val="0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Abbreviations: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SBP,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 xml:space="preserve"> Systolic Blood Pressure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DBP,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Diastolic Blood Pressure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MBP,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Mean Blood Pressure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Spo2,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Peripheral Capillary Oxygen Saturation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WBC,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 xml:space="preserve"> White Blood Cell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BUN,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Blood Urea Nitrogen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RDW,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Red Blood Cell Distribution Width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INR,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International Normalized Ratio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APTT,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 xml:space="preserve"> Activated Partial Thromboplastin Time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CHF,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 xml:space="preserve"> Congestive Heart Failure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PVD,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Peripheral Vascular Disease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CVD,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 xml:space="preserve"> Cerebrovascular Disease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CKD,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 xml:space="preserve"> Chronic Kidney Disease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SOFA score,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Sequential Organ Failure Assessment score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;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OASIS score,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 xml:space="preserve"> Oxford Acute Severity of Illness Score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SAPS II score,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Simplified Acute Physiology Score II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CCI,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Charlson Comorbidity Index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CRRT,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 xml:space="preserve"> Continuous Renal Replacement Therapy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PCI,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Percutaneous Coronary Intervention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CABG,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Coronary Artery Bypass Grafting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ACEI,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Angiotensin-Converting Enzyme Inhibitor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ARB,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Angiotensin II Receptor Blocker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.</w:t>
      </w:r>
    </w:p>
    <w:p w14:paraId="619D33A3">
      <w:pPr>
        <w:spacing w:line="480" w:lineRule="auto"/>
        <w:rPr>
          <w:rFonts w:ascii="Times New Roman" w:hAnsi="Times New Roman" w:eastAsia="宋体" w:cs="Times New Roman"/>
          <w:sz w:val="24"/>
        </w:rPr>
      </w:pPr>
    </w:p>
    <w:p w14:paraId="25C3B155">
      <w:pPr>
        <w:spacing w:line="480" w:lineRule="auto"/>
        <w:rPr>
          <w:rFonts w:hint="default" w:ascii="Times New Roman Bold" w:hAnsi="Times New Roman Bold" w:cs="Times New Roman Bold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default" w:ascii="Times New Roman Bold" w:hAnsi="Times New Roman Bold" w:eastAsia="宋体" w:cs="Times New Roman Bold"/>
          <w:b/>
          <w:bCs/>
          <w:sz w:val="24"/>
          <w:lang w:val="en-US" w:eastAsia="zh-CN"/>
        </w:rPr>
        <w:t xml:space="preserve">Supplementary Figure </w:t>
      </w:r>
      <w:r>
        <w:rPr>
          <w:rFonts w:hint="eastAsia" w:ascii="Times New Roman Bold" w:hAnsi="Times New Roman Bold" w:eastAsia="宋体" w:cs="Times New Roman Bold"/>
          <w:b/>
          <w:bCs/>
          <w:sz w:val="24"/>
          <w:lang w:val="en-US" w:eastAsia="zh-CN"/>
        </w:rPr>
        <w:t>3.</w:t>
      </w:r>
      <w:r>
        <w:rPr>
          <w:rFonts w:hint="default" w:ascii="Times New Roman Bold" w:hAnsi="Times New Roman Bold" w:eastAsia="宋体" w:cs="Times New Roman Bold"/>
          <w:b/>
          <w:bCs/>
          <w:sz w:val="24"/>
          <w:lang w:val="en-US" w:eastAsia="zh-CN"/>
        </w:rPr>
        <w:t xml:space="preserve"> Density function showing the distribution balance for the variables </w:t>
      </w:r>
      <w:r>
        <w:rPr>
          <w:rFonts w:hint="default" w:ascii="Times New Roman Bold" w:hAnsi="Times New Roman Bold" w:cs="Times New Roman Bold"/>
          <w:b/>
          <w:bCs/>
          <w:color w:val="000000" w:themeColor="text1"/>
          <w:kern w:val="0"/>
          <w:sz w:val="24"/>
          <w:szCs w:val="24"/>
          <w14:textFill>
            <w14:solidFill>
              <w14:schemeClr w14:val="tx1"/>
            </w14:solidFill>
          </w14:textFill>
        </w:rPr>
        <w:t>Before and After PSM and IPTW</w:t>
      </w:r>
    </w:p>
    <w:p w14:paraId="5FFCC459">
      <w:pPr>
        <w:spacing w:line="480" w:lineRule="auto"/>
        <w:rPr>
          <w:rFonts w:hint="eastAsia" w:ascii="Times New Roman Bold" w:hAnsi="Times New Roman Bold" w:eastAsia="宋体" w:cs="Times New Roman Bold"/>
          <w:b/>
          <w:bCs/>
          <w:sz w:val="24"/>
          <w:lang w:eastAsia="zh-CN"/>
        </w:rPr>
      </w:pPr>
      <w:r>
        <w:rPr>
          <w:rFonts w:hint="eastAsia" w:ascii="Times New Roman Bold" w:hAnsi="Times New Roman Bold" w:eastAsia="宋体" w:cs="Times New Roman Bold"/>
          <w:b/>
          <w:bCs/>
          <w:sz w:val="24"/>
          <w:lang w:eastAsia="zh-CN"/>
        </w:rPr>
        <w:drawing>
          <wp:inline distT="0" distB="0" distL="114300" distR="114300">
            <wp:extent cx="6120130" cy="4617720"/>
            <wp:effectExtent l="0" t="0" r="4445" b="1905"/>
            <wp:docPr id="8" name="图片 8" descr="SMD_Parallel_Plot_3_Statin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MD_Parallel_Plot_3_Statin_01"/>
                    <pic:cNvPicPr>
                      <a:picLocks noChangeAspect="1"/>
                    </pic:cNvPicPr>
                  </pic:nvPicPr>
                  <pic:blipFill>
                    <a:blip r:embed="rId7"/>
                    <a:srcRect t="569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D4BB5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 w:eastAsia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Abbreviations: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000000"/>
          <w:kern w:val="0"/>
          <w:sz w:val="21"/>
          <w:szCs w:val="21"/>
        </w:rPr>
        <w:t>PSM, propensity score matching; IPTW</w:t>
      </w:r>
      <w:r>
        <w:rPr>
          <w:rFonts w:hint="default" w:ascii="Times New Roman" w:hAnsi="Times New Roman" w:cs="Times New Roman"/>
          <w:b w:val="0"/>
          <w:bCs w:val="0"/>
          <w:color w:val="000000"/>
          <w:kern w:val="0"/>
          <w:sz w:val="21"/>
          <w:szCs w:val="21"/>
          <w:lang w:val="en-US"/>
        </w:rPr>
        <w:t xml:space="preserve">, </w:t>
      </w:r>
      <w:r>
        <w:rPr>
          <w:rFonts w:hint="default" w:ascii="Times New Roman" w:hAnsi="Times New Roman" w:cs="Times New Roman"/>
          <w:b w:val="0"/>
          <w:bCs w:val="0"/>
          <w:color w:val="000000"/>
          <w:kern w:val="0"/>
          <w:sz w:val="21"/>
          <w:szCs w:val="21"/>
        </w:rPr>
        <w:t>Inverse Probability of Treatment Weighting</w:t>
      </w:r>
      <w:r>
        <w:rPr>
          <w:rFonts w:hint="eastAsia" w:ascii="Times New Roman" w:hAnsi="Times New Roman" w:cs="Times New Roman"/>
          <w:b w:val="0"/>
          <w:bCs w:val="0"/>
          <w:color w:val="000000"/>
          <w:kern w:val="0"/>
          <w:sz w:val="21"/>
          <w:szCs w:val="21"/>
          <w:lang w:val="en-US" w:eastAsia="zh-CN"/>
        </w:rPr>
        <w:t>.</w:t>
      </w:r>
    </w:p>
    <w:p w14:paraId="3FA482CB">
      <w:pPr>
        <w:spacing w:line="480" w:lineRule="auto"/>
        <w:rPr>
          <w:rFonts w:hint="eastAsia" w:ascii="Times New Roman Bold" w:hAnsi="Times New Roman Bold" w:eastAsia="宋体" w:cs="Times New Roman Bold"/>
          <w:b/>
          <w:bCs/>
          <w:sz w:val="24"/>
          <w:lang w:eastAsia="zh-CN"/>
        </w:rPr>
      </w:pPr>
    </w:p>
    <w:p w14:paraId="44282CA4">
      <w:pPr>
        <w:spacing w:line="480" w:lineRule="auto"/>
        <w:rPr>
          <w:rFonts w:ascii="Times New Roman" w:hAnsi="Times New Roman" w:eastAsia="宋体" w:cs="Times New Roman"/>
          <w:sz w:val="24"/>
        </w:rPr>
      </w:pPr>
      <w:r>
        <w:rPr>
          <w:rFonts w:hint="default" w:ascii="Times New Roman Bold" w:hAnsi="Times New Roman Bold" w:eastAsia="宋体" w:cs="Times New Roman Bold"/>
          <w:b/>
          <w:bCs/>
          <w:sz w:val="24"/>
        </w:rPr>
        <w:t>Supplementary</w:t>
      </w:r>
      <w:r>
        <w:rPr>
          <w:rFonts w:hint="default" w:ascii="Times New Roman Bold" w:hAnsi="Times New Roman Bold" w:eastAsia="宋体" w:cs="Times New Roman Bold"/>
          <w:b/>
          <w:bCs/>
          <w:sz w:val="24"/>
          <w:lang w:val="en-US" w:eastAsia="zh-CN"/>
        </w:rPr>
        <w:t xml:space="preserve"> Figure </w:t>
      </w:r>
      <w:r>
        <w:rPr>
          <w:rFonts w:hint="eastAsia" w:ascii="Times New Roman Bold" w:hAnsi="Times New Roman Bold" w:eastAsia="宋体" w:cs="Times New Roman Bold"/>
          <w:b/>
          <w:bCs/>
          <w:sz w:val="24"/>
          <w:lang w:val="en-US" w:eastAsia="zh-CN"/>
        </w:rPr>
        <w:t>4.</w:t>
      </w:r>
      <w:r>
        <w:rPr>
          <w:rFonts w:hint="default" w:ascii="Times New Roman Bold" w:hAnsi="Times New Roman Bold" w:eastAsia="宋体" w:cs="Times New Roman Bold"/>
          <w:b/>
          <w:bCs/>
          <w:sz w:val="24"/>
          <w:lang w:val="en-US" w:eastAsia="zh-CN"/>
        </w:rPr>
        <w:t xml:space="preserve"> Density function showing the distribution balance for the variables before and after matching</w:t>
      </w:r>
    </w:p>
    <w:p w14:paraId="1D6B9B5A">
      <w:pPr>
        <w:spacing w:line="480" w:lineRule="auto"/>
        <w:rPr>
          <w:rFonts w:hint="eastAsia" w:ascii="Times New Roman" w:hAnsi="Times New Roman" w:eastAsia="宋体" w:cs="Times New Roman"/>
          <w:sz w:val="24"/>
          <w:lang w:eastAsia="zh-CN"/>
        </w:rPr>
      </w:pPr>
      <w:r>
        <w:rPr>
          <w:rFonts w:hint="eastAsia" w:ascii="Times New Roman" w:hAnsi="Times New Roman" w:eastAsia="宋体" w:cs="Times New Roman"/>
          <w:sz w:val="24"/>
          <w:lang w:eastAsia="zh-CN"/>
        </w:rPr>
        <w:drawing>
          <wp:inline distT="0" distB="0" distL="114300" distR="114300">
            <wp:extent cx="6120130" cy="7353935"/>
            <wp:effectExtent l="0" t="0" r="4445" b="8890"/>
            <wp:docPr id="9" name="图片 9" descr="演示文稿1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演示文稿1_01"/>
                    <pic:cNvPicPr>
                      <a:picLocks noChangeAspect="1"/>
                    </pic:cNvPicPr>
                  </pic:nvPicPr>
                  <pic:blipFill>
                    <a:blip r:embed="rId8"/>
                    <a:srcRect r="11379" b="254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35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7D45F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178" w:leftChars="85" w:firstLine="0" w:firstLineChars="0"/>
        <w:jc w:val="both"/>
        <w:textAlignment w:val="auto"/>
        <w:rPr>
          <w:rFonts w:hint="default" w:ascii="Times New Roman Bold" w:hAnsi="Times New Roman Bold" w:eastAsia="宋体" w:cs="Times New Roman Bold"/>
          <w:b/>
          <w:bCs/>
          <w:sz w:val="24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Abbreviations: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SBP,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 xml:space="preserve"> Systolic Blood Pressure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DBP,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Diastolic Blood Pressure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MBP,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Mean Blood Pressure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Spo2,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Peripheral Capillary Oxygen Saturation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WBC,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 xml:space="preserve"> White Blood Cell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BUN,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Blood Urea Nitrogen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RDW,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Red Blood Cell Distribution Width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INR,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International Normalized Ratio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APTT,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 xml:space="preserve"> Activated Partial Thromboplastin Time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CHF,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 xml:space="preserve"> Congestive Heart Failure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PVD,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Peripheral Vascular Disease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CVD,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 xml:space="preserve"> Cerebrovascular Disease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CKD,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 xml:space="preserve"> Chronic Kidney Disease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SOFA score,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Sequential Organ Failure Assessment score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;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OASIS score,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 xml:space="preserve"> Oxford Acute Severity of Illness Score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SAPS II score,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Simplified Acute Physiology Score II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CCI,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Charlson Comorbidity Index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CRRT,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 xml:space="preserve"> Continuous Renal Replacement Therapy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PCI,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Percutaneous Coronary Intervention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CABG,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Coronary Artery Bypass Grafting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ACEI,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Angiotensin-Converting Enzyme Inhibitor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ARB,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Angiotensin II Receptor Blocker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default" w:ascii="Times New Roman" w:hAnsi="Times New Roman" w:cs="Times New Roman"/>
          <w:b w:val="0"/>
          <w:bCs w:val="0"/>
          <w:color w:val="000000"/>
          <w:kern w:val="0"/>
          <w:sz w:val="21"/>
          <w:szCs w:val="21"/>
        </w:rPr>
        <w:t>PSM, propensity score matching</w:t>
      </w:r>
      <w:r>
        <w:rPr>
          <w:rFonts w:hint="eastAsia" w:ascii="Times New Roman" w:hAnsi="Times New Roman" w:cs="Times New Roman"/>
          <w:b w:val="0"/>
          <w:bCs w:val="0"/>
          <w:color w:val="000000"/>
          <w:kern w:val="0"/>
          <w:sz w:val="21"/>
          <w:szCs w:val="21"/>
          <w:lang w:val="en-US" w:eastAsia="zh-CN"/>
        </w:rPr>
        <w:t>.</w:t>
      </w:r>
    </w:p>
    <w:p w14:paraId="02FCB95B">
      <w:pPr>
        <w:keepNext w:val="0"/>
        <w:keepLines w:val="0"/>
        <w:widowControl/>
        <w:suppressLineNumbers w:val="0"/>
        <w:jc w:val="left"/>
        <w:rPr>
          <w:rFonts w:hint="default" w:ascii="Times New Roman Bold" w:hAnsi="Times New Roman Bold" w:eastAsia="宋体" w:cs="Times New Roman Bold"/>
          <w:b/>
          <w:bCs/>
          <w:sz w:val="24"/>
        </w:rPr>
      </w:pPr>
    </w:p>
    <w:p w14:paraId="7E48F5F2">
      <w:pPr>
        <w:keepNext w:val="0"/>
        <w:keepLines w:val="0"/>
        <w:widowControl/>
        <w:suppressLineNumbers w:val="0"/>
        <w:jc w:val="left"/>
        <w:rPr>
          <w:rFonts w:hint="default" w:ascii="Times New Roman Bold" w:hAnsi="Times New Roman Bold" w:eastAsia="宋体" w:cs="Times New Roman Bold"/>
          <w:b/>
          <w:bCs/>
          <w:sz w:val="24"/>
        </w:rPr>
      </w:pPr>
      <w:r>
        <w:rPr>
          <w:rFonts w:hint="default" w:ascii="Times New Roman Bold" w:hAnsi="Times New Roman Bold" w:eastAsia="宋体" w:cs="Times New Roman Bold"/>
          <w:b/>
          <w:bCs/>
          <w:sz w:val="24"/>
        </w:rPr>
        <w:t>Supplementary Figure</w:t>
      </w:r>
      <w:r>
        <w:rPr>
          <w:rFonts w:hint="eastAsia" w:ascii="Times New Roman Bold" w:hAnsi="Times New Roman Bold" w:eastAsia="宋体" w:cs="Times New Roman Bold"/>
          <w:b/>
          <w:bCs/>
          <w:sz w:val="24"/>
          <w:lang w:val="en-US" w:eastAsia="zh-CN"/>
        </w:rPr>
        <w:t xml:space="preserve"> 5</w:t>
      </w:r>
      <w:r>
        <w:rPr>
          <w:rFonts w:hint="default" w:ascii="Times New Roman Bold" w:hAnsi="Times New Roman Bold" w:eastAsia="宋体" w:cs="Times New Roman Bold"/>
          <w:b/>
          <w:bCs/>
          <w:sz w:val="24"/>
        </w:rPr>
        <w:t xml:space="preserve">. </w:t>
      </w:r>
      <w:r>
        <w:rPr>
          <w:rFonts w:hint="default" w:ascii="Times New Roman Bold" w:hAnsi="Times New Roman Bold" w:eastAsia="宋体" w:cs="Times New Roman Bold"/>
          <w:b/>
          <w:bCs/>
          <w:sz w:val="24"/>
          <w:lang w:val="en-US" w:eastAsia="zh-CN"/>
        </w:rPr>
        <w:t xml:space="preserve">Variance inflation factor to examine the presence of </w:t>
      </w:r>
    </w:p>
    <w:p w14:paraId="7F134004">
      <w:pPr>
        <w:keepNext w:val="0"/>
        <w:keepLines w:val="0"/>
        <w:widowControl/>
        <w:suppressLineNumbers w:val="0"/>
        <w:jc w:val="left"/>
        <w:rPr>
          <w:rFonts w:hint="default" w:ascii="Times New Roman Bold" w:hAnsi="Times New Roman Bold" w:eastAsia="宋体" w:cs="Times New Roman Bold"/>
          <w:b/>
          <w:bCs/>
          <w:sz w:val="24"/>
          <w:lang w:val="en-US" w:eastAsia="zh-CN"/>
        </w:rPr>
      </w:pPr>
      <w:r>
        <w:rPr>
          <w:rFonts w:hint="default" w:ascii="Times New Roman Bold" w:hAnsi="Times New Roman Bold" w:eastAsia="宋体" w:cs="Times New Roman Bold"/>
          <w:b/>
          <w:bCs/>
          <w:sz w:val="24"/>
          <w:lang w:val="en-US" w:eastAsia="zh-CN"/>
        </w:rPr>
        <w:t xml:space="preserve">multicollinearity among variables. </w:t>
      </w:r>
    </w:p>
    <w:p w14:paraId="3ADB924B">
      <w:pPr>
        <w:keepNext w:val="0"/>
        <w:keepLines w:val="0"/>
        <w:widowControl/>
        <w:suppressLineNumbers w:val="0"/>
        <w:jc w:val="left"/>
        <w:rPr>
          <w:rFonts w:hint="default" w:ascii="Times New Roman Bold" w:hAnsi="Times New Roman Bold" w:eastAsia="宋体" w:cs="Times New Roman Bold"/>
          <w:b/>
          <w:bCs/>
          <w:sz w:val="24"/>
          <w:lang w:val="en-US" w:eastAsia="zh-CN"/>
        </w:rPr>
      </w:pPr>
      <w:r>
        <w:rPr>
          <w:rFonts w:hint="default" w:ascii="Times New Roman Bold" w:hAnsi="Times New Roman Bold" w:eastAsia="宋体" w:cs="Times New Roman Bold"/>
          <w:b/>
          <w:bCs/>
          <w:sz w:val="24"/>
          <w:lang w:val="en-US" w:eastAsia="zh-CN"/>
        </w:rPr>
        <w:drawing>
          <wp:inline distT="0" distB="0" distL="114300" distR="114300">
            <wp:extent cx="6120130" cy="4562475"/>
            <wp:effectExtent l="0" t="0" r="4445" b="0"/>
            <wp:docPr id="10" name="图片 10" descr="statin_VIF_barplot_chinese（直方图）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tatin_VIF_barplot_chinese（直方图）_01"/>
                    <pic:cNvPicPr>
                      <a:picLocks noChangeAspect="1"/>
                    </pic:cNvPicPr>
                  </pic:nvPicPr>
                  <pic:blipFill>
                    <a:blip r:embed="rId9"/>
                    <a:srcRect t="6606" r="2039" b="99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5109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178" w:leftChars="85" w:firstLine="0" w:firstLineChars="0"/>
        <w:jc w:val="both"/>
        <w:textAlignment w:val="auto"/>
        <w:rPr>
          <w:rFonts w:hint="default" w:ascii="Times New Roman Bold" w:hAnsi="Times New Roman Bold" w:eastAsia="宋体" w:cs="Times New Roman Bold"/>
          <w:b/>
          <w:bCs/>
          <w:sz w:val="24"/>
        </w:rPr>
      </w:pPr>
      <w:r>
        <w:rPr>
          <w:rFonts w:hint="default" w:ascii="Times New Roman" w:hAnsi="Times New Roman" w:cs="Times New Roman"/>
          <w:b/>
          <w:bCs/>
          <w:sz w:val="21"/>
          <w:szCs w:val="21"/>
          <w:lang w:val="en-US" w:eastAsia="zh-CN"/>
        </w:rPr>
        <w:t>Abbreviations: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SBP,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 xml:space="preserve"> Systolic Blood Pressure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MBP,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Mean Blood Pressure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Spo2,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Peripheral Capillary Oxygen Saturation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WBC,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 xml:space="preserve"> White Blood Cell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BUN,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Blood Urea Nitrogen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RDW,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Red Blood Cell Distribution Width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INR,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International Normalized Ratio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APTT,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 xml:space="preserve"> Activated Partial Thromboplastin Time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CHF,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 xml:space="preserve"> Congestive Heart Failure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PVD,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Peripheral Vascular Disease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CVD,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 xml:space="preserve"> Cerebrovascular Disease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CKD,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 xml:space="preserve"> Chronic Kidney Disease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SOFA score,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Sequential Organ Failure Assessment score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>;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 OASIS score,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 xml:space="preserve"> Oxford Acute Severity of Illness Score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SAPS II score,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Simplified Acute Physiology Score II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CCI,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Charlson Comorbidity Index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>CRRT,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 xml:space="preserve"> Continuous Renal Replacement Therapy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PCI,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Percutaneous Coronary Intervention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CABG,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Coronary Artery Bypass Grafting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ACEI,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Angiotensin-Converting Enzyme Inhibitor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 w:val="0"/>
          <w:bCs w:val="0"/>
          <w:sz w:val="21"/>
          <w:szCs w:val="21"/>
          <w:lang w:val="en-US" w:eastAsia="zh-CN"/>
        </w:rPr>
        <w:t xml:space="preserve">ARB, 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eastAsia="zh"/>
        </w:rPr>
        <w:t>Angiotensin II Receptor Blocker</w:t>
      </w:r>
      <w:r>
        <w:rPr>
          <w:rFonts w:hint="eastAsia" w:ascii="Times New Roman" w:hAnsi="Times New Roman" w:eastAsia="宋体" w:cs="Times New Roman"/>
          <w:color w:val="000000"/>
          <w:sz w:val="21"/>
          <w:szCs w:val="21"/>
          <w:lang w:val="en-US" w:eastAsia="zh-CN"/>
        </w:rPr>
        <w:t xml:space="preserve">; </w:t>
      </w:r>
      <w:r>
        <w:rPr>
          <w:rFonts w:hint="default" w:ascii="Times New Roman" w:hAnsi="Times New Roman" w:cs="Times New Roman"/>
          <w:b w:val="0"/>
          <w:bCs w:val="0"/>
          <w:color w:val="000000"/>
          <w:kern w:val="0"/>
          <w:sz w:val="21"/>
          <w:szCs w:val="21"/>
        </w:rPr>
        <w:t>PSM, propensity score matching</w:t>
      </w:r>
      <w:r>
        <w:rPr>
          <w:rFonts w:hint="eastAsia" w:ascii="Times New Roman" w:hAnsi="Times New Roman" w:cs="Times New Roman"/>
          <w:b w:val="0"/>
          <w:bCs w:val="0"/>
          <w:color w:val="000000"/>
          <w:kern w:val="0"/>
          <w:sz w:val="21"/>
          <w:szCs w:val="21"/>
          <w:lang w:val="en-US" w:eastAsia="zh-CN"/>
        </w:rPr>
        <w:t>.</w:t>
      </w:r>
    </w:p>
    <w:p w14:paraId="4B76679B"/>
    <w:sectPr>
      <w:footerReference r:id="rId3" w:type="default"/>
      <w:pgSz w:w="11906" w:h="16838"/>
      <w:pgMar w:top="1440" w:right="1800" w:bottom="1440" w:left="1800" w:header="851" w:footer="992" w:gutter="0"/>
      <w:lnNumType w:countBy="0" w:restart="continuous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Times New Roman Bold">
    <w:panose1 w:val="02020603050405020304"/>
    <w:charset w:val="00"/>
    <w:family w:val="auto"/>
    <w:pitch w:val="default"/>
    <w:sig w:usb0="E0002AEF" w:usb1="C0007841" w:usb2="00000009" w:usb3="00000000" w:csb0="400001FF" w:csb1="FFFF0000"/>
  </w:font>
  <w:font w:name="Cambria">
    <w:altName w:val="苹方-简"/>
    <w:panose1 w:val="02040503050406030204"/>
    <w:charset w:val="00"/>
    <w:family w:val="auto"/>
    <w:pitch w:val="default"/>
    <w:sig w:usb0="00000000" w:usb1="00000000" w:usb2="02000000" w:usb3="00000000" w:csb0="2000019F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9C6FBCA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9060ADB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9060ADB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509652C"/>
    <w:rsid w:val="40C71987"/>
    <w:rsid w:val="46560EA5"/>
    <w:rsid w:val="6AC76A17"/>
    <w:rsid w:val="6B9F7F54"/>
    <w:rsid w:val="F7F3E720"/>
    <w:rsid w:val="FE7DD0B3"/>
    <w:rsid w:val="FFDF9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Office_12.1.24703.24703_F1E327BC-269C-435d-A152-05C5408002CA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2026-02-26T20:13:00Z</dcterms:created>
  <dc:creator>74065</dc:creator>
  <cp:lastModifiedBy>LO</cp:lastModifiedBy>
  <dcterms:modified xsi:type="dcterms:W3CDTF">2026-03-05T14:08:51Z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2052-12.1.24703.24703</vt:lpwstr>
  </property>
  <property fmtid="{D5CDD505-2E9C-101B-9397-08002B2CF9AE}" pid="3" name="KSOTemplateDocerSaveRecord">
    <vt:lpwstr>eyJoZGlkIjoiMjA4YzdlOTVlMjM5ZDY2ZWExMjM0NzExNzlhM2Q5YjciLCJ1c2VySWQiOiIyMjI2MDYzNTgifQ==</vt:lpwstr>
  </property>
  <property fmtid="{D5CDD505-2E9C-101B-9397-08002B2CF9AE}" pid="4" name="ICV">
    <vt:lpwstr>62DF0DF9D4764BBC92C5A16DC1760491_12</vt:lpwstr>
  </property>
</Properties>
</file>