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54BEC" w14:textId="77777777" w:rsidR="00A2706A" w:rsidRPr="00A2706A" w:rsidRDefault="00A2706A" w:rsidP="00A2706A">
      <w:pPr>
        <w:rPr>
          <w:b/>
          <w:bCs/>
          <w:lang w:val="en"/>
        </w:rPr>
      </w:pPr>
      <w:r w:rsidRPr="00A2706A">
        <w:rPr>
          <w:b/>
          <w:bCs/>
          <w:lang w:val="en"/>
        </w:rPr>
        <w:t xml:space="preserve">Table S1.  Summary of acute adverse events            </w:t>
      </w:r>
      <w:r w:rsidRPr="00A2706A">
        <w:rPr>
          <w:b/>
          <w:bCs/>
          <w:lang w:val="en-US"/>
        </w:rPr>
        <w:t xml:space="preserve">                                              </w:t>
      </w:r>
      <w:r w:rsidRPr="00A2706A">
        <w:rPr>
          <w:lang w:val="en"/>
        </w:rPr>
        <w:t xml:space="preserve">Cytokine release syndrome (CRS) and immune effector cell–associated neurotoxicity syndrome (ICANS) </w:t>
      </w:r>
      <w:proofErr w:type="gramStart"/>
      <w:r w:rsidRPr="00A2706A">
        <w:rPr>
          <w:lang w:val="en"/>
        </w:rPr>
        <w:t>were</w:t>
      </w:r>
      <w:proofErr w:type="gramEnd"/>
      <w:r w:rsidRPr="00A2706A">
        <w:rPr>
          <w:lang w:val="en"/>
        </w:rPr>
        <w:t xml:space="preserve"> graded according to standard criteria. Time to onset and duration are presented as medians with ranges.</w:t>
      </w:r>
    </w:p>
    <w:p w14:paraId="1AAE7F45" w14:textId="77777777" w:rsidR="00A2706A" w:rsidRPr="00A2706A" w:rsidRDefault="00A2706A" w:rsidP="00A2706A">
      <w:pPr>
        <w:rPr>
          <w:lang w:val="en"/>
        </w:rPr>
      </w:pPr>
      <w:r w:rsidRPr="00A2706A">
        <w:rPr>
          <w:b/>
          <w:bCs/>
          <w:lang w:val="en"/>
        </w:rPr>
        <w:t>Table S2. Longitudinal changes in CD4</w:t>
      </w:r>
      <w:r w:rsidRPr="00A2706A">
        <w:rPr>
          <w:rFonts w:ascii="Cambria Math" w:hAnsi="Cambria Math" w:cs="Cambria Math"/>
          <w:b/>
          <w:bCs/>
          <w:lang w:val="en"/>
        </w:rPr>
        <w:t>⁺</w:t>
      </w:r>
      <w:r w:rsidRPr="00A2706A">
        <w:rPr>
          <w:b/>
          <w:bCs/>
          <w:lang w:val="en"/>
        </w:rPr>
        <w:t xml:space="preserve"> T-cell counts</w:t>
      </w:r>
      <w:r w:rsidRPr="00A2706A">
        <w:rPr>
          <w:lang w:val="en"/>
        </w:rPr>
        <w:t xml:space="preserve"> </w:t>
      </w:r>
      <w:r w:rsidRPr="00A2706A">
        <w:rPr>
          <w:rFonts w:ascii="MS Gothic" w:eastAsia="MS Gothic" w:hAnsi="MS Gothic" w:cs="MS Gothic" w:hint="eastAsia"/>
          <w:lang w:val="en"/>
        </w:rPr>
        <w:t xml:space="preserve">　　　　　　　　　　　　</w:t>
      </w:r>
      <w:r w:rsidRPr="00A2706A">
        <w:rPr>
          <w:lang w:val="en"/>
        </w:rPr>
        <w:t>Longitudinal changes in CD4</w:t>
      </w:r>
      <w:r w:rsidRPr="00A2706A">
        <w:rPr>
          <w:rFonts w:ascii="Cambria Math" w:hAnsi="Cambria Math" w:cs="Cambria Math"/>
          <w:lang w:val="en"/>
        </w:rPr>
        <w:t>⁺</w:t>
      </w:r>
      <w:r w:rsidRPr="00A2706A">
        <w:rPr>
          <w:lang w:val="en"/>
        </w:rPr>
        <w:t xml:space="preserve"> T-cell counts (cells/</w:t>
      </w:r>
      <w:proofErr w:type="spellStart"/>
      <w:r w:rsidRPr="00A2706A">
        <w:rPr>
          <w:lang w:val="en"/>
        </w:rPr>
        <w:t>μL</w:t>
      </w:r>
      <w:proofErr w:type="spellEnd"/>
      <w:r w:rsidRPr="00A2706A">
        <w:rPr>
          <w:lang w:val="en"/>
        </w:rPr>
        <w:t xml:space="preserve">) before lymphodepleting chemotherapy and at serial time points after </w:t>
      </w:r>
      <w:proofErr w:type="spellStart"/>
      <w:r w:rsidRPr="00A2706A">
        <w:rPr>
          <w:lang w:val="en"/>
        </w:rPr>
        <w:t>tisa</w:t>
      </w:r>
      <w:proofErr w:type="spellEnd"/>
      <w:r w:rsidRPr="00A2706A">
        <w:rPr>
          <w:lang w:val="en"/>
        </w:rPr>
        <w:t>-cel infusion. Gray shading indicates PD. Median values were calculated among patients who achieved CR at each time point.</w:t>
      </w:r>
    </w:p>
    <w:p w14:paraId="33552813" w14:textId="77777777" w:rsidR="00A2706A" w:rsidRPr="00A2706A" w:rsidRDefault="00A2706A" w:rsidP="00A2706A">
      <w:pPr>
        <w:rPr>
          <w:lang w:val="en"/>
        </w:rPr>
      </w:pPr>
      <w:r w:rsidRPr="00A2706A">
        <w:rPr>
          <w:b/>
          <w:bCs/>
          <w:lang w:val="en"/>
        </w:rPr>
        <w:t>Table S3. Longitudinal changes in CD19</w:t>
      </w:r>
      <w:r w:rsidRPr="00A2706A">
        <w:rPr>
          <w:rFonts w:ascii="Cambria Math" w:hAnsi="Cambria Math" w:cs="Cambria Math"/>
          <w:b/>
          <w:bCs/>
          <w:lang w:val="en"/>
        </w:rPr>
        <w:t>⁺</w:t>
      </w:r>
      <w:r w:rsidRPr="00A2706A">
        <w:rPr>
          <w:b/>
          <w:bCs/>
          <w:lang w:val="en"/>
        </w:rPr>
        <w:t xml:space="preserve"> B-cell counts</w:t>
      </w:r>
      <w:r w:rsidRPr="00A2706A">
        <w:rPr>
          <w:lang w:val="en"/>
        </w:rPr>
        <w:t xml:space="preserve"> </w:t>
      </w:r>
      <w:r w:rsidRPr="00A2706A">
        <w:rPr>
          <w:rFonts w:ascii="MS Gothic" w:eastAsia="MS Gothic" w:hAnsi="MS Gothic" w:cs="MS Gothic" w:hint="eastAsia"/>
          <w:lang w:val="en"/>
        </w:rPr>
        <w:t xml:space="preserve">　　　　　　　　　　　　</w:t>
      </w:r>
      <w:r w:rsidRPr="00A2706A">
        <w:rPr>
          <w:lang w:val="en"/>
        </w:rPr>
        <w:t>Longitudinal changes in CD19</w:t>
      </w:r>
      <w:r w:rsidRPr="00A2706A">
        <w:rPr>
          <w:rFonts w:ascii="Cambria Math" w:hAnsi="Cambria Math" w:cs="Cambria Math"/>
          <w:lang w:val="en"/>
        </w:rPr>
        <w:t>⁺</w:t>
      </w:r>
      <w:r w:rsidRPr="00A2706A">
        <w:rPr>
          <w:lang w:val="en"/>
        </w:rPr>
        <w:t xml:space="preserve"> B-cell counts (cells/</w:t>
      </w:r>
      <w:proofErr w:type="spellStart"/>
      <w:r w:rsidRPr="00A2706A">
        <w:rPr>
          <w:lang w:val="en"/>
        </w:rPr>
        <w:t>μL</w:t>
      </w:r>
      <w:proofErr w:type="spellEnd"/>
      <w:r w:rsidRPr="00A2706A">
        <w:rPr>
          <w:lang w:val="en"/>
        </w:rPr>
        <w:t xml:space="preserve">) before lymphodepleting chemotherapy and at serial time points after </w:t>
      </w:r>
      <w:proofErr w:type="spellStart"/>
      <w:r w:rsidRPr="00A2706A">
        <w:rPr>
          <w:lang w:val="en"/>
        </w:rPr>
        <w:t>tisa</w:t>
      </w:r>
      <w:proofErr w:type="spellEnd"/>
      <w:r w:rsidRPr="00A2706A">
        <w:rPr>
          <w:lang w:val="en"/>
        </w:rPr>
        <w:t>-cel infusion. Gray shading indicates PD. Median values were calculated among patients who achieved CR at each time point.</w:t>
      </w:r>
    </w:p>
    <w:p w14:paraId="64EF289B" w14:textId="77777777" w:rsidR="00A2706A" w:rsidRPr="00A2706A" w:rsidRDefault="00A2706A" w:rsidP="00A2706A">
      <w:pPr>
        <w:rPr>
          <w:lang w:val="en"/>
        </w:rPr>
      </w:pPr>
      <w:r w:rsidRPr="00A2706A">
        <w:rPr>
          <w:b/>
          <w:bCs/>
          <w:lang w:val="en"/>
        </w:rPr>
        <w:t>Table S4. Longitudinal changes in serum IgG levels</w:t>
      </w:r>
      <w:r w:rsidRPr="00A2706A">
        <w:rPr>
          <w:rFonts w:ascii="MS Gothic" w:eastAsia="MS Gothic" w:hAnsi="MS Gothic" w:cs="MS Gothic" w:hint="eastAsia"/>
          <w:lang w:val="en"/>
        </w:rPr>
        <w:t xml:space="preserve">　　　　　　　　　　　　</w:t>
      </w:r>
      <w:r w:rsidRPr="00A2706A">
        <w:rPr>
          <w:lang w:val="en"/>
        </w:rPr>
        <w:t xml:space="preserve">Longitudinal changes in serum IgG levels (mg/dL) before lymphodepleting chemotherapy and at serial time points after </w:t>
      </w:r>
      <w:proofErr w:type="spellStart"/>
      <w:r w:rsidRPr="00A2706A">
        <w:rPr>
          <w:lang w:val="en"/>
        </w:rPr>
        <w:t>tisa</w:t>
      </w:r>
      <w:proofErr w:type="spellEnd"/>
      <w:r w:rsidRPr="00A2706A">
        <w:rPr>
          <w:lang w:val="en"/>
        </w:rPr>
        <w:t xml:space="preserve">-cel infusion. Gray shading indicates PD. Median values were calculated among patients who achieved CR at each time point. </w:t>
      </w:r>
    </w:p>
    <w:p w14:paraId="45F5BBFE" w14:textId="77777777" w:rsidR="00A2706A" w:rsidRPr="00A2706A" w:rsidRDefault="00A2706A" w:rsidP="00A2706A">
      <w:pPr>
        <w:rPr>
          <w:lang w:val="en"/>
        </w:rPr>
      </w:pPr>
      <w:bookmarkStart w:id="0" w:name="_h7ngs94ufknc"/>
      <w:bookmarkEnd w:id="0"/>
      <w:r w:rsidRPr="00A2706A">
        <w:rPr>
          <w:b/>
          <w:bCs/>
          <w:lang w:val="en"/>
        </w:rPr>
        <w:t xml:space="preserve">Table S5. Late adverse events after </w:t>
      </w:r>
      <w:proofErr w:type="spellStart"/>
      <w:r w:rsidRPr="00A2706A">
        <w:rPr>
          <w:b/>
          <w:bCs/>
          <w:lang w:val="en"/>
        </w:rPr>
        <w:t>tisa</w:t>
      </w:r>
      <w:proofErr w:type="spellEnd"/>
      <w:r w:rsidRPr="00A2706A">
        <w:rPr>
          <w:b/>
          <w:bCs/>
          <w:lang w:val="en"/>
        </w:rPr>
        <w:t xml:space="preserve">-cel                                                            </w:t>
      </w:r>
      <w:r w:rsidRPr="00A2706A">
        <w:rPr>
          <w:lang w:val="en"/>
        </w:rPr>
        <w:t xml:space="preserve">Summary of late adverse events occurring more than 30 days after </w:t>
      </w:r>
      <w:proofErr w:type="spellStart"/>
      <w:r w:rsidRPr="00A2706A">
        <w:rPr>
          <w:lang w:val="en"/>
        </w:rPr>
        <w:t>tisa</w:t>
      </w:r>
      <w:proofErr w:type="spellEnd"/>
      <w:r w:rsidRPr="00A2706A">
        <w:rPr>
          <w:lang w:val="en"/>
        </w:rPr>
        <w:t>-cel infusion, including cytopenias, infections, COVID-19, and secondary malignancies.</w:t>
      </w:r>
    </w:p>
    <w:p w14:paraId="7F39D882" w14:textId="77777777" w:rsidR="00A2706A" w:rsidRPr="00A2706A" w:rsidRDefault="00A2706A" w:rsidP="00A2706A">
      <w:pPr>
        <w:rPr>
          <w:b/>
          <w:bCs/>
          <w:lang w:val="en"/>
        </w:rPr>
      </w:pPr>
      <w:bookmarkStart w:id="1" w:name="_6igzqbep8g2f"/>
      <w:bookmarkEnd w:id="1"/>
      <w:r w:rsidRPr="00A2706A">
        <w:rPr>
          <w:b/>
          <w:bCs/>
          <w:lang w:val="en"/>
        </w:rPr>
        <w:t xml:space="preserve">Table S6. Comparison of </w:t>
      </w:r>
      <w:proofErr w:type="spellStart"/>
      <w:r w:rsidRPr="00A2706A">
        <w:rPr>
          <w:b/>
          <w:bCs/>
          <w:lang w:val="en"/>
        </w:rPr>
        <w:t>tisa</w:t>
      </w:r>
      <w:proofErr w:type="spellEnd"/>
      <w:r w:rsidRPr="00A2706A">
        <w:rPr>
          <w:b/>
          <w:bCs/>
          <w:lang w:val="en"/>
        </w:rPr>
        <w:t xml:space="preserve">-cel outcomes in real-world studies                       </w:t>
      </w:r>
      <w:r w:rsidRPr="00A2706A">
        <w:rPr>
          <w:lang w:val="en"/>
        </w:rPr>
        <w:t xml:space="preserve">Comparison of patient characteristics, efficacy outcomes, and safety profiles of </w:t>
      </w:r>
      <w:proofErr w:type="spellStart"/>
      <w:r w:rsidRPr="00A2706A">
        <w:rPr>
          <w:lang w:val="en"/>
        </w:rPr>
        <w:t>tisa</w:t>
      </w:r>
      <w:proofErr w:type="spellEnd"/>
      <w:r w:rsidRPr="00A2706A">
        <w:rPr>
          <w:lang w:val="en"/>
        </w:rPr>
        <w:t xml:space="preserve">-cel across real-world cohorts, including the present study. Data shown </w:t>
      </w:r>
      <w:proofErr w:type="gramStart"/>
      <w:r w:rsidRPr="00A2706A">
        <w:rPr>
          <w:lang w:val="en"/>
        </w:rPr>
        <w:t>include</w:t>
      </w:r>
      <w:proofErr w:type="gramEnd"/>
      <w:r w:rsidRPr="00A2706A">
        <w:rPr>
          <w:lang w:val="en"/>
        </w:rPr>
        <w:t xml:space="preserve"> median follow-up duration, patient demographics, prior lines of therapy, response rates, survival outcomes, and treatment-related toxicities.</w:t>
      </w:r>
    </w:p>
    <w:p w14:paraId="7F45B8A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06A"/>
    <w:rsid w:val="00767E38"/>
    <w:rsid w:val="00866F7D"/>
    <w:rsid w:val="00A2706A"/>
    <w:rsid w:val="00CD1068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14CC0"/>
  <w15:chartTrackingRefBased/>
  <w15:docId w15:val="{9602BC76-3EF0-4149-BB79-1B39A3797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7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7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70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70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70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70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70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70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70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7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7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7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70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70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70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70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70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70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7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7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0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7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70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70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70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70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0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70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2026-03-18T16:41:00Z</dcterms:created>
  <dcterms:modified xsi:type="dcterms:W3CDTF">2026-03-18T16:41:00Z</dcterms:modified>
</cp:coreProperties>
</file>