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9A2886">
      <w:pPr>
        <w:pStyle w:val="4"/>
      </w:pPr>
      <w:bookmarkStart w:id="0" w:name="supplementary"/>
      <w:r>
        <w:t>Supplementary</w:t>
      </w:r>
    </w:p>
    <w:p w14:paraId="11116091">
      <w:pPr>
        <w:pStyle w:val="5"/>
      </w:pPr>
      <w:bookmarkStart w:id="1" w:name="X710a6ca01dbfdbcd06751a3848f48f47e8dc8fd"/>
      <w:r>
        <w:t>1A. Deep Learning Training Process</w:t>
      </w:r>
    </w:p>
    <w:p w14:paraId="62B263E1">
      <w:pPr>
        <w:pStyle w:val="25"/>
      </w:pPr>
      <w:r>
        <w:rPr>
          <w:b/>
          <w:bCs/>
        </w:rPr>
        <w:t>Data Augmentation:</w:t>
      </w:r>
    </w:p>
    <w:p w14:paraId="70AE9A55">
      <w:pPr>
        <w:pStyle w:val="3"/>
      </w:pPr>
      <w:r>
        <w:t>Z-score normalization was applied to standardize the intensity distribution across the RGB channels of all input images. During training, real-time data augmentation was performed to enhance model robustness and prevent overfitting, including random cropping and horizontal and vertical flipping. For the test set, only normalization was applied without any augmentation to ensure unbiased evaluation.</w:t>
      </w:r>
    </w:p>
    <w:p w14:paraId="7563A8C9">
      <w:pPr>
        <w:pStyle w:val="3"/>
      </w:pPr>
      <w:r>
        <w:rPr>
          <w:b/>
          <w:bCs/>
        </w:rPr>
        <w:t>Data Normalization:</w:t>
      </w:r>
    </w:p>
    <w:p w14:paraId="0B4F153E">
      <w:pPr>
        <w:pStyle w:val="3"/>
      </w:pPr>
      <w:r>
        <w:t>Grayscale values of image slices were normalized using a min–max scaling approach to rescale pixel intensities into the range of [-1, 1]. Each cropped subregion was resized to 224 × 224 pixels(299 * 299 for inception_V3) using nearest-neighbor interpolation to maintain spatial consistency and compatibility with the input dimensions required by the deep learning models.</w:t>
      </w:r>
    </w:p>
    <w:p w14:paraId="73EEA67D">
      <w:pPr>
        <w:pStyle w:val="3"/>
      </w:pPr>
      <w:r>
        <w:rPr>
          <w:b/>
          <w:bCs/>
        </w:rPr>
        <w:t>Training Parameters:</w:t>
      </w:r>
    </w:p>
    <w:p w14:paraId="257607BE">
      <w:pPr>
        <w:pStyle w:val="3"/>
      </w:pPr>
      <w:r>
        <w:t>To optimize the learning process, the learning rate was dynamically adjusted using a cosine decay schedule defined as:</w:t>
      </w:r>
    </w:p>
    <w:p w14:paraId="3C13C117">
      <w:pPr>
        <w:pStyle w:val="3"/>
      </w:pPr>
      <m:oMathPara>
        <m:oMathParaPr>
          <m:jc m:val="center"/>
        </m:oMathParaPr>
        <m:oMath>
          <m:sSub>
            <m:sSubPr>
              <m:ctrlPr>
                <w:rPr>
                  <w:rFonts w:ascii="Cambria Math" w:hAnsi="Cambria Math"/>
                </w:rPr>
              </m:ctrlPr>
            </m:sSubPr>
            <m:e>
              <m:r>
                <m:rPr/>
                <w:rPr>
                  <w:rFonts w:ascii="Cambria Math" w:hAnsi="Cambria Math"/>
                </w:rPr>
                <m:t>η</m:t>
              </m:r>
              <m:ctrlPr>
                <w:rPr>
                  <w:rFonts w:ascii="Cambria Math" w:hAnsi="Cambria Math"/>
                </w:rPr>
              </m:ctrlPr>
            </m:e>
            <m:sub>
              <m:r>
                <m:rPr/>
                <w:rPr>
                  <w:rFonts w:ascii="Cambria Math" w:hAnsi="Cambria Math"/>
                </w:rPr>
                <m:t>t</m:t>
              </m:r>
              <m:ctrlPr>
                <w:rPr>
                  <w:rFonts w:ascii="Cambria Math" w:hAnsi="Cambria Math"/>
                </w:rPr>
              </m:ctrlPr>
            </m:sub>
          </m:sSub>
          <m:r>
            <m:rPr>
              <m:sty m:val="p"/>
            </m:rPr>
            <w:rPr>
              <w:rFonts w:ascii="Cambria Math" w:hAnsi="Cambria Math"/>
            </w:rPr>
            <m:t>=</m:t>
          </m:r>
          <m:sSubSup>
            <m:sSubSupPr>
              <m:ctrlPr>
                <w:rPr>
                  <w:rFonts w:ascii="Cambria Math" w:hAnsi="Cambria Math"/>
                </w:rPr>
              </m:ctrlPr>
            </m:sSubSupPr>
            <m:e>
              <m:r>
                <m:rPr/>
                <w:rPr>
                  <w:rFonts w:ascii="Cambria Math" w:hAnsi="Cambria Math"/>
                </w:rPr>
                <m:t>η</m:t>
              </m:r>
              <m:ctrlPr>
                <w:rPr>
                  <w:rFonts w:ascii="Cambria Math" w:hAnsi="Cambria Math"/>
                </w:rPr>
              </m:ctrlPr>
            </m:e>
            <m:sub>
              <m:r>
                <m:rPr/>
                <w:rPr>
                  <w:rFonts w:ascii="Cambria Math" w:hAnsi="Cambria Math"/>
                </w:rPr>
                <m:t>min</m:t>
              </m:r>
              <m:ctrlPr>
                <w:rPr>
                  <w:rFonts w:ascii="Cambria Math" w:hAnsi="Cambria Math"/>
                </w:rPr>
              </m:ctrlPr>
            </m:sub>
            <m:sup>
              <m:r>
                <m:rPr/>
                <w:rPr>
                  <w:rFonts w:ascii="Cambria Math" w:hAnsi="Cambria Math"/>
                </w:rPr>
                <m:t>i</m:t>
              </m:r>
              <m:ctrlPr>
                <w:rPr>
                  <w:rFonts w:ascii="Cambria Math" w:hAnsi="Cambria Math"/>
                </w:rPr>
              </m:ctrlPr>
            </m:sup>
          </m:sSubSup>
          <m:r>
            <m:rPr>
              <m:sty m:val="p"/>
            </m:rPr>
            <w:rPr>
              <w:rFonts w:ascii="Cambria Math" w:hAnsi="Cambria Math"/>
            </w:rPr>
            <m:t>+</m:t>
          </m:r>
          <m:f>
            <m:fPr>
              <m:ctrlPr>
                <w:rPr>
                  <w:rFonts w:ascii="Cambria Math" w:hAnsi="Cambria Math"/>
                </w:rPr>
              </m:ctrlPr>
            </m:fPr>
            <m:num>
              <m:r>
                <m:rPr/>
                <w:rPr>
                  <w:rFonts w:ascii="Cambria Math" w:hAnsi="Cambria Math"/>
                </w:rPr>
                <m:t>1</m:t>
              </m:r>
              <m:ctrlPr>
                <w:rPr>
                  <w:rFonts w:ascii="Cambria Math" w:hAnsi="Cambria Math"/>
                </w:rPr>
              </m:ctrlPr>
            </m:num>
            <m:den>
              <m:r>
                <m:rPr/>
                <w:rPr>
                  <w:rFonts w:ascii="Cambria Math" w:hAnsi="Cambria Math"/>
                </w:rPr>
                <m:t>2</m:t>
              </m:r>
              <m:ctrlPr>
                <w:rPr>
                  <w:rFonts w:ascii="Cambria Math" w:hAnsi="Cambria Math"/>
                </w:rPr>
              </m:ctrlPr>
            </m:den>
          </m:f>
          <m:d>
            <m:dPr>
              <m:ctrlPr>
                <w:rPr>
                  <w:rFonts w:ascii="Cambria Math" w:hAnsi="Cambria Math"/>
                </w:rPr>
              </m:ctrlPr>
            </m:dPr>
            <m:e>
              <m:sSubSup>
                <m:sSubSupPr>
                  <m:ctrlPr>
                    <w:rPr>
                      <w:rFonts w:ascii="Cambria Math" w:hAnsi="Cambria Math"/>
                    </w:rPr>
                  </m:ctrlPr>
                </m:sSubSupPr>
                <m:e>
                  <m:r>
                    <m:rPr/>
                    <w:rPr>
                      <w:rFonts w:ascii="Cambria Math" w:hAnsi="Cambria Math"/>
                    </w:rPr>
                    <m:t>η</m:t>
                  </m:r>
                  <m:ctrlPr>
                    <w:rPr>
                      <w:rFonts w:ascii="Cambria Math" w:hAnsi="Cambria Math"/>
                    </w:rPr>
                  </m:ctrlPr>
                </m:e>
                <m:sub>
                  <m:r>
                    <m:rPr/>
                    <w:rPr>
                      <w:rFonts w:ascii="Cambria Math" w:hAnsi="Cambria Math"/>
                    </w:rPr>
                    <m:t>max</m:t>
                  </m:r>
                  <m:ctrlPr>
                    <w:rPr>
                      <w:rFonts w:ascii="Cambria Math" w:hAnsi="Cambria Math"/>
                    </w:rPr>
                  </m:ctrlPr>
                </m:sub>
                <m:sup>
                  <m:r>
                    <m:rPr/>
                    <w:rPr>
                      <w:rFonts w:ascii="Cambria Math" w:hAnsi="Cambria Math"/>
                    </w:rPr>
                    <m:t>i</m:t>
                  </m:r>
                  <m:ctrlPr>
                    <w:rPr>
                      <w:rFonts w:ascii="Cambria Math" w:hAnsi="Cambria Math"/>
                    </w:rPr>
                  </m:ctrlPr>
                </m:sup>
              </m:sSubSup>
              <m:r>
                <m:rPr>
                  <m:sty m:val="p"/>
                </m:rPr>
                <w:rPr>
                  <w:rFonts w:ascii="Cambria Math" w:hAnsi="Cambria Math"/>
                </w:rPr>
                <m:t>−</m:t>
              </m:r>
              <m:sSubSup>
                <m:sSubSupPr>
                  <m:ctrlPr>
                    <w:rPr>
                      <w:rFonts w:ascii="Cambria Math" w:hAnsi="Cambria Math"/>
                    </w:rPr>
                  </m:ctrlPr>
                </m:sSubSupPr>
                <m:e>
                  <m:r>
                    <m:rPr/>
                    <w:rPr>
                      <w:rFonts w:ascii="Cambria Math" w:hAnsi="Cambria Math"/>
                    </w:rPr>
                    <m:t>η</m:t>
                  </m:r>
                  <m:ctrlPr>
                    <w:rPr>
                      <w:rFonts w:ascii="Cambria Math" w:hAnsi="Cambria Math"/>
                    </w:rPr>
                  </m:ctrlPr>
                </m:e>
                <m:sub>
                  <m:r>
                    <m:rPr/>
                    <w:rPr>
                      <w:rFonts w:ascii="Cambria Math" w:hAnsi="Cambria Math"/>
                    </w:rPr>
                    <m:t>min</m:t>
                  </m:r>
                  <m:ctrlPr>
                    <w:rPr>
                      <w:rFonts w:ascii="Cambria Math" w:hAnsi="Cambria Math"/>
                    </w:rPr>
                  </m:ctrlPr>
                </m:sub>
                <m:sup>
                  <m:r>
                    <m:rPr/>
                    <w:rPr>
                      <w:rFonts w:ascii="Cambria Math" w:hAnsi="Cambria Math"/>
                    </w:rPr>
                    <m:t>i</m:t>
                  </m:r>
                  <m:ctrlPr>
                    <w:rPr>
                      <w:rFonts w:ascii="Cambria Math" w:hAnsi="Cambria Math"/>
                    </w:rPr>
                  </m:ctrlPr>
                </m:sup>
              </m:sSubSup>
              <m:ctrlPr>
                <w:rPr>
                  <w:rFonts w:ascii="Cambria Math" w:hAnsi="Cambria Math"/>
                </w:rPr>
              </m:ctrlPr>
            </m:e>
          </m:d>
          <m:d>
            <m:dPr>
              <m:ctrlPr>
                <w:rPr>
                  <w:rFonts w:ascii="Cambria Math" w:hAnsi="Cambria Math"/>
                </w:rPr>
              </m:ctrlPr>
            </m:dPr>
            <m:e>
              <m:r>
                <m:rPr/>
                <w:rPr>
                  <w:rFonts w:ascii="Cambria Math" w:hAnsi="Cambria Math"/>
                </w:rPr>
                <m:t>1</m:t>
              </m:r>
              <m:r>
                <m:rPr>
                  <m:sty m:val="p"/>
                </m:rPr>
                <w:rPr>
                  <w:rFonts w:ascii="Cambria Math" w:hAnsi="Cambria Math"/>
                </w:rPr>
                <m:t>+cos</m:t>
              </m:r>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cur</m:t>
                          </m:r>
                          <m:ctrlPr>
                            <w:rPr>
                              <w:rFonts w:ascii="Cambria Math" w:hAnsi="Cambria Math"/>
                            </w:rPr>
                          </m:ctrlPr>
                        </m:sub>
                      </m:sSub>
                      <m:ctrlPr>
                        <w:rPr>
                          <w:rFonts w:ascii="Cambria Math" w:hAnsi="Cambria Math"/>
                        </w:rPr>
                      </m:ctrlPr>
                    </m:num>
                    <m:den>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i</m:t>
                          </m:r>
                          <m:ctrlPr>
                            <w:rPr>
                              <w:rFonts w:ascii="Cambria Math" w:hAnsi="Cambria Math"/>
                            </w:rPr>
                          </m:ctrlPr>
                        </m:sub>
                      </m:sSub>
                      <m:ctrlPr>
                        <w:rPr>
                          <w:rFonts w:ascii="Cambria Math" w:hAnsi="Cambria Math"/>
                        </w:rPr>
                      </m:ctrlPr>
                    </m:den>
                  </m:f>
                  <m:r>
                    <m:rPr/>
                    <w:rPr>
                      <w:rFonts w:ascii="Cambria Math" w:hAnsi="Cambria Math"/>
                    </w:rPr>
                    <m:t>π</m:t>
                  </m:r>
                  <m:ctrlPr>
                    <w:rPr>
                      <w:rFonts w:ascii="Cambria Math" w:hAnsi="Cambria Math"/>
                    </w:rPr>
                  </m:ctrlPr>
                </m:e>
              </m:d>
              <m:ctrlPr>
                <w:rPr>
                  <w:rFonts w:ascii="Cambria Math" w:hAnsi="Cambria Math"/>
                </w:rPr>
              </m:ctrlPr>
            </m:e>
          </m:d>
          <m:r>
            <m:rPr/>
            <w:rPr>
              <w:rFonts w:ascii="Cambria Math" w:hAnsi="Cambria Math"/>
            </w:rPr>
            <m:t>  </m:t>
          </m:r>
          <m:r>
            <m:rPr>
              <m:nor/>
              <m:sty m:val="p"/>
            </m:rPr>
            <m:t>(2)</m:t>
          </m:r>
        </m:oMath>
      </m:oMathPara>
    </w:p>
    <w:p w14:paraId="5CE36A9E">
      <w:pPr>
        <w:pStyle w:val="25"/>
      </w:pPr>
      <w:r>
        <w:t xml:space="preserve"> where </w:t>
      </w:r>
      <m:oMath>
        <m:sSubSup>
          <m:sSubSupPr>
            <m:ctrlPr>
              <w:rPr>
                <w:rFonts w:ascii="Cambria Math" w:hAnsi="Cambria Math"/>
              </w:rPr>
            </m:ctrlPr>
          </m:sSubSupPr>
          <m:e>
            <m:r>
              <m:rPr/>
              <w:rPr>
                <w:rFonts w:ascii="Cambria Math" w:hAnsi="Cambria Math"/>
              </w:rPr>
              <m:t>η</m:t>
            </m:r>
            <m:ctrlPr>
              <w:rPr>
                <w:rFonts w:ascii="Cambria Math" w:hAnsi="Cambria Math"/>
              </w:rPr>
            </m:ctrlPr>
          </m:e>
          <m:sub>
            <m:r>
              <m:rPr/>
              <w:rPr>
                <w:rFonts w:ascii="Cambria Math" w:hAnsi="Cambria Math"/>
              </w:rPr>
              <m:t>min</m:t>
            </m:r>
            <m:ctrlPr>
              <w:rPr>
                <w:rFonts w:ascii="Cambria Math" w:hAnsi="Cambria Math"/>
              </w:rPr>
            </m:ctrlPr>
          </m:sub>
          <m:sup>
            <m:r>
              <m:rPr/>
              <w:rPr>
                <w:rFonts w:ascii="Cambria Math" w:hAnsi="Cambria Math"/>
              </w:rPr>
              <m:t>i</m:t>
            </m:r>
            <m:ctrlPr>
              <w:rPr>
                <w:rFonts w:ascii="Cambria Math" w:hAnsi="Cambria Math"/>
              </w:rPr>
            </m:ctrlPr>
          </m:sup>
        </m:sSubSup>
        <m:r>
          <m:rPr>
            <m:sty m:val="p"/>
          </m:rPr>
          <w:rPr>
            <w:rFonts w:ascii="Cambria Math" w:hAnsi="Cambria Math"/>
          </w:rPr>
          <m:t>=</m:t>
        </m:r>
        <m:r>
          <m:rPr/>
          <w:rPr>
            <w:rFonts w:ascii="Cambria Math" w:hAnsi="Cambria Math"/>
          </w:rPr>
          <m:t>0</m:t>
        </m:r>
      </m:oMath>
      <w:r>
        <w:t xml:space="preserve">, </w:t>
      </w:r>
      <m:oMath>
        <m:sSubSup>
          <m:sSubSupPr>
            <m:ctrlPr>
              <w:rPr>
                <w:rFonts w:ascii="Cambria Math" w:hAnsi="Cambria Math"/>
              </w:rPr>
            </m:ctrlPr>
          </m:sSubSupPr>
          <m:e>
            <m:r>
              <m:rPr/>
              <w:rPr>
                <w:rFonts w:ascii="Cambria Math" w:hAnsi="Cambria Math"/>
              </w:rPr>
              <m:t>η</m:t>
            </m:r>
            <m:ctrlPr>
              <w:rPr>
                <w:rFonts w:ascii="Cambria Math" w:hAnsi="Cambria Math"/>
              </w:rPr>
            </m:ctrlPr>
          </m:e>
          <m:sub>
            <m:r>
              <m:rPr/>
              <w:rPr>
                <w:rFonts w:ascii="Cambria Math" w:hAnsi="Cambria Math"/>
              </w:rPr>
              <m:t>max</m:t>
            </m:r>
            <m:ctrlPr>
              <w:rPr>
                <w:rFonts w:ascii="Cambria Math" w:hAnsi="Cambria Math"/>
              </w:rPr>
            </m:ctrlPr>
          </m:sub>
          <m:sup>
            <m:r>
              <m:rPr/>
              <w:rPr>
                <w:rFonts w:ascii="Cambria Math" w:hAnsi="Cambria Math"/>
              </w:rPr>
              <m:t>i</m:t>
            </m:r>
            <m:ctrlPr>
              <w:rPr>
                <w:rFonts w:ascii="Cambria Math" w:hAnsi="Cambria Math"/>
              </w:rPr>
            </m:ctrlPr>
          </m:sup>
        </m:sSubSup>
        <m:r>
          <m:rPr>
            <m:sty m:val="p"/>
          </m:rPr>
          <w:rPr>
            <w:rFonts w:ascii="Cambria Math" w:hAnsi="Cambria Math"/>
          </w:rPr>
          <m:t>=</m:t>
        </m:r>
        <m:r>
          <m:rPr/>
          <w:rPr>
            <w:rFonts w:ascii="Cambria Math" w:hAnsi="Cambria Math"/>
          </w:rPr>
          <m:t>0.01</m:t>
        </m:r>
      </m:oMath>
      <w:r>
        <w:t xml:space="preserve">, and </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i</m:t>
            </m:r>
            <m:ctrlPr>
              <w:rPr>
                <w:rFonts w:ascii="Cambria Math" w:hAnsi="Cambria Math"/>
              </w:rPr>
            </m:ctrlPr>
          </m:sub>
        </m:sSub>
      </m:oMath>
      <w:r>
        <w:t xml:space="preserve"> represents the total number of training epochs. Stochastic Gradient Descent </w:t>
      </w:r>
      <m:oMath>
        <m:r>
          <m:rPr/>
          <w:rPr>
            <w:rFonts w:ascii="Cambria Math" w:hAnsi="Cambria Math"/>
          </w:rPr>
          <m:t>SGD</m:t>
        </m:r>
      </m:oMath>
      <w:r>
        <w:t xml:space="preserve"> was employed as the optimizer, and the softmax cross-entropy function was used as the loss criterion. This configuration ensured stable convergence and effective optimization of model weights.</w:t>
      </w:r>
    </w:p>
    <w:bookmarkEnd w:id="1"/>
    <w:p w14:paraId="1B7E1262">
      <w:pPr>
        <w:pStyle w:val="5"/>
      </w:pPr>
      <w:bookmarkStart w:id="2" w:name="Xa3b0a36d210a50e89f331bb496fea0a4d700d8a"/>
      <w:r>
        <w:t>1B. Multi-Instance Learning–Based Feature Fusion</w:t>
      </w:r>
    </w:p>
    <w:p w14:paraId="4E93EB0E">
      <w:pPr>
        <w:pStyle w:val="25"/>
      </w:pPr>
      <w:r>
        <w:t xml:space="preserve">Two multi-instance learning </w:t>
      </w:r>
      <m:oMath>
        <m:r>
          <m:rPr/>
          <w:rPr>
            <w:rFonts w:ascii="Cambria Math" w:hAnsi="Cambria Math"/>
          </w:rPr>
          <m:t>MIL</m:t>
        </m:r>
      </m:oMath>
      <w:r>
        <w:t xml:space="preserve"> fusion strategies were implemented to aggregate slice-level information into patient-level representations. Using 2.5D deep learning outputs, we constructed </w:t>
      </w:r>
      <w:r>
        <w:rPr>
          <w:b/>
          <w:bCs/>
        </w:rPr>
        <w:t>Predictive Likelihood Histograms (PLH)</w:t>
      </w:r>
      <w:r>
        <w:t xml:space="preserve"> to capture the distribution of predicted probabilities and labels for each slice, thereby generating a probabilistic summary of slice-level predictions. In parallel, a </w:t>
      </w:r>
      <w:r>
        <w:rPr>
          <w:b/>
          <w:bCs/>
        </w:rPr>
        <w:t>Bag-of-Words (BoW)</w:t>
      </w:r>
      <w:r>
        <w:t xml:space="preserve"> strategy was employed, where features from individual slices were represented as frequency-based vectors and analyzed using the Term Frequency–Inverse Document Frequency </w:t>
      </w:r>
      <m:oMath>
        <m:r>
          <m:rPr/>
          <w:rPr>
            <w:rFonts w:ascii="Cambria Math" w:hAnsi="Cambria Math"/>
          </w:rPr>
          <m:t>TF</m:t>
        </m:r>
        <m:r>
          <m:rPr>
            <m:sty m:val="p"/>
          </m:rPr>
          <w:rPr>
            <w:rFonts w:ascii="Cambria Math" w:hAnsi="Cambria Math"/>
          </w:rPr>
          <m:t>−</m:t>
        </m:r>
        <m:r>
          <m:rPr/>
          <w:rPr>
            <w:rFonts w:ascii="Cambria Math" w:hAnsi="Cambria Math"/>
          </w:rPr>
          <m:t>IDF</m:t>
        </m:r>
      </m:oMath>
      <w:r>
        <w:t xml:space="preserve"> method. Both PLH and BoW representations were subsequently integrated with radiomics features to enhance the model’s representational capacity and classification accuracy.</w:t>
      </w:r>
    </w:p>
    <w:p w14:paraId="1BAD4D6F">
      <w:pPr>
        <w:pStyle w:val="3"/>
      </w:pPr>
      <w:r>
        <w:t>The multi-instance learning framework was designed to improve predictive performance by aggregating diverse slice-level information into a unified feature representation, comprising the following steps:</w:t>
      </w:r>
    </w:p>
    <w:p w14:paraId="62804A87">
      <w:pPr>
        <w:numPr>
          <w:ilvl w:val="0"/>
          <w:numId w:val="1"/>
        </w:numPr>
      </w:pPr>
      <w:r>
        <w:rPr>
          <w:b/>
          <w:bCs/>
        </w:rPr>
        <w:t>Slice Prediction:</w:t>
      </w:r>
    </w:p>
    <w:p w14:paraId="6EB80783">
      <w:pPr>
        <w:numPr>
          <w:ilvl w:val="0"/>
          <w:numId w:val="2"/>
        </w:numPr>
      </w:pPr>
      <w:r>
        <w:t xml:space="preserve">Each slice was processed by the deep learning model to produce predicted probabilities and categorical labels, denoted as </w:t>
      </w:r>
      <m:oMath>
        <m:r>
          <m:rPr/>
          <w:rPr>
            <w:rFonts w:ascii="Cambria Math" w:hAnsi="Cambria Math"/>
          </w:rPr>
          <m:t>Slic</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prob</m:t>
            </m:r>
            <m:ctrlPr>
              <w:rPr>
                <w:rFonts w:ascii="Cambria Math" w:hAnsi="Cambria Math"/>
              </w:rPr>
            </m:ctrlPr>
          </m:sub>
        </m:sSub>
      </m:oMath>
      <w:r>
        <w:t xml:space="preserve"> and </w:t>
      </w:r>
      <m:oMath>
        <m:r>
          <m:rPr/>
          <w:rPr>
            <w:rFonts w:ascii="Cambria Math" w:hAnsi="Cambria Math"/>
          </w:rPr>
          <m:t>Slic</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pred</m:t>
            </m:r>
            <m:ctrlPr>
              <w:rPr>
                <w:rFonts w:ascii="Cambria Math" w:hAnsi="Cambria Math"/>
              </w:rPr>
            </m:ctrlPr>
          </m:sub>
        </m:sSub>
      </m:oMath>
      <w:r>
        <w:t>, which were recorded with two-decimal precision.</w:t>
      </w:r>
    </w:p>
    <w:p w14:paraId="25053111">
      <w:pPr>
        <w:numPr>
          <w:ilvl w:val="0"/>
          <w:numId w:val="1"/>
        </w:numPr>
      </w:pPr>
      <w:r>
        <w:rPr>
          <w:b/>
          <w:bCs/>
        </w:rPr>
        <w:t>Feature Aggregation:</w:t>
      </w:r>
    </w:p>
    <w:p w14:paraId="5338120C">
      <w:pPr>
        <w:numPr>
          <w:ilvl w:val="1"/>
          <w:numId w:val="3"/>
        </w:numPr>
      </w:pPr>
      <w:r>
        <w:rPr>
          <w:b/>
          <w:bCs/>
        </w:rPr>
        <w:t>Histogram-Based Aggregation:</w:t>
      </w:r>
    </w:p>
    <w:p w14:paraId="29192B08">
      <w:pPr>
        <w:numPr>
          <w:ilvl w:val="2"/>
          <w:numId w:val="3"/>
        </w:numPr>
      </w:pPr>
      <w:r>
        <w:t xml:space="preserve">Numerical outputs were binned to compute frequency distributions of </w:t>
      </w:r>
      <m:oMath>
        <m:r>
          <m:rPr/>
          <w:rPr>
            <w:rFonts w:ascii="Cambria Math" w:hAnsi="Cambria Math"/>
          </w:rPr>
          <m:t>Slic</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prob</m:t>
            </m:r>
            <m:ctrlPr>
              <w:rPr>
                <w:rFonts w:ascii="Cambria Math" w:hAnsi="Cambria Math"/>
              </w:rPr>
            </m:ctrlPr>
          </m:sub>
        </m:sSub>
      </m:oMath>
      <w:r>
        <w:t xml:space="preserve"> and </w:t>
      </w:r>
      <m:oMath>
        <m:r>
          <m:rPr/>
          <w:rPr>
            <w:rFonts w:ascii="Cambria Math" w:hAnsi="Cambria Math"/>
          </w:rPr>
          <m:t>Slic</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pred</m:t>
            </m:r>
            <m:ctrlPr>
              <w:rPr>
                <w:rFonts w:ascii="Cambria Math" w:hAnsi="Cambria Math"/>
              </w:rPr>
            </m:ctrlPr>
          </m:sub>
        </m:sSub>
      </m:oMath>
      <w:r>
        <w:t>.</w:t>
      </w:r>
    </w:p>
    <w:p w14:paraId="45948F1F">
      <w:pPr>
        <w:numPr>
          <w:ilvl w:val="2"/>
          <w:numId w:val="3"/>
        </w:numPr>
      </w:pPr>
      <w:r>
        <w:t xml:space="preserve">These frequencies were normalized via min–max scaling, resulting in histogram-based feature sets </w:t>
      </w:r>
      <m:oMath>
        <m:r>
          <m:rPr/>
          <w:rPr>
            <w:rFonts w:ascii="Cambria Math" w:hAnsi="Cambria Math"/>
          </w:rPr>
          <m:t>Hist</m:t>
        </m:r>
        <m:sSub>
          <m:sSubPr>
            <m:ctrlPr>
              <w:rPr>
                <w:rFonts w:ascii="Cambria Math" w:hAnsi="Cambria Math"/>
              </w:rPr>
            </m:ctrlPr>
          </m:sSubPr>
          <m:e>
            <m:r>
              <m:rPr/>
              <w:rPr>
                <w:rFonts w:ascii="Cambria Math" w:hAnsi="Cambria Math"/>
              </w:rPr>
              <m:t>o</m:t>
            </m:r>
            <m:ctrlPr>
              <w:rPr>
                <w:rFonts w:ascii="Cambria Math" w:hAnsi="Cambria Math"/>
              </w:rPr>
            </m:ctrlPr>
          </m:e>
          <m:sub>
            <m:r>
              <m:rPr/>
              <w:rPr>
                <w:rFonts w:ascii="Cambria Math" w:hAnsi="Cambria Math"/>
              </w:rPr>
              <m:t>prob</m:t>
            </m:r>
            <m:ctrlPr>
              <w:rPr>
                <w:rFonts w:ascii="Cambria Math" w:hAnsi="Cambria Math"/>
              </w:rPr>
            </m:ctrlPr>
          </m:sub>
        </m:sSub>
      </m:oMath>
      <w:r>
        <w:t xml:space="preserve"> and </w:t>
      </w:r>
      <m:oMath>
        <m:r>
          <m:rPr/>
          <w:rPr>
            <w:rFonts w:ascii="Cambria Math" w:hAnsi="Cambria Math"/>
          </w:rPr>
          <m:t>Hist</m:t>
        </m:r>
        <m:sSub>
          <m:sSubPr>
            <m:ctrlPr>
              <w:rPr>
                <w:rFonts w:ascii="Cambria Math" w:hAnsi="Cambria Math"/>
              </w:rPr>
            </m:ctrlPr>
          </m:sSubPr>
          <m:e>
            <m:r>
              <m:rPr/>
              <w:rPr>
                <w:rFonts w:ascii="Cambria Math" w:hAnsi="Cambria Math"/>
              </w:rPr>
              <m:t>o</m:t>
            </m:r>
            <m:ctrlPr>
              <w:rPr>
                <w:rFonts w:ascii="Cambria Math" w:hAnsi="Cambria Math"/>
              </w:rPr>
            </m:ctrlPr>
          </m:e>
          <m:sub>
            <m:r>
              <m:rPr/>
              <w:rPr>
                <w:rFonts w:ascii="Cambria Math" w:hAnsi="Cambria Math"/>
              </w:rPr>
              <m:t>pred</m:t>
            </m:r>
            <m:ctrlPr>
              <w:rPr>
                <w:rFonts w:ascii="Cambria Math" w:hAnsi="Cambria Math"/>
              </w:rPr>
            </m:ctrlPr>
          </m:sub>
        </m:sSub>
      </m:oMath>
      <w:r>
        <w:t>.</w:t>
      </w:r>
    </w:p>
    <w:p w14:paraId="6F438175">
      <w:pPr>
        <w:numPr>
          <w:ilvl w:val="1"/>
          <w:numId w:val="3"/>
        </w:numPr>
      </w:pPr>
      <w:r>
        <w:rPr>
          <w:b/>
          <w:bCs/>
        </w:rPr>
        <w:t xml:space="preserve">Bag-of-Words </w:t>
      </w:r>
      <m:oMath>
        <m:r>
          <m:rPr/>
          <w:rPr>
            <w:rFonts w:ascii="Cambria Math" w:hAnsi="Cambria Math"/>
          </w:rPr>
          <m:t>BoW</m:t>
        </m:r>
      </m:oMath>
      <w:r>
        <w:rPr>
          <w:b/>
          <w:bCs/>
        </w:rPr>
        <w:t xml:space="preserve"> Aggregation:</w:t>
      </w:r>
    </w:p>
    <w:p w14:paraId="0BCA669C">
      <w:pPr>
        <w:numPr>
          <w:ilvl w:val="2"/>
          <w:numId w:val="3"/>
        </w:numPr>
      </w:pPr>
      <w:r>
        <w:t xml:space="preserve">A feature dictionary was built from unique elements in </w:t>
      </w:r>
      <m:oMath>
        <m:r>
          <m:rPr/>
          <w:rPr>
            <w:rFonts w:ascii="Cambria Math" w:hAnsi="Cambria Math"/>
          </w:rPr>
          <m:t>Slic</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prob</m:t>
            </m:r>
            <m:ctrlPr>
              <w:rPr>
                <w:rFonts w:ascii="Cambria Math" w:hAnsi="Cambria Math"/>
              </w:rPr>
            </m:ctrlPr>
          </m:sub>
        </m:sSub>
      </m:oMath>
      <w:r>
        <w:t xml:space="preserve"> and </w:t>
      </w:r>
      <m:oMath>
        <m:r>
          <m:rPr/>
          <w:rPr>
            <w:rFonts w:ascii="Cambria Math" w:hAnsi="Cambria Math"/>
          </w:rPr>
          <m:t>Slic</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pred</m:t>
            </m:r>
            <m:ctrlPr>
              <w:rPr>
                <w:rFonts w:ascii="Cambria Math" w:hAnsi="Cambria Math"/>
              </w:rPr>
            </m:ctrlPr>
          </m:sub>
        </m:sSub>
      </m:oMath>
      <w:r>
        <w:t>.</w:t>
      </w:r>
    </w:p>
    <w:p w14:paraId="6ECF20F2">
      <w:pPr>
        <w:numPr>
          <w:ilvl w:val="2"/>
          <w:numId w:val="3"/>
        </w:numPr>
      </w:pPr>
      <w:r>
        <w:t>Each slice was represented as a frequency vector of dictionary terms, and TF-IDF weighting was applied to emphasize discriminative elements.</w:t>
      </w:r>
    </w:p>
    <w:p w14:paraId="1B2FDF8C">
      <w:pPr>
        <w:numPr>
          <w:ilvl w:val="2"/>
          <w:numId w:val="3"/>
        </w:numPr>
      </w:pPr>
      <w:r>
        <w:t xml:space="preserve">This yielded the BoW feature representations </w:t>
      </w:r>
      <m:oMath>
        <m:r>
          <m:rPr/>
          <w:rPr>
            <w:rFonts w:ascii="Cambria Math" w:hAnsi="Cambria Math"/>
          </w:rPr>
          <m:t>Bo</m:t>
        </m:r>
        <m:sSub>
          <m:sSubPr>
            <m:ctrlPr>
              <w:rPr>
                <w:rFonts w:ascii="Cambria Math" w:hAnsi="Cambria Math"/>
              </w:rPr>
            </m:ctrlPr>
          </m:sSubPr>
          <m:e>
            <m:r>
              <m:rPr/>
              <w:rPr>
                <w:rFonts w:ascii="Cambria Math" w:hAnsi="Cambria Math"/>
              </w:rPr>
              <m:t>w</m:t>
            </m:r>
            <m:ctrlPr>
              <w:rPr>
                <w:rFonts w:ascii="Cambria Math" w:hAnsi="Cambria Math"/>
              </w:rPr>
            </m:ctrlPr>
          </m:e>
          <m:sub>
            <m:r>
              <m:rPr/>
              <w:rPr>
                <w:rFonts w:ascii="Cambria Math" w:hAnsi="Cambria Math"/>
              </w:rPr>
              <m:t>prob</m:t>
            </m:r>
            <m:ctrlPr>
              <w:rPr>
                <w:rFonts w:ascii="Cambria Math" w:hAnsi="Cambria Math"/>
              </w:rPr>
            </m:ctrlPr>
          </m:sub>
        </m:sSub>
      </m:oMath>
      <w:r>
        <w:t xml:space="preserve"> and </w:t>
      </w:r>
      <m:oMath>
        <m:r>
          <m:rPr/>
          <w:rPr>
            <w:rFonts w:ascii="Cambria Math" w:hAnsi="Cambria Math"/>
          </w:rPr>
          <m:t>Bo</m:t>
        </m:r>
        <m:sSub>
          <m:sSubPr>
            <m:ctrlPr>
              <w:rPr>
                <w:rFonts w:ascii="Cambria Math" w:hAnsi="Cambria Math"/>
              </w:rPr>
            </m:ctrlPr>
          </m:sSubPr>
          <m:e>
            <m:r>
              <m:rPr/>
              <w:rPr>
                <w:rFonts w:ascii="Cambria Math" w:hAnsi="Cambria Math"/>
              </w:rPr>
              <m:t>w</m:t>
            </m:r>
            <m:ctrlPr>
              <w:rPr>
                <w:rFonts w:ascii="Cambria Math" w:hAnsi="Cambria Math"/>
              </w:rPr>
            </m:ctrlPr>
          </m:e>
          <m:sub>
            <m:r>
              <m:rPr/>
              <w:rPr>
                <w:rFonts w:ascii="Cambria Math" w:hAnsi="Cambria Math"/>
              </w:rPr>
              <m:t>pred</m:t>
            </m:r>
            <m:ctrlPr>
              <w:rPr>
                <w:rFonts w:ascii="Cambria Math" w:hAnsi="Cambria Math"/>
              </w:rPr>
            </m:ctrlPr>
          </m:sub>
        </m:sSub>
      </m:oMath>
      <w:r>
        <w:t>, encapsulating both occurrence and importance information.</w:t>
      </w:r>
    </w:p>
    <w:p w14:paraId="169FCC9D">
      <w:pPr>
        <w:numPr>
          <w:ilvl w:val="0"/>
          <w:numId w:val="1"/>
        </w:numPr>
      </w:pPr>
      <w:r>
        <w:rPr>
          <w:b/>
          <w:bCs/>
        </w:rPr>
        <w:t>Feature Fusion:</w:t>
      </w:r>
    </w:p>
    <w:p w14:paraId="0B7952D8">
      <w:pPr>
        <w:numPr>
          <w:ilvl w:val="0"/>
          <w:numId w:val="2"/>
        </w:numPr>
      </w:pPr>
      <w:r>
        <w:t>The final feature representation was obtained by concatenating all aggregated components to form a comprehensive patient-level feature vector:</w:t>
      </w:r>
    </w:p>
    <w:p w14:paraId="486BD799">
      <w:pPr>
        <w:pStyle w:val="26"/>
      </w:pPr>
      <m:oMathPara>
        <m:oMathParaPr>
          <m:jc m:val="center"/>
        </m:oMathParaPr>
        <m:oMath>
          <m:r>
            <m:rPr/>
            <w:rPr>
              <w:rFonts w:ascii="Cambria Math" w:hAnsi="Cambria Math"/>
            </w:rPr>
            <m:t>featur</m:t>
          </m:r>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fusion</m:t>
              </m:r>
              <m:ctrlPr>
                <w:rPr>
                  <w:rFonts w:ascii="Cambria Math" w:hAnsi="Cambria Math"/>
                </w:rPr>
              </m:ctrlPr>
            </m:sub>
          </m:sSub>
          <m:r>
            <m:rPr>
              <m:sty m:val="p"/>
            </m:rPr>
            <w:rPr>
              <w:rFonts w:ascii="Cambria Math" w:hAnsi="Cambria Math"/>
            </w:rPr>
            <m:t>=</m:t>
          </m:r>
          <m:r>
            <m:rPr/>
            <w:rPr>
              <w:rFonts w:ascii="Cambria Math" w:hAnsi="Cambria Math"/>
            </w:rPr>
            <m:t>Hist</m:t>
          </m:r>
          <m:sSub>
            <m:sSubPr>
              <m:ctrlPr>
                <w:rPr>
                  <w:rFonts w:ascii="Cambria Math" w:hAnsi="Cambria Math"/>
                </w:rPr>
              </m:ctrlPr>
            </m:sSubPr>
            <m:e>
              <m:r>
                <m:rPr/>
                <w:rPr>
                  <w:rFonts w:ascii="Cambria Math" w:hAnsi="Cambria Math"/>
                </w:rPr>
                <m:t>o</m:t>
              </m:r>
              <m:ctrlPr>
                <w:rPr>
                  <w:rFonts w:ascii="Cambria Math" w:hAnsi="Cambria Math"/>
                </w:rPr>
              </m:ctrlPr>
            </m:e>
            <m:sub>
              <m:r>
                <m:rPr/>
                <w:rPr>
                  <w:rFonts w:ascii="Cambria Math" w:hAnsi="Cambria Math"/>
                </w:rPr>
                <m:t>prob</m:t>
              </m:r>
              <m:ctrlPr>
                <w:rPr>
                  <w:rFonts w:ascii="Cambria Math" w:hAnsi="Cambria Math"/>
                </w:rPr>
              </m:ctrlPr>
            </m:sub>
          </m:sSub>
          <m:r>
            <m:rPr>
              <m:sty m:val="p"/>
            </m:rPr>
            <w:rPr>
              <w:rFonts w:ascii="Cambria Math" w:hAnsi="Cambria Math"/>
            </w:rPr>
            <m:t>⊕</m:t>
          </m:r>
          <m:r>
            <m:rPr/>
            <w:rPr>
              <w:rFonts w:ascii="Cambria Math" w:hAnsi="Cambria Math"/>
            </w:rPr>
            <m:t>Hist</m:t>
          </m:r>
          <m:sSub>
            <m:sSubPr>
              <m:ctrlPr>
                <w:rPr>
                  <w:rFonts w:ascii="Cambria Math" w:hAnsi="Cambria Math"/>
                </w:rPr>
              </m:ctrlPr>
            </m:sSubPr>
            <m:e>
              <m:r>
                <m:rPr/>
                <w:rPr>
                  <w:rFonts w:ascii="Cambria Math" w:hAnsi="Cambria Math"/>
                </w:rPr>
                <m:t>o</m:t>
              </m:r>
              <m:ctrlPr>
                <w:rPr>
                  <w:rFonts w:ascii="Cambria Math" w:hAnsi="Cambria Math"/>
                </w:rPr>
              </m:ctrlPr>
            </m:e>
            <m:sub>
              <m:r>
                <m:rPr/>
                <w:rPr>
                  <w:rFonts w:ascii="Cambria Math" w:hAnsi="Cambria Math"/>
                </w:rPr>
                <m:t>pred</m:t>
              </m:r>
              <m:ctrlPr>
                <w:rPr>
                  <w:rFonts w:ascii="Cambria Math" w:hAnsi="Cambria Math"/>
                </w:rPr>
              </m:ctrlPr>
            </m:sub>
          </m:sSub>
          <m:r>
            <m:rPr>
              <m:sty m:val="p"/>
            </m:rPr>
            <w:rPr>
              <w:rFonts w:ascii="Cambria Math" w:hAnsi="Cambria Math"/>
            </w:rPr>
            <m:t>⊕</m:t>
          </m:r>
          <m:r>
            <m:rPr/>
            <w:rPr>
              <w:rFonts w:ascii="Cambria Math" w:hAnsi="Cambria Math"/>
            </w:rPr>
            <m:t>Bo</m:t>
          </m:r>
          <m:sSub>
            <m:sSubPr>
              <m:ctrlPr>
                <w:rPr>
                  <w:rFonts w:ascii="Cambria Math" w:hAnsi="Cambria Math"/>
                </w:rPr>
              </m:ctrlPr>
            </m:sSubPr>
            <m:e>
              <m:r>
                <m:rPr/>
                <w:rPr>
                  <w:rFonts w:ascii="Cambria Math" w:hAnsi="Cambria Math"/>
                </w:rPr>
                <m:t>w</m:t>
              </m:r>
              <m:ctrlPr>
                <w:rPr>
                  <w:rFonts w:ascii="Cambria Math" w:hAnsi="Cambria Math"/>
                </w:rPr>
              </m:ctrlPr>
            </m:e>
            <m:sub>
              <m:r>
                <m:rPr/>
                <w:rPr>
                  <w:rFonts w:ascii="Cambria Math" w:hAnsi="Cambria Math"/>
                </w:rPr>
                <m:t>prob</m:t>
              </m:r>
              <m:ctrlPr>
                <w:rPr>
                  <w:rFonts w:ascii="Cambria Math" w:hAnsi="Cambria Math"/>
                </w:rPr>
              </m:ctrlPr>
            </m:sub>
          </m:sSub>
          <m:r>
            <m:rPr>
              <m:sty m:val="p"/>
            </m:rPr>
            <w:rPr>
              <w:rFonts w:ascii="Cambria Math" w:hAnsi="Cambria Math"/>
            </w:rPr>
            <m:t>⊕</m:t>
          </m:r>
          <m:r>
            <m:rPr/>
            <w:rPr>
              <w:rFonts w:ascii="Cambria Math" w:hAnsi="Cambria Math"/>
            </w:rPr>
            <m:t>Bo</m:t>
          </m:r>
          <m:sSub>
            <m:sSubPr>
              <m:ctrlPr>
                <w:rPr>
                  <w:rFonts w:ascii="Cambria Math" w:hAnsi="Cambria Math"/>
                </w:rPr>
              </m:ctrlPr>
            </m:sSubPr>
            <m:e>
              <m:r>
                <m:rPr/>
                <w:rPr>
                  <w:rFonts w:ascii="Cambria Math" w:hAnsi="Cambria Math"/>
                </w:rPr>
                <m:t>w</m:t>
              </m:r>
              <m:ctrlPr>
                <w:rPr>
                  <w:rFonts w:ascii="Cambria Math" w:hAnsi="Cambria Math"/>
                </w:rPr>
              </m:ctrlPr>
            </m:e>
            <m:sub>
              <m:r>
                <m:rPr/>
                <w:rPr>
                  <w:rFonts w:ascii="Cambria Math" w:hAnsi="Cambria Math"/>
                </w:rPr>
                <m:t>pred</m:t>
              </m:r>
              <m:ctrlPr>
                <w:rPr>
                  <w:rFonts w:ascii="Cambria Math" w:hAnsi="Cambria Math"/>
                </w:rPr>
              </m:ctrlPr>
            </m:sub>
          </m:sSub>
          <m:r>
            <m:rPr/>
            <w:rPr>
              <w:rFonts w:ascii="Cambria Math" w:hAnsi="Cambria Math"/>
            </w:rPr>
            <m:t>  </m:t>
          </m:r>
          <m:r>
            <m:rPr>
              <m:nor/>
              <m:sty m:val="p"/>
            </m:rPr>
            <m:t>(3)</m:t>
          </m:r>
        </m:oMath>
      </m:oMathPara>
    </w:p>
    <w:p w14:paraId="6C3AEC16">
      <w:pPr>
        <w:numPr>
          <w:ilvl w:val="0"/>
          <w:numId w:val="2"/>
        </w:numPr>
      </w:pPr>
      <w:r>
        <w:t xml:space="preserve"> This early fusion strategy combined complementary statistical and semantic features, enhancing the robustness and interpretability of the multi-instance learning model.</w:t>
      </w:r>
    </w:p>
    <w:bookmarkEnd w:id="0"/>
    <w:bookmarkEnd w:id="2"/>
    <w:p w14:paraId="5175D6F3">
      <w:pPr>
        <w:pStyle w:val="3"/>
      </w:pPr>
      <w:bookmarkStart w:id="3" w:name="_GoBack"/>
      <w:bookmarkEnd w:id="3"/>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0"/>
    <w:multiLevelType w:val="multilevel"/>
    <w:tmpl w:val="0000A990"/>
    <w:lvl w:ilvl="0" w:tentative="0">
      <w:start w:val="0"/>
      <w:numFmt w:val="bullet"/>
      <w:lvlText w:val=" "/>
      <w:lvlJc w:val="left"/>
      <w:pPr>
        <w:ind w:left="720" w:hanging="480"/>
      </w:pPr>
    </w:lvl>
    <w:lvl w:ilvl="1" w:tentative="0">
      <w:start w:val="0"/>
      <w:numFmt w:val="bullet"/>
      <w:lvlText w:val=" "/>
      <w:lvlJc w:val="left"/>
      <w:pPr>
        <w:ind w:left="1440" w:hanging="480"/>
      </w:pPr>
    </w:lvl>
    <w:lvl w:ilvl="2" w:tentative="0">
      <w:start w:val="0"/>
      <w:numFmt w:val="bullet"/>
      <w:lvlText w:val=" "/>
      <w:lvlJc w:val="left"/>
      <w:pPr>
        <w:ind w:left="2160" w:hanging="480"/>
      </w:pPr>
    </w:lvl>
    <w:lvl w:ilvl="3" w:tentative="0">
      <w:start w:val="0"/>
      <w:numFmt w:val="bullet"/>
      <w:lvlText w:val=" "/>
      <w:lvlJc w:val="left"/>
      <w:pPr>
        <w:ind w:left="2880" w:hanging="480"/>
      </w:pPr>
    </w:lvl>
    <w:lvl w:ilvl="4" w:tentative="0">
      <w:start w:val="0"/>
      <w:numFmt w:val="bullet"/>
      <w:lvlText w:val=" "/>
      <w:lvlJc w:val="left"/>
      <w:pPr>
        <w:ind w:left="3600" w:hanging="480"/>
      </w:pPr>
    </w:lvl>
    <w:lvl w:ilvl="5" w:tentative="0">
      <w:start w:val="0"/>
      <w:numFmt w:val="bullet"/>
      <w:lvlText w:val=" "/>
      <w:lvlJc w:val="left"/>
      <w:pPr>
        <w:ind w:left="4320" w:hanging="480"/>
      </w:pPr>
    </w:lvl>
    <w:lvl w:ilvl="6" w:tentative="0">
      <w:start w:val="0"/>
      <w:numFmt w:val="bullet"/>
      <w:lvlText w:val=" "/>
      <w:lvlJc w:val="left"/>
      <w:pPr>
        <w:ind w:left="5040" w:hanging="480"/>
      </w:pPr>
    </w:lvl>
    <w:lvl w:ilvl="7" w:tentative="0">
      <w:start w:val="0"/>
      <w:numFmt w:val="bullet"/>
      <w:lvlText w:val=" "/>
      <w:lvlJc w:val="left"/>
      <w:pPr>
        <w:ind w:left="5760" w:hanging="480"/>
      </w:pPr>
    </w:lvl>
    <w:lvl w:ilvl="8" w:tentative="0">
      <w:start w:val="0"/>
      <w:numFmt w:val="bullet"/>
      <w:lvlText w:val=" "/>
      <w:lvlJc w:val="left"/>
      <w:pPr>
        <w:ind w:left="6480" w:hanging="480"/>
      </w:pPr>
    </w:lvl>
  </w:abstractNum>
  <w:abstractNum w:abstractNumId="1">
    <w:nsid w:val="0000A991"/>
    <w:multiLevelType w:val="multilevel"/>
    <w:tmpl w:val="0000A991"/>
    <w:lvl w:ilvl="0" w:tentative="0">
      <w:start w:val="0"/>
      <w:numFmt w:val="bullet"/>
      <w:lvlText w:val="•"/>
      <w:lvlJc w:val="left"/>
      <w:pPr>
        <w:ind w:left="720" w:hanging="480"/>
      </w:pPr>
    </w:lvl>
    <w:lvl w:ilvl="1" w:tentative="0">
      <w:start w:val="0"/>
      <w:numFmt w:val="bullet"/>
      <w:lvlText w:val="–"/>
      <w:lvlJc w:val="left"/>
      <w:pPr>
        <w:ind w:left="1440" w:hanging="480"/>
      </w:pPr>
    </w:lvl>
    <w:lvl w:ilvl="2" w:tentative="0">
      <w:start w:val="0"/>
      <w:numFmt w:val="bullet"/>
      <w:lvlText w:val="•"/>
      <w:lvlJc w:val="left"/>
      <w:pPr>
        <w:ind w:left="2160" w:hanging="480"/>
      </w:pPr>
    </w:lvl>
    <w:lvl w:ilvl="3" w:tentative="0">
      <w:start w:val="0"/>
      <w:numFmt w:val="bullet"/>
      <w:lvlText w:val="–"/>
      <w:lvlJc w:val="left"/>
      <w:pPr>
        <w:ind w:left="2880" w:hanging="480"/>
      </w:pPr>
    </w:lvl>
    <w:lvl w:ilvl="4" w:tentative="0">
      <w:start w:val="0"/>
      <w:numFmt w:val="bullet"/>
      <w:lvlText w:val="•"/>
      <w:lvlJc w:val="left"/>
      <w:pPr>
        <w:ind w:left="3600" w:hanging="480"/>
      </w:pPr>
    </w:lvl>
    <w:lvl w:ilvl="5" w:tentative="0">
      <w:start w:val="0"/>
      <w:numFmt w:val="bullet"/>
      <w:lvlText w:val="–"/>
      <w:lvlJc w:val="left"/>
      <w:pPr>
        <w:ind w:left="4320" w:hanging="480"/>
      </w:pPr>
    </w:lvl>
    <w:lvl w:ilvl="6" w:tentative="0">
      <w:start w:val="0"/>
      <w:numFmt w:val="bullet"/>
      <w:lvlText w:val="•"/>
      <w:lvlJc w:val="left"/>
      <w:pPr>
        <w:ind w:left="5040" w:hanging="480"/>
      </w:pPr>
    </w:lvl>
    <w:lvl w:ilvl="7" w:tentative="0">
      <w:start w:val="0"/>
      <w:numFmt w:val="bullet"/>
      <w:lvlText w:val="–"/>
      <w:lvlJc w:val="left"/>
      <w:pPr>
        <w:ind w:left="5760" w:hanging="480"/>
      </w:pPr>
    </w:lvl>
    <w:lvl w:ilvl="8" w:tentative="0">
      <w:start w:val="0"/>
      <w:numFmt w:val="bullet"/>
      <w:lvlText w:val="•"/>
      <w:lvlJc w:val="left"/>
      <w:pPr>
        <w:ind w:left="6480" w:hanging="480"/>
      </w:pPr>
    </w:lvl>
  </w:abstractNum>
  <w:abstractNum w:abstractNumId="2">
    <w:nsid w:val="00A99411"/>
    <w:multiLevelType w:val="multilevel"/>
    <w:tmpl w:val="00A99411"/>
    <w:lvl w:ilvl="0" w:tentative="0">
      <w:start w:val="1"/>
      <w:numFmt w:val="decimal"/>
      <w:lvlText w:val="%1."/>
      <w:lvlJc w:val="left"/>
      <w:pPr>
        <w:ind w:left="720" w:hanging="480"/>
      </w:pPr>
    </w:lvl>
    <w:lvl w:ilvl="1" w:tentative="0">
      <w:start w:val="1"/>
      <w:numFmt w:val="decimal"/>
      <w:lvlText w:val="%2."/>
      <w:lvlJc w:val="left"/>
      <w:pPr>
        <w:ind w:left="1440" w:hanging="480"/>
      </w:pPr>
    </w:lvl>
    <w:lvl w:ilvl="2" w:tentative="0">
      <w:start w:val="1"/>
      <w:numFmt w:val="decimal"/>
      <w:lvlText w:val="%3."/>
      <w:lvlJc w:val="left"/>
      <w:pPr>
        <w:ind w:left="2160" w:hanging="480"/>
      </w:pPr>
    </w:lvl>
    <w:lvl w:ilvl="3" w:tentative="0">
      <w:start w:val="1"/>
      <w:numFmt w:val="decimal"/>
      <w:lvlText w:val="%4."/>
      <w:lvlJc w:val="left"/>
      <w:pPr>
        <w:ind w:left="2880" w:hanging="480"/>
      </w:pPr>
    </w:lvl>
    <w:lvl w:ilvl="4" w:tentative="0">
      <w:start w:val="1"/>
      <w:numFmt w:val="decimal"/>
      <w:lvlText w:val="%5."/>
      <w:lvlJc w:val="left"/>
      <w:pPr>
        <w:ind w:left="3600" w:hanging="480"/>
      </w:pPr>
    </w:lvl>
    <w:lvl w:ilvl="5" w:tentative="0">
      <w:start w:val="1"/>
      <w:numFmt w:val="decimal"/>
      <w:lvlText w:val="%6."/>
      <w:lvlJc w:val="left"/>
      <w:pPr>
        <w:ind w:left="4320" w:hanging="480"/>
      </w:pPr>
    </w:lvl>
    <w:lvl w:ilvl="6" w:tentative="0">
      <w:start w:val="1"/>
      <w:numFmt w:val="decimal"/>
      <w:lvlText w:val="%7."/>
      <w:lvlJc w:val="left"/>
      <w:pPr>
        <w:ind w:left="5040" w:hanging="480"/>
      </w:pPr>
    </w:lvl>
    <w:lvl w:ilvl="7" w:tentative="0">
      <w:start w:val="1"/>
      <w:numFmt w:val="decimal"/>
      <w:lvlText w:val="%8."/>
      <w:lvlJc w:val="left"/>
      <w:pPr>
        <w:ind w:left="5760" w:hanging="480"/>
      </w:pPr>
    </w:lvl>
    <w:lvl w:ilvl="8" w:tentative="0">
      <w:start w:val="1"/>
      <w:numFmt w:val="decimal"/>
      <w:lvlText w:val="%9."/>
      <w:lvlJc w:val="left"/>
      <w:pPr>
        <w:ind w:left="6480" w:hanging="4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53F"/>
    <w:rsid w:val="00001F0D"/>
    <w:rsid w:val="00034634"/>
    <w:rsid w:val="002E3FDA"/>
    <w:rsid w:val="004C69DD"/>
    <w:rsid w:val="004D2F6F"/>
    <w:rsid w:val="00733CD4"/>
    <w:rsid w:val="0079676A"/>
    <w:rsid w:val="009D5CBC"/>
    <w:rsid w:val="009F20D7"/>
    <w:rsid w:val="00BB538F"/>
    <w:rsid w:val="00D35289"/>
    <w:rsid w:val="00D54985"/>
    <w:rsid w:val="00EA653F"/>
    <w:rsid w:val="468F23A6"/>
  </w:rsids>
  <m:mathPr>
    <m:mathFont m:val="Cambria Math"/>
    <m:brkBin m:val="before"/>
    <m:brkBinSub m:val="--"/>
    <m:smallFrac m:val="0"/>
    <m:dispDef/>
    <m:lMargin m:val="0"/>
    <m:rMargin m:val="0"/>
    <m:defJc m:val="centerGroup"/>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4"/>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28"/>
      <w:szCs w:val="28"/>
      <w14:textFill>
        <w14:solidFill>
          <w14:schemeClr w14:val="accent1"/>
        </w14:solidFill>
      </w14:textFill>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color w:val="4F81BD" w:themeColor="accent1"/>
      <w14:textFill>
        <w14:solidFill>
          <w14:schemeClr w14:val="accent1"/>
        </w14:solidFill>
      </w14:textFill>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color w:val="4F81BD" w:themeColor="accent1"/>
      <w14:textFill>
        <w14:solidFill>
          <w14:schemeClr w14:val="accent1"/>
        </w14:solidFill>
      </w14:textFill>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14:textFill>
        <w14:solidFill>
          <w14:schemeClr w14:val="accent1"/>
        </w14:solidFill>
      </w14:textFill>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14:textFill>
        <w14:solidFill>
          <w14:schemeClr w14:val="accent1"/>
        </w14:solidFill>
      </w14:textFill>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14:textFill>
        <w14:solidFill>
          <w14:schemeClr w14:val="accent1"/>
        </w14:solidFill>
      </w14:textFill>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14:textFill>
        <w14:solidFill>
          <w14:schemeClr w14:val="accent1"/>
        </w14:solidFill>
      </w14:textFill>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styleId="12">
    <w:name w:val="caption"/>
    <w:basedOn w:val="1"/>
    <w:link w:val="23"/>
    <w:qFormat/>
    <w:uiPriority w:val="0"/>
    <w:pPr>
      <w:spacing w:after="120"/>
    </w:pPr>
    <w:rPr>
      <w:i/>
    </w:rPr>
  </w:style>
  <w:style w:type="paragraph" w:styleId="13">
    <w:name w:val="Block Text"/>
    <w:basedOn w:val="3"/>
    <w:next w:val="3"/>
    <w:unhideWhenUsed/>
    <w:qFormat/>
    <w:uiPriority w:val="9"/>
    <w:pPr>
      <w:spacing w:before="100" w:after="100"/>
      <w:ind w:left="480" w:right="480"/>
    </w:pPr>
  </w:style>
  <w:style w:type="paragraph" w:styleId="14">
    <w:name w:val="Date"/>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styleId="15">
    <w:name w:val="footer"/>
    <w:basedOn w:val="1"/>
    <w:link w:val="74"/>
    <w:qFormat/>
    <w:uiPriority w:val="0"/>
    <w:pPr>
      <w:tabs>
        <w:tab w:val="center" w:pos="4153"/>
        <w:tab w:val="right" w:pos="8306"/>
      </w:tabs>
      <w:snapToGrid w:val="0"/>
    </w:pPr>
    <w:rPr>
      <w:sz w:val="18"/>
      <w:szCs w:val="18"/>
    </w:rPr>
  </w:style>
  <w:style w:type="paragraph" w:styleId="16">
    <w:name w:val="header"/>
    <w:basedOn w:val="1"/>
    <w:link w:val="73"/>
    <w:qFormat/>
    <w:uiPriority w:val="0"/>
    <w:pPr>
      <w:tabs>
        <w:tab w:val="center" w:pos="4153"/>
        <w:tab w:val="right" w:pos="8306"/>
      </w:tabs>
      <w:snapToGrid w:val="0"/>
      <w:jc w:val="center"/>
    </w:pPr>
    <w:rPr>
      <w:sz w:val="18"/>
      <w:szCs w:val="18"/>
    </w:rPr>
  </w:style>
  <w:style w:type="paragraph" w:styleId="17">
    <w:name w:val="Subtitle"/>
    <w:basedOn w:val="18"/>
    <w:next w:val="3"/>
    <w:qFormat/>
    <w:uiPriority w:val="0"/>
    <w:pPr>
      <w:spacing w:before="240"/>
    </w:pPr>
    <w:rPr>
      <w:sz w:val="30"/>
      <w:szCs w:val="30"/>
    </w:rPr>
  </w:style>
  <w:style w:type="paragraph" w:styleId="18">
    <w:name w:val="Title"/>
    <w:basedOn w:val="1"/>
    <w:next w:val="3"/>
    <w:qFormat/>
    <w:uiPriority w:val="0"/>
    <w:pPr>
      <w:keepNext/>
      <w:keepLines/>
      <w:spacing w:before="480" w:after="240"/>
      <w:jc w:val="center"/>
    </w:pPr>
    <w:rPr>
      <w:rFonts w:asciiTheme="majorHAnsi" w:hAnsiTheme="majorHAnsi" w:eastAsiaTheme="majorEastAsia" w:cstheme="majorBidi"/>
      <w:b/>
      <w:bCs/>
      <w:color w:val="345B8A" w:themeColor="accent1" w:themeShade="B5"/>
      <w:sz w:val="36"/>
      <w:szCs w:val="36"/>
    </w:rPr>
  </w:style>
  <w:style w:type="paragraph" w:styleId="19">
    <w:name w:val="footnote text"/>
    <w:basedOn w:val="1"/>
    <w:unhideWhenUsed/>
    <w:qFormat/>
    <w:uiPriority w:val="9"/>
  </w:style>
  <w:style w:type="character" w:styleId="22">
    <w:name w:val="Hyperlink"/>
    <w:basedOn w:val="23"/>
    <w:qFormat/>
    <w:uiPriority w:val="0"/>
    <w:rPr>
      <w:color w:val="4F81BD" w:themeColor="accent1"/>
      <w14:textFill>
        <w14:solidFill>
          <w14:schemeClr w14:val="accent1"/>
        </w14:solidFill>
      </w14:textFill>
    </w:rPr>
  </w:style>
  <w:style w:type="character" w:customStyle="1" w:styleId="23">
    <w:name w:val="题注 字符"/>
    <w:basedOn w:val="21"/>
    <w:link w:val="12"/>
    <w:qFormat/>
    <w:uiPriority w:val="0"/>
  </w:style>
  <w:style w:type="character" w:styleId="24">
    <w:name w:val="footnote reference"/>
    <w:basedOn w:val="23"/>
    <w:qFormat/>
    <w:uiPriority w:val="0"/>
    <w:rPr>
      <w:vertAlign w:val="superscript"/>
    </w:rPr>
  </w:style>
  <w:style w:type="paragraph" w:customStyle="1" w:styleId="25">
    <w:name w:val="First Paragraph"/>
    <w:basedOn w:val="3"/>
    <w:next w:val="3"/>
    <w:qFormat/>
    <w:uiPriority w:val="0"/>
  </w:style>
  <w:style w:type="paragraph" w:customStyle="1" w:styleId="26">
    <w:name w:val="Compact"/>
    <w:basedOn w:val="3"/>
    <w:qFormat/>
    <w:uiPriority w:val="0"/>
    <w:pPr>
      <w:spacing w:before="36" w:after="36"/>
    </w:pPr>
  </w:style>
  <w:style w:type="paragraph" w:customStyle="1" w:styleId="27">
    <w:name w:val="Author"/>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customStyle="1" w:styleId="28">
    <w:name w:val="Abstract Title"/>
    <w:basedOn w:val="1"/>
    <w:next w:val="29"/>
    <w:qFormat/>
    <w:uiPriority w:val="0"/>
    <w:pPr>
      <w:keepNext/>
      <w:keepLines/>
      <w:spacing w:before="300" w:after="0"/>
      <w:jc w:val="center"/>
    </w:pPr>
    <w:rPr>
      <w:b/>
      <w:color w:val="345A8A"/>
      <w:sz w:val="20"/>
      <w:szCs w:val="20"/>
    </w:rPr>
  </w:style>
  <w:style w:type="paragraph" w:customStyle="1" w:styleId="29">
    <w:name w:val="Abstract"/>
    <w:basedOn w:val="1"/>
    <w:next w:val="3"/>
    <w:qFormat/>
    <w:uiPriority w:val="0"/>
    <w:pPr>
      <w:keepNext/>
      <w:keepLines/>
      <w:spacing w:before="100" w:after="300"/>
    </w:pPr>
    <w:rPr>
      <w:sz w:val="20"/>
      <w:szCs w:val="20"/>
    </w:rPr>
  </w:style>
  <w:style w:type="paragraph" w:customStyle="1" w:styleId="30">
    <w:name w:val="Bibliography"/>
    <w:basedOn w:val="1"/>
    <w:qFormat/>
    <w:uiPriority w:val="0"/>
  </w:style>
  <w:style w:type="table" w:customStyle="1" w:styleId="31">
    <w:name w:val="Table"/>
    <w:semiHidden/>
    <w:unhideWhenUsed/>
    <w:qFormat/>
    <w:uiPriority w:val="0"/>
    <w:tblPr>
      <w:tblCellMar>
        <w:top w:w="0" w:type="dxa"/>
        <w:left w:w="108" w:type="dxa"/>
        <w:bottom w:w="0" w:type="dxa"/>
        <w:right w:w="108" w:type="dxa"/>
      </w:tblCellMar>
    </w:tblPr>
    <w:tblStylePr w:type="firstRow">
      <w:tblPr/>
      <w:tcPr>
        <w:tcBorders>
          <w:bottom w:val="single" w:color="auto" w:sz="0" w:space="0"/>
        </w:tcBorders>
        <w:vAlign w:val="bottom"/>
      </w:tcPr>
    </w:tblStylePr>
  </w:style>
  <w:style w:type="paragraph" w:customStyle="1" w:styleId="32">
    <w:name w:val="Definition Term"/>
    <w:basedOn w:val="1"/>
    <w:next w:val="33"/>
    <w:qFormat/>
    <w:uiPriority w:val="0"/>
    <w:pPr>
      <w:keepNext/>
      <w:keepLines/>
      <w:spacing w:after="0"/>
    </w:pPr>
    <w:rPr>
      <w:b/>
    </w:rPr>
  </w:style>
  <w:style w:type="paragraph" w:customStyle="1" w:styleId="33">
    <w:name w:val="Definition"/>
    <w:basedOn w:val="1"/>
    <w:qFormat/>
    <w:uiPriority w:val="0"/>
  </w:style>
  <w:style w:type="paragraph" w:customStyle="1" w:styleId="34">
    <w:name w:val="Table Caption"/>
    <w:basedOn w:val="12"/>
    <w:qFormat/>
    <w:uiPriority w:val="0"/>
    <w:pPr>
      <w:keepNext/>
    </w:pPr>
  </w:style>
  <w:style w:type="paragraph" w:customStyle="1" w:styleId="35">
    <w:name w:val="Image Caption"/>
    <w:basedOn w:val="12"/>
    <w:qFormat/>
    <w:uiPriority w:val="0"/>
  </w:style>
  <w:style w:type="paragraph" w:customStyle="1" w:styleId="36">
    <w:name w:val="Figure"/>
    <w:basedOn w:val="1"/>
    <w:qFormat/>
    <w:uiPriority w:val="0"/>
  </w:style>
  <w:style w:type="paragraph" w:customStyle="1" w:styleId="37">
    <w:name w:val="Captioned Figure"/>
    <w:basedOn w:val="36"/>
    <w:qFormat/>
    <w:uiPriority w:val="0"/>
    <w:pPr>
      <w:keepNext/>
    </w:pPr>
  </w:style>
  <w:style w:type="character" w:customStyle="1" w:styleId="38">
    <w:name w:val="Verbatim Char"/>
    <w:basedOn w:val="23"/>
    <w:link w:val="39"/>
    <w:qFormat/>
    <w:uiPriority w:val="0"/>
    <w:rPr>
      <w:rFonts w:ascii="Consolas" w:hAnsi="Consolas"/>
      <w:sz w:val="22"/>
    </w:rPr>
  </w:style>
  <w:style w:type="paragraph" w:customStyle="1" w:styleId="39">
    <w:name w:val="Source Code"/>
    <w:basedOn w:val="1"/>
    <w:link w:val="38"/>
    <w:qFormat/>
    <w:uiPriority w:val="0"/>
    <w:pPr>
      <w:wordWrap w:val="0"/>
    </w:pPr>
  </w:style>
  <w:style w:type="character" w:customStyle="1" w:styleId="40">
    <w:name w:val="Section Number"/>
    <w:basedOn w:val="23"/>
    <w:qFormat/>
    <w:uiPriority w:val="0"/>
  </w:style>
  <w:style w:type="paragraph" w:customStyle="1" w:styleId="41">
    <w:name w:val="TOC Heading"/>
    <w:basedOn w:val="2"/>
    <w:next w:val="3"/>
    <w:unhideWhenUsed/>
    <w:qFormat/>
    <w:uiPriority w:val="39"/>
    <w:pPr>
      <w:spacing w:before="240" w:line="259" w:lineRule="auto"/>
      <w:outlineLvl w:val="9"/>
    </w:pPr>
    <w:rPr>
      <w:b w:val="0"/>
      <w:bCs w:val="0"/>
      <w:color w:val="376092" w:themeColor="accent1" w:themeShade="BF"/>
    </w:rPr>
  </w:style>
  <w:style w:type="character" w:customStyle="1" w:styleId="42">
    <w:name w:val="KeywordTok"/>
    <w:basedOn w:val="38"/>
    <w:qFormat/>
    <w:uiPriority w:val="0"/>
    <w:rPr>
      <w:rFonts w:ascii="Consolas" w:hAnsi="Consolas"/>
      <w:b/>
      <w:color w:val="007020"/>
      <w:sz w:val="22"/>
    </w:rPr>
  </w:style>
  <w:style w:type="character" w:customStyle="1" w:styleId="43">
    <w:name w:val="DataTypeTok"/>
    <w:basedOn w:val="38"/>
    <w:qFormat/>
    <w:uiPriority w:val="0"/>
    <w:rPr>
      <w:rFonts w:ascii="Consolas" w:hAnsi="Consolas"/>
      <w:color w:val="902000"/>
      <w:sz w:val="22"/>
    </w:rPr>
  </w:style>
  <w:style w:type="character" w:customStyle="1" w:styleId="44">
    <w:name w:val="DecValTok"/>
    <w:basedOn w:val="38"/>
    <w:qFormat/>
    <w:uiPriority w:val="0"/>
    <w:rPr>
      <w:rFonts w:ascii="Consolas" w:hAnsi="Consolas"/>
      <w:color w:val="40A070"/>
      <w:sz w:val="22"/>
    </w:rPr>
  </w:style>
  <w:style w:type="character" w:customStyle="1" w:styleId="45">
    <w:name w:val="BaseNTok"/>
    <w:basedOn w:val="38"/>
    <w:qFormat/>
    <w:uiPriority w:val="0"/>
    <w:rPr>
      <w:rFonts w:ascii="Consolas" w:hAnsi="Consolas"/>
      <w:color w:val="40A070"/>
      <w:sz w:val="22"/>
    </w:rPr>
  </w:style>
  <w:style w:type="character" w:customStyle="1" w:styleId="46">
    <w:name w:val="FloatTok"/>
    <w:basedOn w:val="38"/>
    <w:qFormat/>
    <w:uiPriority w:val="0"/>
    <w:rPr>
      <w:rFonts w:ascii="Consolas" w:hAnsi="Consolas"/>
      <w:color w:val="40A070"/>
      <w:sz w:val="22"/>
    </w:rPr>
  </w:style>
  <w:style w:type="character" w:customStyle="1" w:styleId="47">
    <w:name w:val="ConstantTok"/>
    <w:basedOn w:val="38"/>
    <w:qFormat/>
    <w:uiPriority w:val="0"/>
    <w:rPr>
      <w:rFonts w:ascii="Consolas" w:hAnsi="Consolas"/>
      <w:color w:val="880000"/>
      <w:sz w:val="22"/>
    </w:rPr>
  </w:style>
  <w:style w:type="character" w:customStyle="1" w:styleId="48">
    <w:name w:val="CharTok"/>
    <w:basedOn w:val="38"/>
    <w:qFormat/>
    <w:uiPriority w:val="0"/>
    <w:rPr>
      <w:rFonts w:ascii="Consolas" w:hAnsi="Consolas"/>
      <w:color w:val="4070A0"/>
      <w:sz w:val="22"/>
    </w:rPr>
  </w:style>
  <w:style w:type="character" w:customStyle="1" w:styleId="49">
    <w:name w:val="SpecialCharTok"/>
    <w:basedOn w:val="38"/>
    <w:qFormat/>
    <w:uiPriority w:val="0"/>
    <w:rPr>
      <w:rFonts w:ascii="Consolas" w:hAnsi="Consolas"/>
      <w:color w:val="4070A0"/>
      <w:sz w:val="22"/>
    </w:rPr>
  </w:style>
  <w:style w:type="character" w:customStyle="1" w:styleId="50">
    <w:name w:val="StringTok"/>
    <w:basedOn w:val="38"/>
    <w:qFormat/>
    <w:uiPriority w:val="0"/>
    <w:rPr>
      <w:rFonts w:ascii="Consolas" w:hAnsi="Consolas"/>
      <w:color w:val="4070A0"/>
      <w:sz w:val="22"/>
    </w:rPr>
  </w:style>
  <w:style w:type="character" w:customStyle="1" w:styleId="51">
    <w:name w:val="VerbatimStringTok"/>
    <w:basedOn w:val="38"/>
    <w:qFormat/>
    <w:uiPriority w:val="0"/>
    <w:rPr>
      <w:rFonts w:ascii="Consolas" w:hAnsi="Consolas"/>
      <w:color w:val="4070A0"/>
      <w:sz w:val="22"/>
    </w:rPr>
  </w:style>
  <w:style w:type="character" w:customStyle="1" w:styleId="52">
    <w:name w:val="SpecialStringTok"/>
    <w:basedOn w:val="38"/>
    <w:qFormat/>
    <w:uiPriority w:val="0"/>
    <w:rPr>
      <w:rFonts w:ascii="Consolas" w:hAnsi="Consolas"/>
      <w:color w:val="BB6688"/>
      <w:sz w:val="22"/>
    </w:rPr>
  </w:style>
  <w:style w:type="character" w:customStyle="1" w:styleId="53">
    <w:name w:val="ImportTok"/>
    <w:basedOn w:val="38"/>
    <w:qFormat/>
    <w:uiPriority w:val="0"/>
    <w:rPr>
      <w:rFonts w:ascii="Consolas" w:hAnsi="Consolas"/>
      <w:b/>
      <w:color w:val="008000"/>
      <w:sz w:val="22"/>
    </w:rPr>
  </w:style>
  <w:style w:type="character" w:customStyle="1" w:styleId="54">
    <w:name w:val="CommentTok"/>
    <w:basedOn w:val="38"/>
    <w:qFormat/>
    <w:uiPriority w:val="0"/>
    <w:rPr>
      <w:rFonts w:ascii="Consolas" w:hAnsi="Consolas"/>
      <w:i/>
      <w:color w:val="60A0B0"/>
      <w:sz w:val="22"/>
    </w:rPr>
  </w:style>
  <w:style w:type="character" w:customStyle="1" w:styleId="55">
    <w:name w:val="DocumentationTok"/>
    <w:basedOn w:val="38"/>
    <w:qFormat/>
    <w:uiPriority w:val="0"/>
    <w:rPr>
      <w:rFonts w:ascii="Consolas" w:hAnsi="Consolas"/>
      <w:i/>
      <w:color w:val="BA2121"/>
      <w:sz w:val="22"/>
    </w:rPr>
  </w:style>
  <w:style w:type="character" w:customStyle="1" w:styleId="56">
    <w:name w:val="AnnotationTok"/>
    <w:basedOn w:val="38"/>
    <w:qFormat/>
    <w:uiPriority w:val="0"/>
    <w:rPr>
      <w:rFonts w:ascii="Consolas" w:hAnsi="Consolas"/>
      <w:b/>
      <w:i/>
      <w:color w:val="60A0B0"/>
      <w:sz w:val="22"/>
    </w:rPr>
  </w:style>
  <w:style w:type="character" w:customStyle="1" w:styleId="57">
    <w:name w:val="CommentVarTok"/>
    <w:basedOn w:val="38"/>
    <w:qFormat/>
    <w:uiPriority w:val="0"/>
    <w:rPr>
      <w:rFonts w:ascii="Consolas" w:hAnsi="Consolas"/>
      <w:b/>
      <w:i/>
      <w:color w:val="60A0B0"/>
      <w:sz w:val="22"/>
    </w:rPr>
  </w:style>
  <w:style w:type="character" w:customStyle="1" w:styleId="58">
    <w:name w:val="OtherTok"/>
    <w:basedOn w:val="38"/>
    <w:qFormat/>
    <w:uiPriority w:val="0"/>
    <w:rPr>
      <w:rFonts w:ascii="Consolas" w:hAnsi="Consolas"/>
      <w:color w:val="007020"/>
      <w:sz w:val="22"/>
    </w:rPr>
  </w:style>
  <w:style w:type="character" w:customStyle="1" w:styleId="59">
    <w:name w:val="FunctionTok"/>
    <w:basedOn w:val="38"/>
    <w:qFormat/>
    <w:uiPriority w:val="0"/>
    <w:rPr>
      <w:rFonts w:ascii="Consolas" w:hAnsi="Consolas"/>
      <w:color w:val="06287E"/>
      <w:sz w:val="22"/>
    </w:rPr>
  </w:style>
  <w:style w:type="character" w:customStyle="1" w:styleId="60">
    <w:name w:val="VariableTok"/>
    <w:basedOn w:val="38"/>
    <w:qFormat/>
    <w:uiPriority w:val="0"/>
    <w:rPr>
      <w:rFonts w:ascii="Consolas" w:hAnsi="Consolas"/>
      <w:color w:val="19177C"/>
      <w:sz w:val="22"/>
    </w:rPr>
  </w:style>
  <w:style w:type="character" w:customStyle="1" w:styleId="61">
    <w:name w:val="ControlFlowTok"/>
    <w:basedOn w:val="38"/>
    <w:qFormat/>
    <w:uiPriority w:val="0"/>
    <w:rPr>
      <w:rFonts w:ascii="Consolas" w:hAnsi="Consolas"/>
      <w:b/>
      <w:color w:val="007020"/>
      <w:sz w:val="22"/>
    </w:rPr>
  </w:style>
  <w:style w:type="character" w:customStyle="1" w:styleId="62">
    <w:name w:val="OperatorTok"/>
    <w:basedOn w:val="38"/>
    <w:qFormat/>
    <w:uiPriority w:val="0"/>
    <w:rPr>
      <w:rFonts w:ascii="Consolas" w:hAnsi="Consolas"/>
      <w:color w:val="666666"/>
      <w:sz w:val="22"/>
    </w:rPr>
  </w:style>
  <w:style w:type="character" w:customStyle="1" w:styleId="63">
    <w:name w:val="BuiltInTok"/>
    <w:basedOn w:val="38"/>
    <w:qFormat/>
    <w:uiPriority w:val="0"/>
    <w:rPr>
      <w:rFonts w:ascii="Consolas" w:hAnsi="Consolas"/>
      <w:color w:val="008000"/>
      <w:sz w:val="22"/>
    </w:rPr>
  </w:style>
  <w:style w:type="character" w:customStyle="1" w:styleId="64">
    <w:name w:val="ExtensionTok"/>
    <w:basedOn w:val="38"/>
    <w:qFormat/>
    <w:uiPriority w:val="0"/>
    <w:rPr>
      <w:rFonts w:ascii="Consolas" w:hAnsi="Consolas"/>
      <w:sz w:val="22"/>
    </w:rPr>
  </w:style>
  <w:style w:type="character" w:customStyle="1" w:styleId="65">
    <w:name w:val="PreprocessorTok"/>
    <w:basedOn w:val="38"/>
    <w:qFormat/>
    <w:uiPriority w:val="0"/>
    <w:rPr>
      <w:rFonts w:ascii="Consolas" w:hAnsi="Consolas"/>
      <w:color w:val="BC7A00"/>
      <w:sz w:val="22"/>
    </w:rPr>
  </w:style>
  <w:style w:type="character" w:customStyle="1" w:styleId="66">
    <w:name w:val="AttributeTok"/>
    <w:basedOn w:val="38"/>
    <w:qFormat/>
    <w:uiPriority w:val="0"/>
    <w:rPr>
      <w:rFonts w:ascii="Consolas" w:hAnsi="Consolas"/>
      <w:color w:val="7D9029"/>
      <w:sz w:val="22"/>
    </w:rPr>
  </w:style>
  <w:style w:type="character" w:customStyle="1" w:styleId="67">
    <w:name w:val="RegionMarkerTok"/>
    <w:basedOn w:val="38"/>
    <w:qFormat/>
    <w:uiPriority w:val="0"/>
    <w:rPr>
      <w:rFonts w:ascii="Consolas" w:hAnsi="Consolas"/>
      <w:sz w:val="22"/>
    </w:rPr>
  </w:style>
  <w:style w:type="character" w:customStyle="1" w:styleId="68">
    <w:name w:val="InformationTok"/>
    <w:basedOn w:val="38"/>
    <w:qFormat/>
    <w:uiPriority w:val="0"/>
    <w:rPr>
      <w:rFonts w:ascii="Consolas" w:hAnsi="Consolas"/>
      <w:b/>
      <w:i/>
      <w:color w:val="60A0B0"/>
      <w:sz w:val="22"/>
    </w:rPr>
  </w:style>
  <w:style w:type="character" w:customStyle="1" w:styleId="69">
    <w:name w:val="WarningTok"/>
    <w:basedOn w:val="38"/>
    <w:qFormat/>
    <w:uiPriority w:val="0"/>
    <w:rPr>
      <w:rFonts w:ascii="Consolas" w:hAnsi="Consolas"/>
      <w:b/>
      <w:i/>
      <w:color w:val="60A0B0"/>
      <w:sz w:val="22"/>
    </w:rPr>
  </w:style>
  <w:style w:type="character" w:customStyle="1" w:styleId="70">
    <w:name w:val="AlertTok"/>
    <w:basedOn w:val="38"/>
    <w:qFormat/>
    <w:uiPriority w:val="0"/>
    <w:rPr>
      <w:rFonts w:ascii="Consolas" w:hAnsi="Consolas"/>
      <w:b/>
      <w:color w:val="FF0000"/>
      <w:sz w:val="22"/>
    </w:rPr>
  </w:style>
  <w:style w:type="character" w:customStyle="1" w:styleId="71">
    <w:name w:val="ErrorTok"/>
    <w:basedOn w:val="38"/>
    <w:qFormat/>
    <w:uiPriority w:val="0"/>
    <w:rPr>
      <w:rFonts w:ascii="Consolas" w:hAnsi="Consolas"/>
      <w:b/>
      <w:color w:val="FF0000"/>
      <w:sz w:val="22"/>
    </w:rPr>
  </w:style>
  <w:style w:type="character" w:customStyle="1" w:styleId="72">
    <w:name w:val="NormalTok"/>
    <w:basedOn w:val="38"/>
    <w:qFormat/>
    <w:uiPriority w:val="0"/>
    <w:rPr>
      <w:rFonts w:ascii="Consolas" w:hAnsi="Consolas"/>
      <w:sz w:val="22"/>
    </w:rPr>
  </w:style>
  <w:style w:type="character" w:customStyle="1" w:styleId="73">
    <w:name w:val="页眉 字符"/>
    <w:basedOn w:val="21"/>
    <w:link w:val="16"/>
    <w:qFormat/>
    <w:uiPriority w:val="0"/>
    <w:rPr>
      <w:sz w:val="18"/>
      <w:szCs w:val="18"/>
    </w:rPr>
  </w:style>
  <w:style w:type="character" w:customStyle="1" w:styleId="74">
    <w:name w:val="页脚 字符"/>
    <w:basedOn w:val="21"/>
    <w:link w:val="15"/>
    <w:qFormat/>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2</Pages>
  <Words>1081</Words>
  <Characters>5694</Characters>
  <Lines>93</Lines>
  <Paragraphs>26</Paragraphs>
  <TotalTime>5</TotalTime>
  <ScaleCrop>false</ScaleCrop>
  <LinksUpToDate>false</LinksUpToDate>
  <CharactersWithSpaces>6401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2026-01-27T10:51:00Z</dcterms:created>
  <dc:creator>18768117221@163.com</dc:creator>
  <cp:lastModifiedBy>人可</cp:lastModifiedBy>
  <dcterms:modified xsi:type="dcterms:W3CDTF">2026-02-04T07:24:33Z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eyJoZGlkIjoiMzEwNTM5NzYwMDRjMzkwZTVkZjY2ODkwMGIxNGU0OTUiLCJ1c2VySWQiOiIzMTEwMDQ1OTAifQ==</vt:lpwstr>
  </property>
  <property fmtid="{D5CDD505-2E9C-101B-9397-08002B2CF9AE}" pid="3" name="KSOProductBuildVer">
    <vt:lpwstr>2052-12.1.0.24657</vt:lpwstr>
  </property>
  <property fmtid="{D5CDD505-2E9C-101B-9397-08002B2CF9AE}" pid="4" name="ICV">
    <vt:lpwstr>02003A6CC0D6409AB74CC9A022295CEA_12</vt:lpwstr>
  </property>
</Properties>
</file>