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C2C6" w14:textId="77777777" w:rsidR="007F59DE" w:rsidRDefault="007F59DE" w:rsidP="007F59DE">
      <w:pPr>
        <w:spacing w:after="20" w:line="276" w:lineRule="auto"/>
        <w:ind w:left="360"/>
        <w:jc w:val="both"/>
      </w:pPr>
      <w:r>
        <w:t>Online Resource 1: Annual crude and age-standardised suicide mortality rates by sex</w:t>
      </w:r>
    </w:p>
    <w:p w14:paraId="2BE40637" w14:textId="77777777" w:rsidR="007F59DE" w:rsidRDefault="007F59DE" w:rsidP="007F59DE">
      <w:pPr>
        <w:spacing w:after="20" w:line="276" w:lineRule="auto"/>
        <w:ind w:left="360"/>
        <w:jc w:val="both"/>
      </w:pPr>
      <w:r>
        <w:t>Online Resource 2: Age-specific suicide mortality rates by period and sex</w:t>
      </w:r>
    </w:p>
    <w:p w14:paraId="65CF2F1D" w14:textId="77777777" w:rsidR="007F59DE" w:rsidRDefault="007F59DE" w:rsidP="007F59DE">
      <w:pPr>
        <w:spacing w:after="20" w:line="276" w:lineRule="auto"/>
        <w:ind w:left="360"/>
        <w:jc w:val="both"/>
      </w:pPr>
      <w:r>
        <w:t>Online Resource 3: Complete age–period–cohort model coefficients</w:t>
      </w:r>
    </w:p>
    <w:p w14:paraId="584F6225" w14:textId="77777777" w:rsidR="007F59DE" w:rsidRDefault="007F59DE" w:rsidP="007F59DE">
      <w:pPr>
        <w:spacing w:after="20" w:line="276" w:lineRule="auto"/>
        <w:ind w:left="360"/>
        <w:jc w:val="both"/>
      </w:pPr>
      <w:r>
        <w:t>Online Resource 4: Provincial disparities in suicide mortality</w:t>
      </w:r>
    </w:p>
    <w:p w14:paraId="787513E2" w14:textId="77777777" w:rsidR="007F59DE" w:rsidRDefault="007F59DE" w:rsidP="007F59DE">
      <w:pPr>
        <w:spacing w:after="20" w:line="276" w:lineRule="auto"/>
        <w:ind w:left="360"/>
        <w:jc w:val="both"/>
      </w:pPr>
      <w:r>
        <w:t>Online Resource 5: Male-to-female suicide mortality ratio and the gender paradox</w:t>
      </w:r>
    </w:p>
    <w:p w14:paraId="3E88BB44" w14:textId="77777777" w:rsidR="007F59DE" w:rsidRDefault="007F59DE" w:rsidP="007F59DE">
      <w:pPr>
        <w:spacing w:after="20" w:line="276" w:lineRule="auto"/>
        <w:ind w:left="360"/>
        <w:jc w:val="both"/>
      </w:pPr>
      <w:r>
        <w:t>Online Resource 6: Sensitivity and robustness analyses for the APC model</w:t>
      </w:r>
    </w:p>
    <w:p w14:paraId="1E84E46A" w14:textId="77777777" w:rsidR="007F59DE" w:rsidRDefault="007F59DE" w:rsidP="007F59DE">
      <w:pPr>
        <w:spacing w:after="20" w:line="276" w:lineRule="auto"/>
        <w:ind w:left="360"/>
        <w:jc w:val="both"/>
      </w:pPr>
      <w:r>
        <w:t>Online Resource 7: Sensitivity analyses for counterfactual estimation of pandemic excess mortality</w:t>
      </w:r>
    </w:p>
    <w:p w14:paraId="6B3B7FA3" w14:textId="77777777" w:rsidR="007F59DE" w:rsidRDefault="007F59DE" w:rsidP="007F59DE">
      <w:pPr>
        <w:spacing w:after="20" w:line="276" w:lineRule="auto"/>
        <w:ind w:left="360"/>
        <w:jc w:val="both"/>
      </w:pPr>
      <w:r>
        <w:t>Online Resource 8: Age-specific trends and pandemic-period rate ratios</w:t>
      </w:r>
    </w:p>
    <w:p w14:paraId="649C74D7" w14:textId="77777777" w:rsidR="007F59DE" w:rsidRDefault="007F59DE" w:rsidP="007F59DE">
      <w:pPr>
        <w:spacing w:after="360" w:line="276" w:lineRule="auto"/>
        <w:ind w:left="360"/>
        <w:jc w:val="both"/>
      </w:pPr>
      <w:r>
        <w:t>Online Resource 9: Additional descriptive figures</w:t>
      </w:r>
    </w:p>
    <w:p w14:paraId="613B5A35" w14:textId="77777777" w:rsidR="007F59DE" w:rsidRDefault="007F59DE" w:rsidP="007F59DE">
      <w:pPr>
        <w:spacing w:line="480" w:lineRule="auto"/>
      </w:pPr>
    </w:p>
    <w:p w14:paraId="7A489641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DE"/>
    <w:rsid w:val="000C4033"/>
    <w:rsid w:val="00173ED8"/>
    <w:rsid w:val="004B42CB"/>
    <w:rsid w:val="005F2B46"/>
    <w:rsid w:val="006E1731"/>
    <w:rsid w:val="007F59DE"/>
    <w:rsid w:val="00866D74"/>
    <w:rsid w:val="00882A73"/>
    <w:rsid w:val="008A3011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7FB2F"/>
  <w15:chartTrackingRefBased/>
  <w15:docId w15:val="{DC951BDE-B3A4-4AF5-82FF-68A7B926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9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9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9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9D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9D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9D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9D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9D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9D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9D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9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5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9D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5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9D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5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9D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5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2026-04-30T13:41:00Z</dcterms:created>
  <dcterms:modified xsi:type="dcterms:W3CDTF">2026-04-30T13:41:00Z</dcterms:modified>
</cp:coreProperties>
</file>