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84" w:rsidRDefault="00640484" w:rsidP="00640484">
      <w:pPr>
        <w:pStyle w:val="Titre3"/>
      </w:pPr>
      <w:r>
        <w:t>Table 1. Baseline demographic, clinical and laboratory characteristics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40484" w:rsidTr="000921B7">
        <w:tc>
          <w:tcPr>
            <w:tcW w:w="4320" w:type="dxa"/>
          </w:tcPr>
          <w:p w:rsidR="00640484" w:rsidRDefault="00640484" w:rsidP="000921B7">
            <w:r>
              <w:t>Variable</w:t>
            </w:r>
          </w:p>
        </w:tc>
        <w:tc>
          <w:tcPr>
            <w:tcW w:w="4320" w:type="dxa"/>
          </w:tcPr>
          <w:p w:rsidR="00640484" w:rsidRDefault="00640484" w:rsidP="000921B7">
            <w:r>
              <w:t>Value</w:t>
            </w:r>
          </w:p>
        </w:tc>
      </w:tr>
      <w:tr w:rsidR="00640484" w:rsidTr="000921B7">
        <w:tc>
          <w:tcPr>
            <w:tcW w:w="4320" w:type="dxa"/>
          </w:tcPr>
          <w:p w:rsidR="00640484" w:rsidRDefault="00640484" w:rsidP="000921B7">
            <w:r>
              <w:t>Female sex</w:t>
            </w:r>
          </w:p>
        </w:tc>
        <w:tc>
          <w:tcPr>
            <w:tcW w:w="4320" w:type="dxa"/>
          </w:tcPr>
          <w:p w:rsidR="00640484" w:rsidRDefault="00640484" w:rsidP="000921B7">
            <w:r>
              <w:t>56 (67.1%)</w:t>
            </w:r>
          </w:p>
        </w:tc>
      </w:tr>
      <w:tr w:rsidR="00640484" w:rsidTr="000921B7">
        <w:tc>
          <w:tcPr>
            <w:tcW w:w="4320" w:type="dxa"/>
          </w:tcPr>
          <w:p w:rsidR="00640484" w:rsidRDefault="00640484" w:rsidP="000921B7">
            <w:r>
              <w:t>Mean age at onset (years)</w:t>
            </w:r>
          </w:p>
        </w:tc>
        <w:tc>
          <w:tcPr>
            <w:tcW w:w="4320" w:type="dxa"/>
          </w:tcPr>
          <w:p w:rsidR="00640484" w:rsidRDefault="00640484" w:rsidP="000921B7">
            <w:r>
              <w:t xml:space="preserve">4.4 </w:t>
            </w:r>
          </w:p>
        </w:tc>
      </w:tr>
      <w:tr w:rsidR="00640484" w:rsidTr="000921B7">
        <w:tc>
          <w:tcPr>
            <w:tcW w:w="4320" w:type="dxa"/>
          </w:tcPr>
          <w:p w:rsidR="00640484" w:rsidRDefault="00640484" w:rsidP="000921B7">
            <w:r>
              <w:t>Onset &lt;5 years</w:t>
            </w:r>
          </w:p>
        </w:tc>
        <w:tc>
          <w:tcPr>
            <w:tcW w:w="4320" w:type="dxa"/>
          </w:tcPr>
          <w:p w:rsidR="00640484" w:rsidRDefault="00640484" w:rsidP="000921B7">
            <w:r>
              <w:t>57 (69%)</w:t>
            </w:r>
          </w:p>
        </w:tc>
      </w:tr>
      <w:tr w:rsidR="00640484" w:rsidTr="000921B7">
        <w:tc>
          <w:tcPr>
            <w:tcW w:w="4320" w:type="dxa"/>
          </w:tcPr>
          <w:p w:rsidR="00640484" w:rsidRDefault="00640484" w:rsidP="000921B7">
            <w:r>
              <w:t>Mean diagnostic delay (months)</w:t>
            </w:r>
          </w:p>
        </w:tc>
        <w:tc>
          <w:tcPr>
            <w:tcW w:w="4320" w:type="dxa"/>
          </w:tcPr>
          <w:p w:rsidR="00640484" w:rsidRDefault="00640484" w:rsidP="000921B7">
            <w:r>
              <w:t>9 (2–48)</w:t>
            </w:r>
          </w:p>
        </w:tc>
      </w:tr>
      <w:tr w:rsidR="00640484" w:rsidTr="000921B7">
        <w:tc>
          <w:tcPr>
            <w:tcW w:w="4320" w:type="dxa"/>
          </w:tcPr>
          <w:p w:rsidR="00640484" w:rsidRDefault="00640484" w:rsidP="000921B7">
            <w:proofErr w:type="spellStart"/>
            <w:r>
              <w:t>Monoarticular</w:t>
            </w:r>
            <w:proofErr w:type="spellEnd"/>
            <w:r>
              <w:t xml:space="preserve"> onset</w:t>
            </w:r>
          </w:p>
        </w:tc>
        <w:tc>
          <w:tcPr>
            <w:tcW w:w="4320" w:type="dxa"/>
          </w:tcPr>
          <w:p w:rsidR="00640484" w:rsidRDefault="00640484" w:rsidP="000921B7">
            <w:r>
              <w:t>29 (35%)</w:t>
            </w:r>
          </w:p>
        </w:tc>
      </w:tr>
      <w:tr w:rsidR="00640484" w:rsidTr="000921B7">
        <w:tc>
          <w:tcPr>
            <w:tcW w:w="4320" w:type="dxa"/>
          </w:tcPr>
          <w:p w:rsidR="00640484" w:rsidRDefault="00640484" w:rsidP="000921B7">
            <w:r>
              <w:t>Knee involvement</w:t>
            </w:r>
          </w:p>
        </w:tc>
        <w:tc>
          <w:tcPr>
            <w:tcW w:w="4320" w:type="dxa"/>
          </w:tcPr>
          <w:p w:rsidR="00640484" w:rsidRDefault="00640484" w:rsidP="000921B7">
            <w:r>
              <w:t>83%</w:t>
            </w:r>
          </w:p>
        </w:tc>
      </w:tr>
      <w:tr w:rsidR="00640484" w:rsidTr="000921B7">
        <w:tc>
          <w:tcPr>
            <w:tcW w:w="4320" w:type="dxa"/>
          </w:tcPr>
          <w:p w:rsidR="00640484" w:rsidRDefault="00640484" w:rsidP="000921B7">
            <w:r>
              <w:t>ANA positive</w:t>
            </w:r>
          </w:p>
        </w:tc>
        <w:tc>
          <w:tcPr>
            <w:tcW w:w="4320" w:type="dxa"/>
          </w:tcPr>
          <w:p w:rsidR="00640484" w:rsidRDefault="00640484" w:rsidP="000921B7">
            <w:r>
              <w:t>59 (71%)</w:t>
            </w:r>
          </w:p>
        </w:tc>
      </w:tr>
      <w:tr w:rsidR="00640484" w:rsidTr="000921B7">
        <w:tc>
          <w:tcPr>
            <w:tcW w:w="4320" w:type="dxa"/>
          </w:tcPr>
          <w:p w:rsidR="00640484" w:rsidRDefault="00640484" w:rsidP="000921B7">
            <w:r>
              <w:t>Uveitis</w:t>
            </w:r>
          </w:p>
        </w:tc>
        <w:tc>
          <w:tcPr>
            <w:tcW w:w="4320" w:type="dxa"/>
          </w:tcPr>
          <w:p w:rsidR="00640484" w:rsidRDefault="00640484" w:rsidP="000921B7">
            <w:r>
              <w:t>20 (24%)</w:t>
            </w:r>
          </w:p>
        </w:tc>
      </w:tr>
    </w:tbl>
    <w:p w:rsidR="00640484" w:rsidRDefault="00640484" w:rsidP="00640484">
      <w:pPr>
        <w:pStyle w:val="Titre3"/>
      </w:pPr>
      <w:r>
        <w:t>Table 2. Therapeutic strategies and disease outcomes</w:t>
      </w: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40484" w:rsidTr="000921B7">
        <w:tc>
          <w:tcPr>
            <w:tcW w:w="2160" w:type="dxa"/>
          </w:tcPr>
          <w:p w:rsidR="00640484" w:rsidRDefault="00640484" w:rsidP="000921B7">
            <w:r>
              <w:t>Variable</w:t>
            </w:r>
          </w:p>
        </w:tc>
        <w:tc>
          <w:tcPr>
            <w:tcW w:w="2160" w:type="dxa"/>
          </w:tcPr>
          <w:p w:rsidR="00640484" w:rsidRDefault="00640484" w:rsidP="000921B7">
            <w:r>
              <w:t>Persistent (n=64)</w:t>
            </w:r>
          </w:p>
        </w:tc>
        <w:tc>
          <w:tcPr>
            <w:tcW w:w="2160" w:type="dxa"/>
          </w:tcPr>
          <w:p w:rsidR="00640484" w:rsidRDefault="00640484" w:rsidP="000921B7">
            <w:r>
              <w:t>Extended (n=18)</w:t>
            </w:r>
          </w:p>
        </w:tc>
        <w:tc>
          <w:tcPr>
            <w:tcW w:w="2160" w:type="dxa"/>
          </w:tcPr>
          <w:p w:rsidR="00640484" w:rsidRDefault="00640484" w:rsidP="000921B7">
            <w:r>
              <w:t>Total</w:t>
            </w:r>
          </w:p>
        </w:tc>
      </w:tr>
      <w:tr w:rsidR="00640484" w:rsidTr="000921B7">
        <w:tc>
          <w:tcPr>
            <w:tcW w:w="2160" w:type="dxa"/>
          </w:tcPr>
          <w:p w:rsidR="00640484" w:rsidRDefault="00640484" w:rsidP="000921B7">
            <w:r>
              <w:t>Methotrexate use</w:t>
            </w:r>
          </w:p>
        </w:tc>
        <w:tc>
          <w:tcPr>
            <w:tcW w:w="2160" w:type="dxa"/>
          </w:tcPr>
          <w:p w:rsidR="00640484" w:rsidRDefault="00640484" w:rsidP="000921B7">
            <w:r>
              <w:t>34 (53%)</w:t>
            </w:r>
          </w:p>
        </w:tc>
        <w:tc>
          <w:tcPr>
            <w:tcW w:w="2160" w:type="dxa"/>
          </w:tcPr>
          <w:p w:rsidR="00640484" w:rsidRDefault="00640484" w:rsidP="000921B7">
            <w:r>
              <w:t>18 (100%)</w:t>
            </w:r>
          </w:p>
        </w:tc>
        <w:tc>
          <w:tcPr>
            <w:tcW w:w="2160" w:type="dxa"/>
          </w:tcPr>
          <w:p w:rsidR="00640484" w:rsidRDefault="00640484" w:rsidP="000921B7">
            <w:r>
              <w:t>52 (63%)</w:t>
            </w:r>
          </w:p>
        </w:tc>
      </w:tr>
      <w:tr w:rsidR="00640484" w:rsidTr="000921B7">
        <w:tc>
          <w:tcPr>
            <w:tcW w:w="2160" w:type="dxa"/>
          </w:tcPr>
          <w:p w:rsidR="00640484" w:rsidRDefault="00640484" w:rsidP="000921B7">
            <w:r>
              <w:t>Biologic therapy</w:t>
            </w:r>
          </w:p>
        </w:tc>
        <w:tc>
          <w:tcPr>
            <w:tcW w:w="2160" w:type="dxa"/>
          </w:tcPr>
          <w:p w:rsidR="00640484" w:rsidRDefault="00640484" w:rsidP="000921B7">
            <w:r>
              <w:t>3</w:t>
            </w:r>
          </w:p>
        </w:tc>
        <w:tc>
          <w:tcPr>
            <w:tcW w:w="2160" w:type="dxa"/>
          </w:tcPr>
          <w:p w:rsidR="00640484" w:rsidRDefault="00640484" w:rsidP="000921B7">
            <w:r>
              <w:t>5</w:t>
            </w:r>
          </w:p>
        </w:tc>
        <w:tc>
          <w:tcPr>
            <w:tcW w:w="2160" w:type="dxa"/>
          </w:tcPr>
          <w:p w:rsidR="00640484" w:rsidRDefault="00640484" w:rsidP="000921B7">
            <w:r>
              <w:t>8</w:t>
            </w:r>
          </w:p>
        </w:tc>
      </w:tr>
      <w:tr w:rsidR="00640484" w:rsidTr="000921B7">
        <w:tc>
          <w:tcPr>
            <w:tcW w:w="2160" w:type="dxa"/>
          </w:tcPr>
          <w:p w:rsidR="00640484" w:rsidRDefault="00640484" w:rsidP="000921B7">
            <w:r>
              <w:t>Extension within 2 years</w:t>
            </w:r>
          </w:p>
        </w:tc>
        <w:tc>
          <w:tcPr>
            <w:tcW w:w="2160" w:type="dxa"/>
          </w:tcPr>
          <w:p w:rsidR="00640484" w:rsidRDefault="00640484" w:rsidP="000921B7">
            <w:r>
              <w:t>-</w:t>
            </w:r>
          </w:p>
        </w:tc>
        <w:tc>
          <w:tcPr>
            <w:tcW w:w="2160" w:type="dxa"/>
          </w:tcPr>
          <w:p w:rsidR="00640484" w:rsidRDefault="00640484" w:rsidP="000921B7">
            <w:r>
              <w:t>100%</w:t>
            </w:r>
          </w:p>
        </w:tc>
        <w:tc>
          <w:tcPr>
            <w:tcW w:w="2160" w:type="dxa"/>
          </w:tcPr>
          <w:p w:rsidR="00640484" w:rsidRDefault="00640484" w:rsidP="000921B7">
            <w:r>
              <w:t>-</w:t>
            </w:r>
          </w:p>
        </w:tc>
      </w:tr>
      <w:tr w:rsidR="00640484" w:rsidTr="000921B7">
        <w:tc>
          <w:tcPr>
            <w:tcW w:w="2160" w:type="dxa"/>
          </w:tcPr>
          <w:p w:rsidR="00640484" w:rsidRDefault="00640484" w:rsidP="000921B7">
            <w:r>
              <w:t>Relapses</w:t>
            </w:r>
          </w:p>
        </w:tc>
        <w:tc>
          <w:tcPr>
            <w:tcW w:w="2160" w:type="dxa"/>
          </w:tcPr>
          <w:p w:rsidR="00640484" w:rsidRDefault="00640484" w:rsidP="000921B7">
            <w:r>
              <w:t>8</w:t>
            </w:r>
          </w:p>
        </w:tc>
        <w:tc>
          <w:tcPr>
            <w:tcW w:w="2160" w:type="dxa"/>
          </w:tcPr>
          <w:p w:rsidR="00640484" w:rsidRDefault="00640484" w:rsidP="000921B7">
            <w:r>
              <w:t>3</w:t>
            </w:r>
          </w:p>
        </w:tc>
        <w:tc>
          <w:tcPr>
            <w:tcW w:w="2160" w:type="dxa"/>
          </w:tcPr>
          <w:p w:rsidR="00640484" w:rsidRDefault="00640484" w:rsidP="000921B7">
            <w:r>
              <w:t>11 (14%)</w:t>
            </w:r>
          </w:p>
        </w:tc>
      </w:tr>
      <w:tr w:rsidR="00640484" w:rsidTr="000921B7">
        <w:tc>
          <w:tcPr>
            <w:tcW w:w="2160" w:type="dxa"/>
          </w:tcPr>
          <w:p w:rsidR="00640484" w:rsidRDefault="00640484" w:rsidP="000921B7">
            <w:r>
              <w:t>Ocular complications</w:t>
            </w:r>
          </w:p>
        </w:tc>
        <w:tc>
          <w:tcPr>
            <w:tcW w:w="2160" w:type="dxa"/>
          </w:tcPr>
          <w:p w:rsidR="00640484" w:rsidRDefault="00640484" w:rsidP="000921B7">
            <w:r>
              <w:t>11</w:t>
            </w:r>
          </w:p>
        </w:tc>
        <w:tc>
          <w:tcPr>
            <w:tcW w:w="2160" w:type="dxa"/>
          </w:tcPr>
          <w:p w:rsidR="00640484" w:rsidRDefault="00640484" w:rsidP="000921B7">
            <w:r>
              <w:t>2</w:t>
            </w:r>
          </w:p>
        </w:tc>
        <w:tc>
          <w:tcPr>
            <w:tcW w:w="2160" w:type="dxa"/>
          </w:tcPr>
          <w:p w:rsidR="00640484" w:rsidRDefault="00640484" w:rsidP="000921B7">
            <w:r>
              <w:t>13</w:t>
            </w:r>
          </w:p>
          <w:p w:rsidR="00640484" w:rsidRDefault="00640484" w:rsidP="000921B7"/>
        </w:tc>
      </w:tr>
    </w:tbl>
    <w:p w:rsidR="00544126" w:rsidRDefault="00640484">
      <w:pPr>
        <w:rPr>
          <w:rFonts w:cs="Tahoma"/>
          <w:noProof/>
          <w:lang w:val="fr-FR" w:eastAsia="fr-FR"/>
        </w:rPr>
      </w:pPr>
      <w:r>
        <w:rPr>
          <w:rFonts w:cs="Tahoma"/>
          <w:noProof/>
          <w:lang w:val="fr-FR" w:eastAsia="fr-FR"/>
        </w:rPr>
        <w:lastRenderedPageBreak/>
        <w:t xml:space="preserve"> </w:t>
      </w:r>
      <w:r>
        <w:rPr>
          <w:rFonts w:cs="Tahoma"/>
          <w:noProof/>
          <w:lang w:val="fr-FR" w:eastAsia="fr-FR"/>
        </w:rPr>
        <w:drawing>
          <wp:inline distT="0" distB="0" distL="0" distR="0" wp14:anchorId="50C94A9C" wp14:editId="55402A86">
            <wp:extent cx="5220000" cy="3114307"/>
            <wp:effectExtent l="19050" t="0" r="0" b="0"/>
            <wp:docPr id="15" name="Image 14" descr="capture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311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484" w:rsidRPr="00B46A15" w:rsidRDefault="00640484" w:rsidP="00640484">
      <w:pPr>
        <w:rPr>
          <w:lang w:val="fr-FR"/>
        </w:rPr>
      </w:pPr>
      <w:r w:rsidRPr="003E0B0D">
        <w:rPr>
          <w:b/>
          <w:bCs/>
        </w:rPr>
        <w:t xml:space="preserve">Figure </w:t>
      </w:r>
      <w:r>
        <w:rPr>
          <w:b/>
          <w:bCs/>
        </w:rPr>
        <w:t>1</w:t>
      </w:r>
      <w:r w:rsidRPr="003E0B0D">
        <w:rPr>
          <w:b/>
          <w:bCs/>
        </w:rPr>
        <w:t>.</w:t>
      </w:r>
      <w:r w:rsidRPr="003E0B0D">
        <w:t xml:space="preserve"> Evolution of disease activity according to JADAS-10 categories during the first 24 months of follow-up. The proportion of patients achieving inactive disease (ID) increased progressively, while moderate (MDA) and high disease activity (HDA) declined markedly. </w:t>
      </w:r>
      <w:proofErr w:type="gramStart"/>
      <w:r w:rsidRPr="003E0B0D">
        <w:t>Most disease activity transitions</w:t>
      </w:r>
      <w:proofErr w:type="gramEnd"/>
      <w:r w:rsidRPr="003E0B0D">
        <w:t xml:space="preserve"> occurred within the first year.</w:t>
      </w:r>
    </w:p>
    <w:p w:rsidR="00640484" w:rsidRDefault="00640484">
      <w:bookmarkStart w:id="0" w:name="_GoBack"/>
      <w:bookmarkEnd w:id="0"/>
    </w:p>
    <w:sectPr w:rsidR="00640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84"/>
    <w:rsid w:val="00544126"/>
    <w:rsid w:val="0064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7F05"/>
  <w15:chartTrackingRefBased/>
  <w15:docId w15:val="{2BD034FF-E37C-45B4-B618-8790E9D8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484"/>
    <w:pPr>
      <w:spacing w:after="200" w:line="276" w:lineRule="auto"/>
    </w:pPr>
    <w:rPr>
      <w:rFonts w:eastAsiaTheme="minorEastAsia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04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40484"/>
    <w:rPr>
      <w:rFonts w:asciiTheme="majorHAnsi" w:eastAsiaTheme="majorEastAsia" w:hAnsiTheme="majorHAnsi" w:cstheme="majorBidi"/>
      <w:b/>
      <w:bCs/>
      <w:color w:val="5B9BD5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DrHrizi</dc:creator>
  <cp:keywords/>
  <dc:description/>
  <cp:lastModifiedBy>DrHrizi</cp:lastModifiedBy>
  <cp:revision>1</cp:revision>
  <dcterms:created xsi:type="dcterms:W3CDTF">2026-03-16T08:41:00Z</dcterms:created>
  <dcterms:modified xsi:type="dcterms:W3CDTF">2026-03-16T08:44:00Z</dcterms:modified>
</cp:coreProperties>
</file>