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71E22" w14:textId="77777777" w:rsidR="003503DC" w:rsidRPr="009C6E17" w:rsidRDefault="003503DC" w:rsidP="003503DC">
      <w:pPr>
        <w:pStyle w:val="Bibliography"/>
        <w:rPr>
          <w:rFonts w:ascii="Times New Roman" w:hAnsi="Times New Roman" w:cs="Times New Roman"/>
          <w:b/>
          <w:bCs/>
        </w:rPr>
      </w:pPr>
      <w:r w:rsidRPr="009C6E17">
        <w:rPr>
          <w:rFonts w:ascii="Times New Roman" w:hAnsi="Times New Roman" w:cs="Times New Roman"/>
          <w:b/>
          <w:bCs/>
        </w:rPr>
        <w:t xml:space="preserve">Supplementary Table 1.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40"/>
        <w:gridCol w:w="2610"/>
        <w:gridCol w:w="1890"/>
        <w:gridCol w:w="1720"/>
      </w:tblGrid>
      <w:tr w:rsidR="003503DC" w:rsidRPr="006748DC" w14:paraId="3E0DAA34" w14:textId="77777777" w:rsidTr="00E0113B">
        <w:trPr>
          <w:trHeight w:val="690"/>
        </w:trPr>
        <w:tc>
          <w:tcPr>
            <w:tcW w:w="3140" w:type="dxa"/>
            <w:tcBorders>
              <w:left w:val="single" w:sz="8" w:space="0" w:color="FFFFFF"/>
              <w:right w:val="single" w:sz="8" w:space="0" w:color="FFFFFF"/>
            </w:tcBorders>
            <w:tcMar>
              <w:top w:w="100" w:type="dxa"/>
              <w:left w:w="100" w:type="dxa"/>
              <w:bottom w:w="100" w:type="dxa"/>
              <w:right w:w="100" w:type="dxa"/>
            </w:tcMar>
            <w:vAlign w:val="center"/>
          </w:tcPr>
          <w:p w14:paraId="7FABCE26"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Comorbidity</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7D1072CD"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Source</w:t>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7B110AFF"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Study population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57DFC176"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Prevalence</w:t>
            </w:r>
          </w:p>
        </w:tc>
      </w:tr>
      <w:tr w:rsidR="003503DC" w:rsidRPr="006748DC" w14:paraId="63ACF7F5"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2D475AAB"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Ehlers-Danlos syndrome</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256E1A6E"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Demmler 2019</w:t>
            </w: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ADDIN ZOTERO_ITEM CSL_CITATION {"citationID":"F8l8ddsC","properties":{"formattedCitation":"[18]","plainCitation":"[18]","noteIndex":0},"citationItems":[{"id":349,"uris":["http://zotero.org/users/6334244/items/834UUJ3X"],"itemData":{"id":349,"type":"article-journal","abstract":"Objectives\n              To describe the epidemiology of diagnosed hypermobility spectrum disorder (HSD) and Ehlers-Danlos syndromes (EDS) using linked electronic medical records. To examine whether these conditions remain rare and primarily affect the musculoskeletal system.\n            \n            \n              Design\n              Nationwide linked electronic cohort and nested case–control study.\n            \n            \n              Setting\n              Routinely collected data from primary care and hospital admissions in Wales, UK.\n            \n            \n              Participants\n              People within the primary care or hospital data systems with a coded diagnosis of EDS or joint hypermobility syndrome (JHS) between 1 July 1990 and 30 June 2017.\n            \n            \n              Main outcome measures\n              Combined prevalence of JHS and EDS in Wales. Additional diagnosis and prescription data in those diagnosed with EDS or JHS compared with matched controls.\n            \n            \n              Results\n              We found 6021 individuals (men: 30%, women: 70%) with a diagnostic code of either EDS or JHS. This gives a diagnosed point prevalence of 194.2 per 100 000 in 2016/2017 or roughly 10 cases in a practice of 5000 patients. There was a pronounced gender difference of 8.5 years (95% CI: 7.70 to 9.22) in the mean age at diagnosis. EDS or JHS was not only associated with high odds for other musculoskeletal diagnoses and drug prescriptions but also with significantly higher odds of a diagnosis in other disease categories (eg, mental health, nervous and digestive systems) and higher odds of a prescription in most disease categories (eg, gastrointestinal and cardiovascular drugs) within the 12 months before and after the first recorded diagnosis.\n            \n            \n              Conclusions\n              EDS and JHS (since March 2017 classified as EDS or HSD) have historically been considered rare diseases only affecting the musculoskeletal system and soft tissues. These data demonstrate that both these assertions should be reconsidered.","container-title":"BMJ Open","DOI":"10.1136/bmjopen-2019-031365","ISSN":"2044-6055, 2044-6055","issue":"11","journalAbbreviation":"BMJ Open","language":"en","page":"e031365","source":"DOI.org (Crossref)","title":"Diagnosed prevalence of Ehlers-Danlos syndrome and hypermobility spectrum disorder in Wales, UK: a national electronic cohort study and case–control comparison","title-short":"Diagnosed prevalence of Ehlers-Danlos syndrome and hypermobility spectrum disorder in Wales, UK","volume":"9","author":[{"family":"Demmler","given":"Joanne C"},{"family":"Atkinson","given":"Mark D"},{"family":"Reinhold","given":"Emma J"},{"family":"Choy","given":"Ernest"},{"family":"Lyons","given":"Ronan A"},{"family":"Brophy","given":"Sinead T"}],"issued":{"date-parts":[["2019",11]]}}}],"schema":"https://github.com/citation-style-language/schema/raw/master/csl-citation.json"} </w:instrText>
            </w:r>
            <w:r>
              <w:rPr>
                <w:rFonts w:ascii="Times New Roman" w:hAnsi="Times New Roman" w:cs="Times New Roman"/>
                <w:color w:val="000000" w:themeColor="text1"/>
              </w:rPr>
              <w:fldChar w:fldCharType="separate"/>
            </w:r>
            <w:r>
              <w:rPr>
                <w:rFonts w:ascii="Times New Roman" w:hAnsi="Times New Roman" w:cs="Times New Roman"/>
                <w:noProof/>
                <w:color w:val="000000" w:themeColor="text1"/>
              </w:rPr>
              <w:t>[18]</w:t>
            </w:r>
            <w:r>
              <w:rPr>
                <w:rFonts w:ascii="Times New Roman" w:hAnsi="Times New Roman" w:cs="Times New Roman"/>
                <w:color w:val="000000" w:themeColor="text1"/>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0BF8AC4E"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5DF6E49B"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0.2%</w:t>
            </w:r>
          </w:p>
        </w:tc>
      </w:tr>
      <w:tr w:rsidR="003503DC" w:rsidRPr="006748DC" w14:paraId="3B07ED72"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7DB1502F"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Chronic migraine</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165E27A4"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Burch 2015</w:t>
            </w: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ADDIN ZOTERO_ITEM CSL_CITATION {"citationID":"hwupNbHG","properties":{"formattedCitation":"[22]","plainCitation":"[22]","noteIndex":0},"citationItems":[{"id":308,"uris":["http://zotero.org/users/6334244/items/MFTPFDAD"],"itemData":{"id":308,"type":"article-journal","abstract":"Background and Objectives\n              \n                The\n                US N\n                ational\n                C\n                enter for Health Statistics, which is part of the\n                C\n                enters for\n                D\n                isease\n                C\n                ontrol, conducts ongoing public health surveillance activities. The\n                US A\n                rmed\n                F\n                orces also maintains a comprehensive database of medical information. We aimed to identify the most current prevalence estimates of migraine and severe headache in the\n                U\n                nited\n                S\n                tates adult civilian and active duty service populations from these national government surveys, to assess stability of prevalence estimates over time, and to identify additional information pertinent to the burden and treatment of migraine and other severe headache conditions.\n              \n            \n            \n              Methods\n              \n                We searched for the most current publicly available summary statistics from the\n                N\n                ational\n                A\n                mbulatory\n                M\n                edical\n                C\n                are Survey, the\n                N\n                ational\n                H\n                ospital\n                A\n                mbulatory\n                M\n                edical\n                C\n                are\n                S\n                urvey, and the\n                N\n                ational\n                H\n                ealth\n                I\n                nterview\n                S\n                urvey (\n                NHIS\n                ). Summary data from the\n                D\n                efense\n                M\n                edical\n                S\n                urveillance\n                S\n                ystem were also obtained, and\n                PubMed\n                was also searched for publications reporting summary statistics based on these studies. Data were abstracted, double‐checked for accuracy, and summarized over time periods and as a function of demographic variables.\n              \n            \n            \n              Results\n              \n                14.2% of\n                US\n                adults 18 or older reported having migraine or severe headache in the previous 3 months in the 2012\n                NHIS\n                . The overall age‐adjusted 3‐month prevalence of migraine in females was 19.1% and in males 9.0%, but varied substantially depending on age. The prevalence of migraine was highest in females 18‐44, where the 3‐month prevalence of migraine or severe headache was 23.5%. The 3‐month prevalence of migraine or severe headache has remained relatively stable over the period of 2005‐2012, with an average prevalence of 20.2% in females, 9.4% in males, and 20.2% overall. During this time, the average female to male sex ratio for migraine or severe headache was 2.17. The unadjusted 1‐year prevalence of migraine in active duty\n                US\n                military service members varied from 1% to 1.9% between 1998 and 2010, ranging from 0.7% to 1.2% in males and 3.5% to 6% in females. The 1‐year prevalence of “other headache” in this military population ranged from a low of 1.9% in 2003 to a high of 3% in 2010. Headache or pain in the head was the fourth leading cause of visits to the emergency department (\n                ED\n                ) in 2009‐2010, accounting for 3.1% of all\n                ED\n                visits. Across all ambulatory care settings, migraine accounted for 0.5% of all visits and other headache presentations for 0.4% of all ambulatory care visits. 52.8% of all visits for migraine occurred in primary care settings, 23.2% in specialty outpatient settings, and 16.7% in\n                ED\n                s. In 2010, opioids were administered at 35% of\n                ED\n                visits for headache, while triptans were administered in only 1.5% of visits.\n              \n            \n            \n              Conclusions\n              \n                This report summarizes the most recent government statistics on the prevalence and burden of migraine and severe headache in the\n                US\n                civilian and active duty military populations. The prevalence of migraine headaches is high, affecting roughly 1 out of every 7\n                A\n                mericans annually, and has remained relatively stable over the last 8 years. Migraine and headache are leading causes of outpatient and\n                ED\n                visits and remain an important public health problem, particularly among women during their reproductive years.","container-title":"Headache: The Journal of Head and Face Pain","DOI":"10.1111/head.12482","ISSN":"0017-8748, 1526-4610","issue":"1","journalAbbreviation":"Headache","language":"en","license":"http://onlinelibrary.wiley.com/termsAndConditions#vor","page":"21-34","source":"DOI.org (Crossref)","title":"The Prevalence and Burden of Migraine and Severe Headache in the &lt;span style=\"font-variant:small-caps;\"&gt;U&lt;/span&gt; nited &lt;span style=\"font-variant:small-caps;\"&gt;S&lt;/span&gt; tates: Updated Statistics From Government Health Surveillance Studies","title-short":"The Prevalence and Burden of Migraine and Severe Headache in the &lt;span style=\"font-variant","volume":"55","author":[{"family":"Burch","given":"Rebecca C."},{"family":"Loder","given":"Stephen"},{"family":"Loder","given":"Elizabeth"},{"family":"Smitherman","given":"Todd A."}],"issued":{"date-parts":[["2015",1]]}}}],"schema":"https://github.com/citation-style-language/schema/raw/master/csl-citation.json"} </w:instrText>
            </w:r>
            <w:r>
              <w:rPr>
                <w:rFonts w:ascii="Times New Roman" w:hAnsi="Times New Roman" w:cs="Times New Roman"/>
                <w:color w:val="000000" w:themeColor="text1"/>
              </w:rPr>
              <w:fldChar w:fldCharType="separate"/>
            </w:r>
            <w:r>
              <w:rPr>
                <w:rFonts w:ascii="Times New Roman" w:hAnsi="Times New Roman" w:cs="Times New Roman"/>
                <w:noProof/>
                <w:color w:val="000000" w:themeColor="text1"/>
              </w:rPr>
              <w:t>[22]</w:t>
            </w:r>
            <w:r>
              <w:rPr>
                <w:rFonts w:ascii="Times New Roman" w:hAnsi="Times New Roman" w:cs="Times New Roman"/>
                <w:color w:val="000000" w:themeColor="text1"/>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35238F21"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3036A295"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18.9%</w:t>
            </w:r>
          </w:p>
        </w:tc>
      </w:tr>
      <w:tr w:rsidR="003503DC" w:rsidRPr="006748DC" w14:paraId="2ECCF0B8"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3A2CF48C"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Sjögren's syndrome</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69AE794C"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Thurtle</w:t>
            </w:r>
            <w:proofErr w:type="spellEnd"/>
            <w:r>
              <w:rPr>
                <w:rFonts w:ascii="Times New Roman" w:hAnsi="Times New Roman" w:cs="Times New Roman"/>
                <w:color w:val="000000" w:themeColor="text1"/>
              </w:rPr>
              <w:t xml:space="preserve"> 2023</w:t>
            </w:r>
            <w:r>
              <w:rPr>
                <w:rFonts w:ascii="Times New Roman" w:hAnsi="Times New Roman" w:cs="Times New Roman"/>
              </w:rPr>
              <w:fldChar w:fldCharType="begin"/>
            </w:r>
            <w:r>
              <w:rPr>
                <w:rFonts w:ascii="Times New Roman" w:hAnsi="Times New Roman" w:cs="Times New Roman"/>
              </w:rPr>
              <w:instrText xml:space="preserve"> ADDIN ZOTERO_ITEM CSL_CITATION {"citationID":"AbjHrcAz","properties":{"formattedCitation":"[20]","plainCitation":"[20]","noteIndex":0},"citationItems":[{"id":355,"uris":["http://zotero.org/users/6334244/items/DVMTXJ4X"],"itemData":{"id":355,"type":"article-journal","container-title":"Rheumatology and Therapy","DOI":"10.1007/s40744-023-00611-8","ISSN":"2198-6576, 2198-6584","issue":"1","journalAbbreviation":"Rheumatol Ther","language":"en","page":"1-17","source":"DOI.org (Crossref)","title":"Epidemiology of Sjögren’s: A Systematic Literature Review","title-short":"Epidemiology of Sjögren’s","volume":"11","author":[{"family":"Thurtle","given":"Eleanor"},{"family":"Grosjean","given":"Alice"},{"family":"Steenackers","given":"Monia"},{"family":"Strege","given":"Katharina"},{"family":"Barcelos","given":"Giovanna"},{"family":"Goswami","given":"Pushpendra"}],"issued":{"date-parts":[["2024",2]]}}}],"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[20]</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65703BAA"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1DADC78B"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0.</w:t>
            </w:r>
            <w:r>
              <w:rPr>
                <w:rFonts w:ascii="Times New Roman" w:hAnsi="Times New Roman" w:cs="Times New Roman"/>
              </w:rPr>
              <w:t>02</w:t>
            </w:r>
            <w:r w:rsidRPr="00E54CEF">
              <w:rPr>
                <w:rFonts w:ascii="Times New Roman" w:hAnsi="Times New Roman" w:cs="Times New Roman"/>
              </w:rPr>
              <w:t>–0.</w:t>
            </w:r>
            <w:r>
              <w:rPr>
                <w:rFonts w:ascii="Times New Roman" w:hAnsi="Times New Roman" w:cs="Times New Roman"/>
              </w:rPr>
              <w:t>3</w:t>
            </w:r>
            <w:r w:rsidRPr="00E54CEF">
              <w:rPr>
                <w:rFonts w:ascii="Times New Roman" w:hAnsi="Times New Roman" w:cs="Times New Roman"/>
              </w:rPr>
              <w:t>%</w:t>
            </w:r>
          </w:p>
        </w:tc>
      </w:tr>
      <w:tr w:rsidR="003503DC" w:rsidRPr="006748DC" w14:paraId="00BDE363" w14:textId="77777777" w:rsidTr="00E0113B">
        <w:trPr>
          <w:trHeight w:val="195"/>
        </w:trPr>
        <w:tc>
          <w:tcPr>
            <w:tcW w:w="3140" w:type="dxa"/>
            <w:tcBorders>
              <w:left w:val="single" w:sz="8" w:space="0" w:color="FFFFFF"/>
              <w:right w:val="single" w:sz="8" w:space="0" w:color="FFFFFF"/>
            </w:tcBorders>
            <w:tcMar>
              <w:top w:w="100" w:type="dxa"/>
              <w:left w:w="100" w:type="dxa"/>
              <w:bottom w:w="100" w:type="dxa"/>
              <w:right w:w="100" w:type="dxa"/>
            </w:tcMar>
            <w:vAlign w:val="center"/>
          </w:tcPr>
          <w:p w14:paraId="073B98CA"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Mast cell activation syndrome</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14613DF9"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Zaghmout</w:t>
            </w:r>
            <w:proofErr w:type="spellEnd"/>
            <w:r>
              <w:rPr>
                <w:rFonts w:ascii="Times New Roman" w:hAnsi="Times New Roman" w:cs="Times New Roman"/>
                <w:color w:val="000000" w:themeColor="text1"/>
              </w:rPr>
              <w:t xml:space="preserve"> 2023</w:t>
            </w:r>
            <w:r>
              <w:rPr>
                <w:rFonts w:ascii="Times New Roman" w:hAnsi="Times New Roman" w:cs="Times New Roman"/>
              </w:rPr>
              <w:fldChar w:fldCharType="begin"/>
            </w:r>
            <w:r>
              <w:rPr>
                <w:rFonts w:ascii="Times New Roman" w:hAnsi="Times New Roman" w:cs="Times New Roman"/>
              </w:rPr>
              <w:instrText xml:space="preserve"> ADDIN ZOTERO_ITEM CSL_CITATION {"citationID":"rXnTpfgF","properties":{"formattedCitation":"[21]","plainCitation":"[21]","noteIndex":0},"citationItems":[{"id":357,"uris":["http://zotero.org/users/6334244/items/XCNV789W"],"itemData":{"id":357,"type":"article-journal","container-title":"The Journal of Allergy and Clinical Immunology: In Practice","DOI":"10.1016/j.jaip.2023.11.041","ISSN":"22132198","issue":"3","journalAbbreviation":"The Journal of Allergy and Clinical Immunology: In Practice","language":"en","page":"753-761","source":"DOI.org (Crossref)","title":"Low Prevalence of Idiopathic Mast Cell Activation Syndrome Among 703 Patients With Suspected Mast Cell Disorders","volume":"12","author":[{"family":"Zaghmout","given":"Taleb"},{"family":"Maclachlan","given":"Laura"},{"family":"Bedi","given":"Nawfal"},{"family":"Gülen","given":"Theo"}],"issued":{"date-parts":[["2024",3]]}}}],"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[21]</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719342F6"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397CB87A"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4</w:t>
            </w:r>
            <w:r>
              <w:rPr>
                <w:rFonts w:ascii="Times New Roman" w:hAnsi="Times New Roman" w:cs="Times New Roman"/>
              </w:rPr>
              <w:t>.4</w:t>
            </w:r>
            <w:r w:rsidRPr="00E54CEF">
              <w:rPr>
                <w:rFonts w:ascii="Times New Roman" w:hAnsi="Times New Roman" w:cs="Times New Roman"/>
              </w:rPr>
              <w:t>%</w:t>
            </w:r>
          </w:p>
        </w:tc>
      </w:tr>
      <w:tr w:rsidR="003503DC" w:rsidRPr="006748DC" w14:paraId="2799B3BC" w14:textId="77777777" w:rsidTr="00E0113B">
        <w:trPr>
          <w:trHeight w:val="132"/>
        </w:trPr>
        <w:tc>
          <w:tcPr>
            <w:tcW w:w="3140" w:type="dxa"/>
            <w:tcBorders>
              <w:left w:val="single" w:sz="8" w:space="0" w:color="FFFFFF"/>
              <w:right w:val="single" w:sz="8" w:space="0" w:color="FFFFFF"/>
            </w:tcBorders>
            <w:tcMar>
              <w:top w:w="100" w:type="dxa"/>
              <w:left w:w="100" w:type="dxa"/>
              <w:bottom w:w="100" w:type="dxa"/>
              <w:right w:w="100" w:type="dxa"/>
            </w:tcMar>
            <w:vAlign w:val="center"/>
          </w:tcPr>
          <w:p w14:paraId="0FC8EFE2"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Chiari malformation</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2AA77D4E"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Sadler 2020</w:t>
            </w:r>
            <w:r>
              <w:rPr>
                <w:rFonts w:ascii="Times New Roman" w:hAnsi="Times New Roman" w:cs="Times New Roman"/>
              </w:rPr>
              <w:fldChar w:fldCharType="begin"/>
            </w:r>
            <w:r>
              <w:rPr>
                <w:rFonts w:ascii="Times New Roman" w:hAnsi="Times New Roman" w:cs="Times New Roman"/>
              </w:rPr>
              <w:instrText xml:space="preserve"> ADDIN ZOTERO_ITEM CSL_CITATION {"citationID":"GxwvMfq1","properties":{"formattedCitation":"[33]","plainCitation":"[33]","noteIndex":0},"citationItems":[{"id":359,"uris":["http://zotero.org/users/6334244/items/4VXLPCXB"],"itemData":{"id":359,"type":"article-journal","container-title":"Pediatric Neurology","DOI":"10.1016/j.pediatrneurol.2019.12.005","ISSN":"08878994","journalAbbreviation":"Pediatric Neurology","language":"en","page":"32-37","source":"DOI.org (Crossref)","title":"Prevalence and Impact of Underlying Diagnosis and Comorbidities on Chiari 1 Malformation","volume":"106","author":[{"family":"Sadler","given":"Brooke"},{"family":"Kuensting","given":"Timothy"},{"family":"Strahle","given":"Jennifer"},{"family":"Park","given":"Tae Sung"},{"family":"Smyth","given":"Matthew"},{"family":"Limbrick","given":"David D."},{"family":"Dobbs","given":"Matthew B."},{"family":"Haller","given":"Gabe"},{"family":"Gurnett","given":"Christina A."}],"issued":{"date-parts":[["2020",5]]}}}],"schema":"https://github.com/citation-style-language/schema/raw/master/csl-citation.json"}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[33]</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767EF442"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7F6D8524"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0.1%</w:t>
            </w:r>
          </w:p>
        </w:tc>
      </w:tr>
      <w:tr w:rsidR="003503DC" w:rsidRPr="006748DC" w14:paraId="7E828A35"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4E90FE4D"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Fibromyalgia</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2B78A2FF"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Arout</w:t>
            </w:r>
            <w:proofErr w:type="spellEnd"/>
            <w:r>
              <w:rPr>
                <w:rFonts w:ascii="Times New Roman" w:hAnsi="Times New Roman" w:cs="Times New Roman"/>
                <w:color w:val="000000" w:themeColor="text1"/>
              </w:rPr>
              <w:t xml:space="preserve"> 2018</w:t>
            </w:r>
            <w:r>
              <w:rPr>
                <w:rFonts w:ascii="Times New Roman" w:hAnsi="Times New Roman" w:cs="Times New Roman"/>
              </w:rPr>
              <w:fldChar w:fldCharType="begin"/>
            </w:r>
            <w:r>
              <w:rPr>
                <w:rFonts w:ascii="Times New Roman" w:hAnsi="Times New Roman" w:cs="Times New Roman"/>
              </w:rPr>
              <w:instrText xml:space="preserve"> ADDIN ZOTERO_ITEM CSL_CITATION {"citationID":"mIQdgcrS","properties":{"formattedCitation":"[34]","plainCitation":"[34]","noteIndex":0},"citationItems":[{"id":360,"uris":["http://zotero.org/users/6334244/items/DJ22BQ5K"],"itemData":{"id":360,"type":"article-journal","abstract":"Background:\n              Fibromyalgia is a poorly understood, chronically disabling pain syndrome. While research has focused on its clinical presentation and treatment, less is known about fibromyalgia's clinical epidemiology in real-world healthcare systems. Gender differences have been difficult to study because relatively few males are diagnosed with fibromyalgia.\n            \n            \n              Methods:\n              \n                Veterans Health Administration (VHA) patients diagnosed with fibromyalgia nationwide in FY 2012 were compared to Veterans with other pain diagnoses on sociodemographic characteristics, medical and psychiatric diagnoses, health service use, and opioid and psychotropic prescription fills. Additional analyses compared characteristics of men and women diagnosed with fibromyalgia. Risk ratios and Cohen's\n                d\n                were used for bivariate comparisons, followed by logistic regression analyses to identify independent factors associated with a diagnosis of fibromyalgia in the VHA.\n              \n            \n            \n              Results:\n              Altogether, 77,087 of 2,216,621 Veterans with pain diagnoses (3.48%) were diagnosed with fibromyalgia. They were more likely to be female, younger than patients with other pain conditions, more likely to have multiple psychiatric comorbidities and other types of pain, and used more medical outpatient services. Women diagnosed with fibromyalgia were younger and more likely to have headaches, connective tissue diseases (CTD), and psychiatric comorbidities, while men had more comorbid medical conditions.\n            \n            \n              Conclusions:\n              In this large, predominantly older male sample of Veterans with pain diagnoses, those with fibromyalgia were far more likely to be women. Gender comparisons showed women with fibromyalgia were more likely to be diagnosed with psychiatric disorders and CTD, while males were more likely to be diagnosed with medical conditions. Fibromyalgia shows a striking, gender-dependent picture of multimorbidity, which should be considered in treatment.","container-title":"Journal of Women's Health","DOI":"10.1089/jwh.2017.6622","ISSN":"1540-9996, 1931-843X","issue":"8","journalAbbreviation":"Journal of Women's Health","language":"en","page":"1035-1044","source":"DOI.org (Crossref)","title":"Gender Differences in the Prevalence of Fibromyalgia and in Concomitant Medical and Psychiatric Disorders: A National Veterans Health Administration Study","title-short":"Gender Differences in the Prevalence of Fibromyalgia and in Concomitant Medical and Psychiatric Disorders","volume":"27","author":[{"family":"Arout","given":"Caroline A."},{"family":"Sofuoglu","given":"Mehmet"},{"family":"Bastian","given":"Lori A."},{"family":"Rosenheck","given":"Robert A."}],"issued":{"date-parts":[["2018",8]]}}}],"schema":"https://github.com/citation-style-language/schema/raw/master/csl-citation.json"}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[34]</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4E11CE01"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1C18CD23"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2.4–6.8%</w:t>
            </w:r>
          </w:p>
        </w:tc>
      </w:tr>
      <w:tr w:rsidR="003503DC" w:rsidRPr="006748DC" w14:paraId="12C5CA87"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70FD12EE"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Celiac disea</w:t>
            </w:r>
            <w:r>
              <w:rPr>
                <w:rFonts w:ascii="Times New Roman" w:hAnsi="Times New Roman" w:cs="Times New Roman"/>
              </w:rPr>
              <w:t>se</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37CC2215"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Singh 2018</w:t>
            </w:r>
            <w:r>
              <w:rPr>
                <w:rFonts w:ascii="Times New Roman" w:hAnsi="Times New Roman" w:cs="Times New Roman"/>
              </w:rPr>
              <w:fldChar w:fldCharType="begin"/>
            </w:r>
            <w:r>
              <w:rPr>
                <w:rFonts w:ascii="Times New Roman" w:hAnsi="Times New Roman" w:cs="Times New Roman"/>
              </w:rPr>
              <w:instrText xml:space="preserve"> ADDIN ZOTERO_ITEM CSL_CITATION {"citationID":"qMi287Dh","properties":{"formattedCitation":"[19]","plainCitation":"[19]","noteIndex":0},"citationItems":[{"id":314,"uris":["http://zotero.org/users/6334244/items/6MB7FIE2"],"itemData":{"id":314,"type":"article-journal","container-title":"Clinical Gastroenterology and Hepatology","DOI":"10.1016/j.cgh.2017.06.037","ISSN":"15423565","issue":"6","journalAbbreviation":"Clinical Gastroenterology and Hepatology","language":"en","page":"823-836.e2","source":"DOI.org (Crossref)","title":"Global Prevalence of Celiac Disease: Systematic Review and Meta-analysis","title-short":"Global Prevalence of Celiac Disease","volume":"16","author":[{"family":"Singh","given":"Prashant"},{"family":"Arora","given":"Ananya"},{"family":"Strand","given":"Tor A."},{"family":"Leffler","given":"Daniel A."},{"family":"Catassi","given":"Carlo"},{"family":"Green","given":"Peter H."},{"family":"Kelly","given":"Ciaran P."},{"family":"Ahuja","given":"Vineet"},{"family":"Makharia","given":"Govind K."}],"issued":{"date-parts":[["2018",6]]}}}],"schema":"https://github.com/citation-style-language/schema/raw/master/csl-citation.json"}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[19]</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2D444F94"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30ADB356"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sidRPr="00E54CEF">
              <w:rPr>
                <w:rFonts w:ascii="Times New Roman" w:hAnsi="Times New Roman" w:cs="Times New Roman"/>
              </w:rPr>
              <w:t>0.5%</w:t>
            </w:r>
          </w:p>
        </w:tc>
      </w:tr>
      <w:tr w:rsidR="003503DC" w:rsidRPr="006748DC" w14:paraId="68126266"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48F7602E"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Raynaud's phenomenon</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553194F5"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Haque and Hughes 2020</w:t>
            </w:r>
            <w:r>
              <w:rPr>
                <w:rFonts w:ascii="Times New Roman" w:hAnsi="Times New Roman" w:cs="Times New Roman"/>
              </w:rPr>
              <w:fldChar w:fldCharType="begin"/>
            </w:r>
            <w:r>
              <w:rPr>
                <w:rFonts w:ascii="Times New Roman" w:hAnsi="Times New Roman" w:cs="Times New Roman"/>
              </w:rPr>
              <w:instrText xml:space="preserve"> ADDIN ZOTERO_ITEM CSL_CITATION {"citationID":"LncDHotR","properties":{"formattedCitation":"[35]","plainCitation":"[35]","noteIndex":0},"citationItems":[{"id":362,"uris":["http://zotero.org/users/6334244/items/28QYZVS2"],"itemData":{"id":362,"type":"article-journal","container-title":"Clinical Medicine","DOI":"10.7861/clinmed.2020-0754","ISSN":"14702118","issue":"6","journalAbbreviation":"Clinical Medicine","language":"en","page":"580-587","source":"DOI.org (Crossref)","title":"Raynaud's phenomenon","volume":"20","author":[{"family":"Haque","given":"Ashraful"},{"family":"Hughes","given":"Michael"}],"issued":{"date-parts":[["2020",11]]}}}],"schema":"https://github.com/citation-style-language/schema/raw/master/csl-citation.json"}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[35]</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6A2C6972"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44D63093"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rPr>
              <w:t>2-20</w:t>
            </w:r>
            <w:r w:rsidRPr="00E54CEF">
              <w:rPr>
                <w:rFonts w:ascii="Times New Roman" w:hAnsi="Times New Roman" w:cs="Times New Roman"/>
              </w:rPr>
              <w:t>%</w:t>
            </w:r>
          </w:p>
        </w:tc>
      </w:tr>
      <w:tr w:rsidR="003503DC" w:rsidRPr="006748DC" w14:paraId="63988CFA"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2455CB95"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Rheumatoid arthritis</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0A6FD585"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Venetsanopoulou</w:t>
            </w:r>
            <w:proofErr w:type="spellEnd"/>
            <w:r>
              <w:rPr>
                <w:rFonts w:ascii="Times New Roman" w:hAnsi="Times New Roman" w:cs="Times New Roman"/>
                <w:color w:val="000000" w:themeColor="text1"/>
              </w:rPr>
              <w:t xml:space="preserve"> 2023</w:t>
            </w:r>
            <w:r>
              <w:rPr>
                <w:rFonts w:ascii="Times New Roman" w:hAnsi="Times New Roman" w:cs="Times New Roman"/>
              </w:rPr>
              <w:fldChar w:fldCharType="begin"/>
            </w:r>
            <w:r>
              <w:rPr>
                <w:rFonts w:ascii="Times New Roman" w:hAnsi="Times New Roman" w:cs="Times New Roman"/>
              </w:rPr>
              <w:instrText xml:space="preserve"> ADDIN ZOTERO_ITEM CSL_CITATION {"citationID":"LE4zD446","properties":{"formattedCitation":"[36]","plainCitation":"[36]","noteIndex":0},"citationItems":[{"id":368,"uris":["http://zotero.org/users/6334244/items/RMYUEAY5"],"itemData":{"id":368,"type":"article-journal","container-title":"Mediterranean Journal of Rheumatology","DOI":"10.31138/mjr.301223.eaf","ISSN":"2529-198X","issue":"4","journalAbbreviation":"MJR","language":"en","page":"404","source":"DOI.org (Crossref)","title":"Epidemiology and Risk Factors for Rheumatoid Arthritis Development","volume":"34","author":[{"family":"Venetsanopoulou","given":"Aliki I."},{"family":"Alamanos","given":"Yannis"},{"family":"Voulgari","given":"Paraskevi V."},{"family":"Drosos","given":"Alexandros A."}],"issued":{"date-parts":[["2023",12]]}}}],"schema":"https://github.com/citation-style-language/schema/raw/master/csl-citation.json"}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[36]</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7F5F003E"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 + 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7A993BD0"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rPr>
              <w:t>0.5-1</w:t>
            </w:r>
            <w:r w:rsidRPr="00E54CEF">
              <w:rPr>
                <w:rFonts w:ascii="Times New Roman" w:hAnsi="Times New Roman" w:cs="Times New Roman"/>
              </w:rPr>
              <w:t>%</w:t>
            </w:r>
          </w:p>
        </w:tc>
      </w:tr>
      <w:tr w:rsidR="003503DC" w:rsidRPr="006748DC" w14:paraId="7230C0D2"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6E653ABE" w14:textId="77777777" w:rsidR="003503DC" w:rsidRPr="00E54CEF" w:rsidRDefault="003503DC" w:rsidP="00E0113B">
            <w:pPr>
              <w:widowControl w:val="0"/>
              <w:spacing w:line="276" w:lineRule="auto"/>
              <w:jc w:val="center"/>
              <w:rPr>
                <w:rFonts w:ascii="Times New Roman" w:hAnsi="Times New Roman" w:cs="Times New Roman"/>
              </w:rPr>
            </w:pPr>
            <w:r>
              <w:rPr>
                <w:rFonts w:ascii="Times New Roman" w:hAnsi="Times New Roman" w:cs="Times New Roman"/>
              </w:rPr>
              <w:t>PCOS</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3C8B88C1"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Wang 2025</w:t>
            </w:r>
            <w:r>
              <w:rPr>
                <w:rFonts w:ascii="Times New Roman" w:hAnsi="Times New Roman" w:cs="Times New Roman"/>
              </w:rPr>
              <w:fldChar w:fldCharType="begin"/>
            </w:r>
            <w:r>
              <w:rPr>
                <w:rFonts w:ascii="Times New Roman" w:hAnsi="Times New Roman" w:cs="Times New Roman"/>
              </w:rPr>
              <w:instrText xml:space="preserve"> ADDIN ZOTERO_ITEM CSL_CITATION {"citationID":"TFQIirBr","properties":{"formattedCitation":"[37]","plainCitation":"[37]","noteIndex":0},"citationItems":[{"id":365,"uris":["http://zotero.org/users/6334244/items/92AE7LF9"],"itemData":{"id":365,"type":"article-journal","abstract":"Background\n              Polycystic Ovary Syndrome (PCOS) is a common endocrine disorder affecting adolescent and young adult females, yet global data on its burden and trends remains limited.\n            \n            \n              Methods\n              We analyzed data from the Global Burden of Disease Study 2021 for females aged 10–24 years in 204 countries (1990-2021). Metrics included cases, age-standardized incidence (ASIR), prevalence (ASPR), disability-adjusted life years (ASDR), and average annual percentage changes (AAPCs). Future trends (2022-2036) and disease reduction gaps were assessed.\n            \n            \n              Results\n              From 1990 to 2021, global PCOS cases increased by 56% (incidence), 59% (prevalence), and 58% (DALYs). ASIR rose from 49.45 to 63.26 per 100,000, with an AAPC of 0.8. Southeast Asia, East Asia, and Oceania had the fastest growth, while high-SDI regions bore the highest burden. Girls aged 10–14 showed the steepest age-specific increase. Nationally, the largest increases occurred in Equatorial Guinea, Maldives, and Myanmar, while Italy saw a decline. Forecasts through 2036 indicate continued increases in ASIR (+8.32%), ASPR (+10.87%), and ASDR (+10.39%). Frontier analysis highlighted unachieved reduction potential, especially in high-SDI countries.\n            \n            \n              Conclusions\n              PCOS burden among adolescents and young adults has significantly risen globally with disparities by region, SDI, and age, warranting urgent and equitable public health strategies.","container-title":"Frontiers in Endocrinology","DOI":"10.3389/fendo.2025.1569694","ISSN":"1664-2392","journalAbbreviation":"Front. Endocrinol.","page":"1569694","source":"DOI.org (Crossref)","title":"Evolving global trends in PCOS burden: a three-decade analysis (1990–2021) with projections to 2036 among adolescents and young adults","title-short":"Evolving global trends in PCOS burden","volume":"16","author":[{"family":"Wang","given":"Jiameng"},{"family":"Wang","given":"Boyu"},{"family":"Li","given":"Chengjia"},{"family":"Meng","given":"Tianwei"},{"family":"Liu","given":"Changxing"},{"family":"Chen","given":"Jia"},{"family":"Guo","given":"Ying"}],"issued":{"date-parts":[["2025",5,12]]}}}],"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[37]</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500A2629"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3066C8C3"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rPr>
              <w:t>11</w:t>
            </w:r>
            <w:r w:rsidRPr="00E54CEF">
              <w:rPr>
                <w:rFonts w:ascii="Times New Roman" w:hAnsi="Times New Roman" w:cs="Times New Roman"/>
              </w:rPr>
              <w:t>–13%</w:t>
            </w:r>
          </w:p>
        </w:tc>
      </w:tr>
      <w:tr w:rsidR="003503DC" w:rsidRPr="006748DC" w14:paraId="1E9BBE2A" w14:textId="77777777" w:rsidTr="00E0113B">
        <w:tc>
          <w:tcPr>
            <w:tcW w:w="3140" w:type="dxa"/>
            <w:tcBorders>
              <w:left w:val="single" w:sz="8" w:space="0" w:color="FFFFFF"/>
              <w:right w:val="single" w:sz="8" w:space="0" w:color="FFFFFF"/>
            </w:tcBorders>
            <w:tcMar>
              <w:top w:w="100" w:type="dxa"/>
              <w:left w:w="100" w:type="dxa"/>
              <w:bottom w:w="100" w:type="dxa"/>
              <w:right w:w="100" w:type="dxa"/>
            </w:tcMar>
            <w:vAlign w:val="center"/>
          </w:tcPr>
          <w:p w14:paraId="53622C47" w14:textId="77777777" w:rsidR="003503DC" w:rsidRPr="00E54CEF" w:rsidRDefault="003503DC" w:rsidP="00E0113B">
            <w:pPr>
              <w:widowControl w:val="0"/>
              <w:spacing w:line="276" w:lineRule="auto"/>
              <w:jc w:val="center"/>
              <w:rPr>
                <w:rFonts w:ascii="Times New Roman" w:hAnsi="Times New Roman" w:cs="Times New Roman"/>
              </w:rPr>
            </w:pPr>
            <w:r w:rsidRPr="00E54CEF">
              <w:rPr>
                <w:rFonts w:ascii="Times New Roman" w:hAnsi="Times New Roman" w:cs="Times New Roman"/>
              </w:rPr>
              <w:t>Hashimoto's thyroiditis</w:t>
            </w:r>
          </w:p>
        </w:tc>
        <w:tc>
          <w:tcPr>
            <w:tcW w:w="2610" w:type="dxa"/>
            <w:tcBorders>
              <w:left w:val="single" w:sz="8" w:space="0" w:color="FFFFFF"/>
              <w:right w:val="single" w:sz="8" w:space="0" w:color="FFFFFF"/>
            </w:tcBorders>
            <w:tcMar>
              <w:top w:w="100" w:type="dxa"/>
              <w:left w:w="100" w:type="dxa"/>
              <w:bottom w:w="100" w:type="dxa"/>
              <w:right w:w="100" w:type="dxa"/>
            </w:tcMar>
            <w:vAlign w:val="center"/>
          </w:tcPr>
          <w:p w14:paraId="78498086"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Hu 2022</w:t>
            </w:r>
            <w:r>
              <w:rPr>
                <w:rFonts w:ascii="Times New Roman" w:hAnsi="Times New Roman" w:cs="Times New Roman"/>
              </w:rPr>
              <w:fldChar w:fldCharType="begin"/>
            </w:r>
            <w:r>
              <w:rPr>
                <w:rFonts w:ascii="Times New Roman" w:hAnsi="Times New Roman" w:cs="Times New Roman"/>
              </w:rPr>
              <w:instrText xml:space="preserve"> ADDIN ZOTERO_ITEM CSL_CITATION {"citationID":"Jy2Rd202","properties":{"formattedCitation":"[38]","plainCitation":"[38]","noteIndex":0},"citationItems":[{"id":366,"uris":["http://zotero.org/users/6334244/items/3SCREEI4"],"itemData":{"id":366,"type":"article-journal","abstract":"Objective\n              Although Hashimoto's thyroiditis is associated with cardiovascular disease and malignancy, the global status of Hashimoto's thyroiditis is not well characterized across regions. Our objective was to evaluate the prevalence and trends of Hashimoto's thyroiditis in adults in regions with different economic income levels around the world.\n            \n            \n              Methods\n              For this systematic review and meta-analysis, we searched PubMed, Embase, MEDLINE, Scopus, and Web of Science databases, and 48 random-effects representative studies from the inception to June 2022 were included without language restrictions to obtain the overall prevalence of Hashimoto's thyroiditis in adults worldwide. In addition, we stratified by time of publication, geographic region, economic level of the region of residence, gender, diagnostic method, etc.\n            \n            \n              Results\n              \n                A total of 11,399 studies were retrieved, of which 48 met the research criteria: 20 from Europe, 16 from Asia, five from South America, three from North America, and three from Africa. Furthermore, there are two projects involving 19 countries and 22,680,155 participants. The prevalence of Hashimoto's thyroiditis was 7.5 (95%CI 5.7–9.6%), while in the low-middle-income group the prevalence was 11.4 (95%CI 2.5–25.2%). Similarly, the prevalence was 5.6 (95%Cl 3.9–7.4%) in the upper-middle-income group, and in the high-income group, the prevalence was 8.4 (95%Cl 5.6–11.8). The prevalence of Hashimoto's varied by geographic region: Africa (14.2 [95% CI 2.5–32.9%]), Oceania (11.0% [95% CI 7.8–14.7%]), South America and Europe 8.0, 7.8% (95% Cl 0.0–29.5%) in North America, and 5.8 (95% Cl 2.8–9.9%) in Asia. Although our investigator heterogeneity was high (I\n                2\n                ), our results using a sensitivity analysis showed robustness and reliability of the findings. People living in low-middle-income areas are more likely to develop Hashimoto's thyroiditis, while the group in high-income areas are more likely to develop Hashimoto's thyroiditis than people in upper-middle-income areas, and women's risk is about four times higher than men's.\n              \n            \n            \n              Conclusions\n              Global Hashimoto's thyroiditis patients are about four times as many as males, and there are discrepancies in the regions with different economic levels. In low-middle-income areas with a higher prevalence of Hashimoto's thyroiditis, especially countries in Africa, therefore local health departments should take strategic measures to prevent, detect, and treat Hashimoto's thyroiditis. At the same time, the hidden medical burden other diseases caused by Hashimoto's thyroiditis should also be done well.\n            \n            \n              Systematic review registration\n              \n                https://www.crd.york.ac.uk/prospero/\n                , identifier: CRD 42022339839.","container-title":"Frontiers in Public Health","DOI":"10.3389/fpubh.2022.1020709","ISSN":"2296-2565","journalAbbreviation":"Front. Public Health","page":"1020709","source":"DOI.org (Crossref)","title":"Global prevalence and epidemiological trends of Hashimoto's thyroiditis in adults: A systematic review and meta-analysis","title-short":"Global prevalence and epidemiological trends of Hashimoto's thyroiditis in adults","volume":"10","author":[{"family":"Hu","given":"Xiaojie"},{"family":"Chen","given":"Yuquan"},{"family":"Shen","given":"Yiting"},{"family":"Tian","given":"Rui"},{"family":"Sheng","given":"Yuqin"},{"family":"Que","given":"Huafa"}],"issued":{"date-parts":[["2022",10,13]]}}}],"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[38]</w:t>
            </w:r>
            <w:r>
              <w:rPr>
                <w:rFonts w:ascii="Times New Roman" w:hAnsi="Times New Roman" w:cs="Times New Roman"/>
              </w:rPr>
              <w:fldChar w:fldCharType="end"/>
            </w:r>
          </w:p>
        </w:tc>
        <w:tc>
          <w:tcPr>
            <w:tcW w:w="1890" w:type="dxa"/>
            <w:tcBorders>
              <w:left w:val="single" w:sz="8" w:space="0" w:color="FFFFFF"/>
              <w:right w:val="single" w:sz="8" w:space="0" w:color="FFFFFF"/>
            </w:tcBorders>
            <w:tcMar>
              <w:top w:w="100" w:type="dxa"/>
              <w:left w:w="100" w:type="dxa"/>
              <w:bottom w:w="100" w:type="dxa"/>
              <w:right w:w="100" w:type="dxa"/>
            </w:tcMar>
            <w:vAlign w:val="center"/>
          </w:tcPr>
          <w:p w14:paraId="36D481A0"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color w:val="000000" w:themeColor="text1"/>
              </w:rPr>
              <w:t>Women</w:t>
            </w:r>
          </w:p>
        </w:tc>
        <w:tc>
          <w:tcPr>
            <w:tcW w:w="1720" w:type="dxa"/>
            <w:tcBorders>
              <w:left w:val="single" w:sz="8" w:space="0" w:color="FFFFFF"/>
              <w:right w:val="single" w:sz="8" w:space="0" w:color="FFFFFF"/>
            </w:tcBorders>
            <w:tcMar>
              <w:top w:w="100" w:type="dxa"/>
              <w:left w:w="100" w:type="dxa"/>
              <w:bottom w:w="100" w:type="dxa"/>
              <w:right w:w="100" w:type="dxa"/>
            </w:tcMar>
            <w:vAlign w:val="center"/>
          </w:tcPr>
          <w:p w14:paraId="117DB52A" w14:textId="77777777" w:rsidR="003503DC" w:rsidRPr="006748DC" w:rsidRDefault="003503DC" w:rsidP="00E0113B">
            <w:pPr>
              <w:widowControl w:val="0"/>
              <w:spacing w:line="276" w:lineRule="auto"/>
              <w:jc w:val="center"/>
              <w:rPr>
                <w:rFonts w:ascii="Times New Roman" w:hAnsi="Times New Roman" w:cs="Times New Roman"/>
                <w:color w:val="000000" w:themeColor="text1"/>
              </w:rPr>
            </w:pPr>
            <w:r>
              <w:rPr>
                <w:rFonts w:ascii="Times New Roman" w:hAnsi="Times New Roman" w:cs="Times New Roman"/>
              </w:rPr>
              <w:t>17.5</w:t>
            </w:r>
            <w:r w:rsidRPr="00E54CEF">
              <w:rPr>
                <w:rFonts w:ascii="Times New Roman" w:hAnsi="Times New Roman" w:cs="Times New Roman"/>
              </w:rPr>
              <w:t>%</w:t>
            </w:r>
          </w:p>
        </w:tc>
      </w:tr>
    </w:tbl>
    <w:p w14:paraId="57DB03AF" w14:textId="77777777" w:rsidR="003503DC" w:rsidRPr="00E54CEF" w:rsidRDefault="003503DC" w:rsidP="003503DC">
      <w:pPr>
        <w:pStyle w:val="Bibliography"/>
        <w:rPr>
          <w:rFonts w:ascii="Times New Roman" w:hAnsi="Times New Roman" w:cs="Times New Roman"/>
        </w:rPr>
      </w:pPr>
    </w:p>
    <w:p w14:paraId="082933C8" w14:textId="77777777" w:rsidR="003503DC" w:rsidRDefault="003503DC" w:rsidP="003503DC"/>
    <w:p w14:paraId="483287C2" w14:textId="77777777" w:rsidR="00767E38" w:rsidRDefault="00767E38"/>
    <w:sectPr w:rsidR="00767E38" w:rsidSect="003503DC">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3DC"/>
    <w:rsid w:val="003503DC"/>
    <w:rsid w:val="00767E38"/>
    <w:rsid w:val="00866F7D"/>
    <w:rsid w:val="00C830A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F0990"/>
  <w15:chartTrackingRefBased/>
  <w15:docId w15:val="{7B4A351E-3972-4003-9728-B4D47F0A7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3DC"/>
    <w:rPr>
      <w:lang w:val="en-US"/>
    </w:rPr>
  </w:style>
  <w:style w:type="paragraph" w:styleId="Heading1">
    <w:name w:val="heading 1"/>
    <w:basedOn w:val="Normal"/>
    <w:next w:val="Normal"/>
    <w:link w:val="Heading1Char"/>
    <w:uiPriority w:val="9"/>
    <w:qFormat/>
    <w:rsid w:val="003503DC"/>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3503DC"/>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3503DC"/>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3503DC"/>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3503DC"/>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3503DC"/>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3503DC"/>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3503DC"/>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3503DC"/>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03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03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03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03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03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0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0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0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03DC"/>
    <w:rPr>
      <w:rFonts w:eastAsiaTheme="majorEastAsia" w:cstheme="majorBidi"/>
      <w:color w:val="272727" w:themeColor="text1" w:themeTint="D8"/>
    </w:rPr>
  </w:style>
  <w:style w:type="paragraph" w:styleId="Title">
    <w:name w:val="Title"/>
    <w:basedOn w:val="Normal"/>
    <w:next w:val="Normal"/>
    <w:link w:val="TitleChar"/>
    <w:uiPriority w:val="10"/>
    <w:qFormat/>
    <w:rsid w:val="003503DC"/>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350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03DC"/>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350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03DC"/>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3503DC"/>
    <w:rPr>
      <w:i/>
      <w:iCs/>
      <w:color w:val="404040" w:themeColor="text1" w:themeTint="BF"/>
    </w:rPr>
  </w:style>
  <w:style w:type="paragraph" w:styleId="ListParagraph">
    <w:name w:val="List Paragraph"/>
    <w:basedOn w:val="Normal"/>
    <w:uiPriority w:val="34"/>
    <w:qFormat/>
    <w:rsid w:val="003503DC"/>
    <w:pPr>
      <w:ind w:left="720"/>
      <w:contextualSpacing/>
    </w:pPr>
    <w:rPr>
      <w:lang w:val="en-IN"/>
    </w:rPr>
  </w:style>
  <w:style w:type="character" w:styleId="IntenseEmphasis">
    <w:name w:val="Intense Emphasis"/>
    <w:basedOn w:val="DefaultParagraphFont"/>
    <w:uiPriority w:val="21"/>
    <w:qFormat/>
    <w:rsid w:val="003503DC"/>
    <w:rPr>
      <w:i/>
      <w:iCs/>
      <w:color w:val="0F4761" w:themeColor="accent1" w:themeShade="BF"/>
    </w:rPr>
  </w:style>
  <w:style w:type="paragraph" w:styleId="IntenseQuote">
    <w:name w:val="Intense Quote"/>
    <w:basedOn w:val="Normal"/>
    <w:next w:val="Normal"/>
    <w:link w:val="IntenseQuoteChar"/>
    <w:uiPriority w:val="30"/>
    <w:qFormat/>
    <w:rsid w:val="00350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3503DC"/>
    <w:rPr>
      <w:i/>
      <w:iCs/>
      <w:color w:val="0F4761" w:themeColor="accent1" w:themeShade="BF"/>
    </w:rPr>
  </w:style>
  <w:style w:type="character" w:styleId="IntenseReference">
    <w:name w:val="Intense Reference"/>
    <w:basedOn w:val="DefaultParagraphFont"/>
    <w:uiPriority w:val="32"/>
    <w:qFormat/>
    <w:rsid w:val="003503DC"/>
    <w:rPr>
      <w:b/>
      <w:bCs/>
      <w:smallCaps/>
      <w:color w:val="0F4761" w:themeColor="accent1" w:themeShade="BF"/>
      <w:spacing w:val="5"/>
    </w:rPr>
  </w:style>
  <w:style w:type="paragraph" w:styleId="Bibliography">
    <w:name w:val="Bibliography"/>
    <w:basedOn w:val="Normal"/>
    <w:next w:val="Normal"/>
    <w:uiPriority w:val="37"/>
    <w:unhideWhenUsed/>
    <w:rsid w:val="003503DC"/>
    <w:pPr>
      <w:tabs>
        <w:tab w:val="left" w:pos="500"/>
      </w:tabs>
      <w:spacing w:after="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3891</Words>
  <Characters>22181</Characters>
  <Application>Microsoft Office Word</Application>
  <DocSecurity>0</DocSecurity>
  <Lines>184</Lines>
  <Paragraphs>52</Paragraphs>
  <ScaleCrop>false</ScaleCrop>
  <Company/>
  <LinksUpToDate>false</LinksUpToDate>
  <CharactersWithSpaces>26020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2026-03-23T16:58:00Z</dcterms:created>
  <dcterms:modified xsi:type="dcterms:W3CDTF">2026-03-23T16:58:00Z</dcterms:modified>
</cp:coreProperties>
</file>