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26B5" w:rsidRDefault="002E26B5" w:rsidP="002E26B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6E7B"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B26E7B"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B26E7B">
        <w:rPr>
          <w:rFonts w:ascii="Times New Roman" w:hAnsi="Times New Roman" w:cs="Times New Roman"/>
          <w:sz w:val="24"/>
          <w:szCs w:val="24"/>
        </w:rPr>
        <w:t>nivariate and multivariate</w:t>
      </w:r>
      <w:r>
        <w:rPr>
          <w:rFonts w:ascii="Times New Roman" w:hAnsi="Times New Roman" w:cs="Times New Roman"/>
          <w:sz w:val="24"/>
          <w:szCs w:val="24"/>
        </w:rPr>
        <w:t xml:space="preserve"> Cox proportional hazard analysis for progression-free survival in patients harboring epidermal growth factor receptor mutation and received tyrosine kinase inhibitors</w:t>
      </w:r>
      <w:r w:rsidRPr="00B26E7B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pPr w:leftFromText="142" w:rightFromText="142" w:horzAnchor="margin" w:tblpXSpec="center" w:tblpY="1080"/>
        <w:tblW w:w="1385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387"/>
        <w:gridCol w:w="2447"/>
        <w:gridCol w:w="1086"/>
        <w:gridCol w:w="2166"/>
        <w:gridCol w:w="1086"/>
        <w:gridCol w:w="134"/>
        <w:gridCol w:w="136"/>
        <w:gridCol w:w="72"/>
        <w:gridCol w:w="2234"/>
        <w:gridCol w:w="1109"/>
      </w:tblGrid>
      <w:tr w:rsidR="002E26B5" w:rsidRPr="00AE06AE" w:rsidTr="00E217E2">
        <w:trPr>
          <w:trHeight w:val="467"/>
        </w:trPr>
        <w:tc>
          <w:tcPr>
            <w:tcW w:w="33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3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Univariate</w:t>
            </w:r>
          </w:p>
        </w:tc>
        <w:tc>
          <w:tcPr>
            <w:tcW w:w="6937" w:type="dxa"/>
            <w:gridSpan w:val="7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Multivariate</w:t>
            </w:r>
          </w:p>
        </w:tc>
      </w:tr>
      <w:tr w:rsidR="002E26B5" w:rsidRPr="00AE06AE" w:rsidTr="00E217E2">
        <w:trPr>
          <w:trHeight w:val="467"/>
        </w:trPr>
        <w:tc>
          <w:tcPr>
            <w:tcW w:w="3387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33" w:type="dxa"/>
            <w:gridSpan w:val="2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5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Model-1</w:t>
            </w:r>
          </w:p>
        </w:tc>
        <w:tc>
          <w:tcPr>
            <w:tcW w:w="270" w:type="dxa"/>
            <w:gridSpan w:val="2"/>
            <w:shd w:val="clear" w:color="auto" w:fill="auto"/>
            <w:vAlign w:val="center"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15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Model-2</w:t>
            </w:r>
          </w:p>
        </w:tc>
      </w:tr>
      <w:tr w:rsidR="002E26B5" w:rsidRPr="00AE06AE" w:rsidTr="00E217E2">
        <w:trPr>
          <w:trHeight w:val="467"/>
        </w:trPr>
        <w:tc>
          <w:tcPr>
            <w:tcW w:w="338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HR (95% CI)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HR (95% CI)</w:t>
            </w:r>
          </w:p>
        </w:tc>
        <w:tc>
          <w:tcPr>
            <w:tcW w:w="12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20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HR (95% CI)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</w:tr>
      <w:tr w:rsidR="002E26B5" w:rsidRPr="00AE06AE" w:rsidTr="00E217E2">
        <w:trPr>
          <w:trHeight w:val="467"/>
        </w:trPr>
        <w:tc>
          <w:tcPr>
            <w:tcW w:w="33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Body mass index</w:t>
            </w:r>
          </w:p>
        </w:tc>
        <w:tc>
          <w:tcPr>
            <w:tcW w:w="24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0.970 (0.938</w:t>
            </w:r>
            <w:r w:rsidRPr="00E40ACA"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1.003)</w:t>
            </w:r>
          </w:p>
        </w:tc>
        <w:tc>
          <w:tcPr>
            <w:tcW w:w="10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0.072</w:t>
            </w:r>
          </w:p>
        </w:tc>
        <w:tc>
          <w:tcPr>
            <w:tcW w:w="21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0.963 (0.932</w:t>
            </w:r>
            <w:r w:rsidRPr="00E40ACA"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0.994)</w:t>
            </w:r>
          </w:p>
        </w:tc>
        <w:tc>
          <w:tcPr>
            <w:tcW w:w="122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0.021</w:t>
            </w:r>
          </w:p>
        </w:tc>
        <w:tc>
          <w:tcPr>
            <w:tcW w:w="20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0.962 (0.932</w:t>
            </w:r>
            <w:r w:rsidRPr="00E40ACA"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0.994)</w:t>
            </w:r>
          </w:p>
        </w:tc>
        <w:tc>
          <w:tcPr>
            <w:tcW w:w="11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2E26B5" w:rsidRPr="00AE06AE" w:rsidTr="00E217E2">
        <w:trPr>
          <w:trHeight w:val="467"/>
        </w:trPr>
        <w:tc>
          <w:tcPr>
            <w:tcW w:w="3387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Smoking status</w:t>
            </w:r>
          </w:p>
        </w:tc>
        <w:tc>
          <w:tcPr>
            <w:tcW w:w="2447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1.171 (0.976</w:t>
            </w:r>
            <w:r w:rsidRPr="00E40ACA"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1.405)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166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8" w:type="dxa"/>
            <w:gridSpan w:val="2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2E26B5" w:rsidRPr="00AE06AE" w:rsidTr="00E217E2">
        <w:trPr>
          <w:trHeight w:val="467"/>
        </w:trPr>
        <w:tc>
          <w:tcPr>
            <w:tcW w:w="3387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Mutation types</w:t>
            </w:r>
          </w:p>
        </w:tc>
        <w:tc>
          <w:tcPr>
            <w:tcW w:w="2447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1.373 (1.142</w:t>
            </w:r>
            <w:r w:rsidRPr="00E40ACA"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1.650)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2166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2.806 (1.850</w:t>
            </w:r>
            <w:r w:rsidRPr="00E40ACA"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4.255)</w:t>
            </w:r>
          </w:p>
        </w:tc>
        <w:tc>
          <w:tcPr>
            <w:tcW w:w="1220" w:type="dxa"/>
            <w:gridSpan w:val="2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8" w:type="dxa"/>
            <w:gridSpan w:val="2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2E26B5" w:rsidRPr="00AE06AE" w:rsidTr="00E217E2">
        <w:trPr>
          <w:trHeight w:val="467"/>
        </w:trPr>
        <w:tc>
          <w:tcPr>
            <w:tcW w:w="3387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Uncommon vs. classical</w:t>
            </w:r>
          </w:p>
        </w:tc>
        <w:tc>
          <w:tcPr>
            <w:tcW w:w="2447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2.147 (1.457</w:t>
            </w:r>
            <w:r w:rsidRPr="00E40ACA"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3.165)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166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8" w:type="dxa"/>
            <w:gridSpan w:val="2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2.553 (1.715</w:t>
            </w:r>
            <w:r w:rsidRPr="00E40ACA"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3.802)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2E26B5" w:rsidRPr="00AE06AE" w:rsidTr="00E217E2">
        <w:trPr>
          <w:trHeight w:val="467"/>
        </w:trPr>
        <w:tc>
          <w:tcPr>
            <w:tcW w:w="3387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EGFR TKIs</w:t>
            </w:r>
          </w:p>
        </w:tc>
        <w:tc>
          <w:tcPr>
            <w:tcW w:w="2447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0.812 (0.703</w:t>
            </w:r>
            <w:r w:rsidRPr="00E40ACA"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0.938)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0.005</w:t>
            </w:r>
          </w:p>
        </w:tc>
        <w:tc>
          <w:tcPr>
            <w:tcW w:w="2166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8" w:type="dxa"/>
            <w:gridSpan w:val="2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2E26B5" w:rsidRPr="00AE06AE" w:rsidTr="00E217E2">
        <w:trPr>
          <w:trHeight w:val="467"/>
        </w:trPr>
        <w:tc>
          <w:tcPr>
            <w:tcW w:w="3387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Afatinib</w:t>
            </w:r>
            <w:proofErr w:type="spellEnd"/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vs. 1st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generation </w:t>
            </w: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TKIs</w:t>
            </w:r>
          </w:p>
        </w:tc>
        <w:tc>
          <w:tcPr>
            <w:tcW w:w="2447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0.722 (0.552</w:t>
            </w:r>
            <w:r w:rsidRPr="00E40ACA"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0.943)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0.017</w:t>
            </w:r>
          </w:p>
        </w:tc>
        <w:tc>
          <w:tcPr>
            <w:tcW w:w="2166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8" w:type="dxa"/>
            <w:gridSpan w:val="2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2E26B5" w:rsidRPr="00AE06AE" w:rsidTr="00E217E2">
        <w:trPr>
          <w:trHeight w:val="467"/>
        </w:trPr>
        <w:tc>
          <w:tcPr>
            <w:tcW w:w="338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Line of treatment</w:t>
            </w:r>
          </w:p>
        </w:tc>
        <w:tc>
          <w:tcPr>
            <w:tcW w:w="24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1.474 (1.174</w:t>
            </w:r>
            <w:r w:rsidRPr="00E40ACA"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1.853)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21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6B5" w:rsidRPr="00AE06AE" w:rsidRDefault="002E26B5" w:rsidP="00E217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6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2E26B5" w:rsidRPr="00F66C2C" w:rsidRDefault="002E26B5" w:rsidP="002E26B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HR, hazard ratio; CI, confidence interval; EGFR, epidermal growth factor receptor; TKIs, tyrosine kinase inhibitors</w:t>
      </w:r>
    </w:p>
    <w:p w:rsidR="002E26B5" w:rsidRPr="00257210" w:rsidRDefault="002E26B5" w:rsidP="002E26B5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Model-1 included</w:t>
      </w:r>
      <w:r>
        <w:rPr>
          <w:rFonts w:ascii="Times New Roman" w:hAnsi="Times New Roman" w:cs="Times New Roman"/>
          <w:sz w:val="24"/>
          <w:szCs w:val="24"/>
        </w:rPr>
        <w:t xml:space="preserve"> body mass index, smoking status, mutation types, epidermal growth factor receptor tyrosine kinase inhibitors, and line of treatment. The Model-2 included body mass index, smoking status, uncommon mutations versus classical mutations, epidermal growth factor receptor tyrosine kinase inhibitors, and ling of treatment.</w:t>
      </w:r>
    </w:p>
    <w:p w:rsidR="009768FC" w:rsidRPr="002E26B5" w:rsidRDefault="002E26B5">
      <w:bookmarkStart w:id="0" w:name="_GoBack"/>
      <w:bookmarkEnd w:id="0"/>
    </w:p>
    <w:sectPr w:rsidR="009768FC" w:rsidRPr="002E26B5" w:rsidSect="002E26B5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6B5"/>
    <w:rsid w:val="002E26B5"/>
    <w:rsid w:val="00A41F43"/>
    <w:rsid w:val="00DB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CCCBB7-C9F3-4DA7-BD9F-C1046410A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26B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1055</Characters>
  <Application>Microsoft Office Word</Application>
  <DocSecurity>0</DocSecurity>
  <Lines>14</Lines>
  <Paragraphs>3</Paragraphs>
  <ScaleCrop>false</ScaleCrop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2020-09-24T13:47:00Z</dcterms:created>
  <dcterms:modified xsi:type="dcterms:W3CDTF">2020-09-24T13:48:00Z</dcterms:modified>
</cp:coreProperties>
</file>