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C2D0" w14:textId="77777777" w:rsidR="00873480" w:rsidRPr="00803EB6" w:rsidRDefault="00873480" w:rsidP="00873480">
      <w:pPr>
        <w:spacing w:after="0" w:line="480" w:lineRule="auto"/>
        <w:jc w:val="both"/>
        <w:rPr>
          <w:rFonts w:asciiTheme="majorBidi" w:eastAsia="Calibri" w:hAnsiTheme="majorBidi" w:cstheme="majorBidi"/>
          <w:b/>
          <w:bCs/>
        </w:rPr>
      </w:pPr>
      <w:r w:rsidRPr="00803EB6">
        <w:rPr>
          <w:rFonts w:asciiTheme="majorBidi" w:eastAsia="Calibri" w:hAnsiTheme="majorBidi" w:cstheme="majorBidi"/>
          <w:b/>
          <w:bCs/>
        </w:rPr>
        <w:t>Table S1.  Normality Test Results for All Datasets.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11"/>
        <w:gridCol w:w="2070"/>
        <w:gridCol w:w="1260"/>
        <w:gridCol w:w="1615"/>
      </w:tblGrid>
      <w:tr w:rsidR="00873480" w:rsidRPr="00803EB6" w14:paraId="38A40FBA" w14:textId="77777777" w:rsidTr="00987F40">
        <w:tc>
          <w:tcPr>
            <w:tcW w:w="2057" w:type="dxa"/>
          </w:tcPr>
          <w:p w14:paraId="64065644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  <w:b/>
                <w:bCs/>
              </w:rPr>
            </w:pPr>
            <w:r w:rsidRPr="00803EB6">
              <w:rPr>
                <w:rFonts w:eastAsia="Calibri"/>
                <w:b/>
                <w:bCs/>
              </w:rPr>
              <w:t>Variable</w:t>
            </w:r>
          </w:p>
        </w:tc>
        <w:tc>
          <w:tcPr>
            <w:tcW w:w="2011" w:type="dxa"/>
          </w:tcPr>
          <w:p w14:paraId="62284B17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  <w:b/>
                <w:bCs/>
              </w:rPr>
            </w:pPr>
            <w:r w:rsidRPr="00803EB6">
              <w:rPr>
                <w:rFonts w:eastAsia="Calibri"/>
                <w:b/>
                <w:bCs/>
              </w:rPr>
              <w:t>Normality test</w:t>
            </w:r>
          </w:p>
        </w:tc>
        <w:tc>
          <w:tcPr>
            <w:tcW w:w="2070" w:type="dxa"/>
          </w:tcPr>
          <w:p w14:paraId="3ED589C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  <w:b/>
                <w:bCs/>
              </w:rPr>
            </w:pPr>
            <w:r w:rsidRPr="00803EB6">
              <w:rPr>
                <w:rFonts w:eastAsia="Calibri"/>
                <w:b/>
                <w:bCs/>
              </w:rPr>
              <w:t>Test statistics (W)</w:t>
            </w:r>
          </w:p>
        </w:tc>
        <w:tc>
          <w:tcPr>
            <w:tcW w:w="1260" w:type="dxa"/>
          </w:tcPr>
          <w:p w14:paraId="2113314C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  <w:b/>
                <w:bCs/>
              </w:rPr>
            </w:pPr>
            <w:r w:rsidRPr="00803EB6">
              <w:rPr>
                <w:rFonts w:eastAsia="Calibri"/>
                <w:b/>
                <w:bCs/>
              </w:rPr>
              <w:t>P-value</w:t>
            </w:r>
          </w:p>
        </w:tc>
        <w:tc>
          <w:tcPr>
            <w:tcW w:w="1615" w:type="dxa"/>
          </w:tcPr>
          <w:p w14:paraId="7856E53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  <w:b/>
                <w:bCs/>
              </w:rPr>
            </w:pPr>
            <w:r w:rsidRPr="00803EB6">
              <w:rPr>
                <w:rFonts w:eastAsia="Calibri"/>
                <w:b/>
                <w:bCs/>
              </w:rPr>
              <w:t>Distribution</w:t>
            </w:r>
          </w:p>
        </w:tc>
      </w:tr>
      <w:tr w:rsidR="00873480" w:rsidRPr="00803EB6" w14:paraId="48C5120A" w14:textId="77777777" w:rsidTr="00987F40">
        <w:tc>
          <w:tcPr>
            <w:tcW w:w="2057" w:type="dxa"/>
          </w:tcPr>
          <w:p w14:paraId="08FC1496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Body weight</w:t>
            </w:r>
          </w:p>
        </w:tc>
        <w:tc>
          <w:tcPr>
            <w:tcW w:w="2011" w:type="dxa"/>
          </w:tcPr>
          <w:p w14:paraId="49AE72F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447C6716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0.9064</w:t>
            </w:r>
          </w:p>
        </w:tc>
        <w:tc>
          <w:tcPr>
            <w:tcW w:w="1260" w:type="dxa"/>
          </w:tcPr>
          <w:p w14:paraId="738B812B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0.0635</w:t>
            </w:r>
          </w:p>
        </w:tc>
        <w:tc>
          <w:tcPr>
            <w:tcW w:w="1615" w:type="dxa"/>
          </w:tcPr>
          <w:p w14:paraId="49E74814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174EB6CB" w14:textId="77777777" w:rsidTr="00987F40">
        <w:tc>
          <w:tcPr>
            <w:tcW w:w="2057" w:type="dxa"/>
          </w:tcPr>
          <w:p w14:paraId="4B51DD4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FBG</w:t>
            </w:r>
          </w:p>
        </w:tc>
        <w:tc>
          <w:tcPr>
            <w:tcW w:w="2011" w:type="dxa"/>
          </w:tcPr>
          <w:p w14:paraId="1EA1D55E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418326F4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0.9751</w:t>
            </w:r>
          </w:p>
        </w:tc>
        <w:tc>
          <w:tcPr>
            <w:tcW w:w="1260" w:type="dxa"/>
          </w:tcPr>
          <w:p w14:paraId="5F7A3422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0.7922</w:t>
            </w:r>
          </w:p>
        </w:tc>
        <w:tc>
          <w:tcPr>
            <w:tcW w:w="1615" w:type="dxa"/>
          </w:tcPr>
          <w:p w14:paraId="6E2EDFDB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64AD4469" w14:textId="77777777" w:rsidTr="00987F40">
        <w:tc>
          <w:tcPr>
            <w:tcW w:w="2057" w:type="dxa"/>
          </w:tcPr>
          <w:p w14:paraId="41C7425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FI</w:t>
            </w:r>
          </w:p>
        </w:tc>
        <w:tc>
          <w:tcPr>
            <w:tcW w:w="2011" w:type="dxa"/>
          </w:tcPr>
          <w:p w14:paraId="1447FC96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28B1D432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0.9346</w:t>
            </w:r>
          </w:p>
        </w:tc>
        <w:tc>
          <w:tcPr>
            <w:tcW w:w="1260" w:type="dxa"/>
          </w:tcPr>
          <w:p w14:paraId="49264380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0.2101</w:t>
            </w:r>
          </w:p>
        </w:tc>
        <w:tc>
          <w:tcPr>
            <w:tcW w:w="1615" w:type="dxa"/>
          </w:tcPr>
          <w:p w14:paraId="5BF86E53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497AF12A" w14:textId="77777777" w:rsidTr="00987F40">
        <w:tc>
          <w:tcPr>
            <w:tcW w:w="2057" w:type="dxa"/>
          </w:tcPr>
          <w:p w14:paraId="66265D50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HOMA2-IR</w:t>
            </w:r>
          </w:p>
        </w:tc>
        <w:tc>
          <w:tcPr>
            <w:tcW w:w="2011" w:type="dxa"/>
          </w:tcPr>
          <w:p w14:paraId="68D6B8DA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107E6787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0.9682</w:t>
            </w:r>
          </w:p>
        </w:tc>
        <w:tc>
          <w:tcPr>
            <w:tcW w:w="1260" w:type="dxa"/>
          </w:tcPr>
          <w:p w14:paraId="5C5661D6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0.8679</w:t>
            </w:r>
          </w:p>
        </w:tc>
        <w:tc>
          <w:tcPr>
            <w:tcW w:w="1615" w:type="dxa"/>
          </w:tcPr>
          <w:p w14:paraId="78F426A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2665ECA1" w14:textId="77777777" w:rsidTr="00987F40">
        <w:tc>
          <w:tcPr>
            <w:tcW w:w="2057" w:type="dxa"/>
          </w:tcPr>
          <w:p w14:paraId="0C82A9B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OFT</w:t>
            </w:r>
          </w:p>
        </w:tc>
        <w:tc>
          <w:tcPr>
            <w:tcW w:w="2011" w:type="dxa"/>
          </w:tcPr>
          <w:p w14:paraId="0BB5493E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44C783C0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0.8631</w:t>
            </w:r>
          </w:p>
        </w:tc>
        <w:tc>
          <w:tcPr>
            <w:tcW w:w="1260" w:type="dxa"/>
          </w:tcPr>
          <w:p w14:paraId="3516276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0.0534</w:t>
            </w:r>
          </w:p>
        </w:tc>
        <w:tc>
          <w:tcPr>
            <w:tcW w:w="1615" w:type="dxa"/>
          </w:tcPr>
          <w:p w14:paraId="2DF18AC8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6F2DB278" w14:textId="77777777" w:rsidTr="00987F40">
        <w:tc>
          <w:tcPr>
            <w:tcW w:w="2057" w:type="dxa"/>
          </w:tcPr>
          <w:p w14:paraId="2F33AB64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EPM</w:t>
            </w:r>
          </w:p>
        </w:tc>
        <w:tc>
          <w:tcPr>
            <w:tcW w:w="2011" w:type="dxa"/>
          </w:tcPr>
          <w:p w14:paraId="6C42D911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5B8E54CA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0.8910</w:t>
            </w:r>
          </w:p>
        </w:tc>
        <w:tc>
          <w:tcPr>
            <w:tcW w:w="1260" w:type="dxa"/>
          </w:tcPr>
          <w:p w14:paraId="7E57ADB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0.1214</w:t>
            </w:r>
          </w:p>
        </w:tc>
        <w:tc>
          <w:tcPr>
            <w:tcW w:w="1615" w:type="dxa"/>
          </w:tcPr>
          <w:p w14:paraId="04B00147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50EA5E04" w14:textId="77777777" w:rsidTr="00987F40">
        <w:tc>
          <w:tcPr>
            <w:tcW w:w="2057" w:type="dxa"/>
          </w:tcPr>
          <w:p w14:paraId="47248FD8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RAWM</w:t>
            </w:r>
          </w:p>
        </w:tc>
        <w:tc>
          <w:tcPr>
            <w:tcW w:w="2011" w:type="dxa"/>
          </w:tcPr>
          <w:p w14:paraId="60AF1AD2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38A4E3D3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0.8887</w:t>
            </w:r>
          </w:p>
        </w:tc>
        <w:tc>
          <w:tcPr>
            <w:tcW w:w="1260" w:type="dxa"/>
          </w:tcPr>
          <w:p w14:paraId="28C4E0F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0.1341</w:t>
            </w:r>
          </w:p>
        </w:tc>
        <w:tc>
          <w:tcPr>
            <w:tcW w:w="1615" w:type="dxa"/>
          </w:tcPr>
          <w:p w14:paraId="23F6DF89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4A5F8DE3" w14:textId="77777777" w:rsidTr="00987F40">
        <w:trPr>
          <w:trHeight w:val="739"/>
        </w:trPr>
        <w:tc>
          <w:tcPr>
            <w:tcW w:w="2057" w:type="dxa"/>
          </w:tcPr>
          <w:p w14:paraId="4A2591B9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Hippocampus markers</w:t>
            </w:r>
          </w:p>
        </w:tc>
        <w:tc>
          <w:tcPr>
            <w:tcW w:w="2011" w:type="dxa"/>
          </w:tcPr>
          <w:p w14:paraId="1E5450FB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23B380CE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0.9488</w:t>
            </w:r>
          </w:p>
        </w:tc>
        <w:tc>
          <w:tcPr>
            <w:tcW w:w="1260" w:type="dxa"/>
          </w:tcPr>
          <w:p w14:paraId="38612D96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0.6282</w:t>
            </w:r>
          </w:p>
        </w:tc>
        <w:tc>
          <w:tcPr>
            <w:tcW w:w="1615" w:type="dxa"/>
          </w:tcPr>
          <w:p w14:paraId="031EA9AA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  <w:tr w:rsidR="00873480" w:rsidRPr="00803EB6" w14:paraId="6F53CD6D" w14:textId="77777777" w:rsidTr="00987F40">
        <w:tc>
          <w:tcPr>
            <w:tcW w:w="2057" w:type="dxa"/>
          </w:tcPr>
          <w:p w14:paraId="4ED320F9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Serum markers</w:t>
            </w:r>
          </w:p>
        </w:tc>
        <w:tc>
          <w:tcPr>
            <w:tcW w:w="2011" w:type="dxa"/>
          </w:tcPr>
          <w:p w14:paraId="14A4C355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Shapiro–Wilk</w:t>
            </w:r>
          </w:p>
        </w:tc>
        <w:tc>
          <w:tcPr>
            <w:tcW w:w="2070" w:type="dxa"/>
          </w:tcPr>
          <w:p w14:paraId="0FE64350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0.9422</w:t>
            </w:r>
          </w:p>
        </w:tc>
        <w:tc>
          <w:tcPr>
            <w:tcW w:w="1260" w:type="dxa"/>
          </w:tcPr>
          <w:p w14:paraId="0FB106B8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0.5462</w:t>
            </w:r>
          </w:p>
        </w:tc>
        <w:tc>
          <w:tcPr>
            <w:tcW w:w="1615" w:type="dxa"/>
          </w:tcPr>
          <w:p w14:paraId="155B6C3B" w14:textId="77777777" w:rsidR="00873480" w:rsidRPr="00803EB6" w:rsidRDefault="00873480" w:rsidP="00987F40">
            <w:pPr>
              <w:spacing w:line="480" w:lineRule="auto"/>
              <w:jc w:val="both"/>
              <w:rPr>
                <w:rFonts w:eastAsia="Calibri"/>
              </w:rPr>
            </w:pPr>
            <w:r w:rsidRPr="00803EB6">
              <w:rPr>
                <w:rFonts w:eastAsia="Calibri"/>
              </w:rPr>
              <w:t>Normal</w:t>
            </w:r>
          </w:p>
        </w:tc>
      </w:tr>
    </w:tbl>
    <w:p w14:paraId="7CFCBF10" w14:textId="77777777" w:rsidR="00873480" w:rsidRDefault="00873480" w:rsidP="00873480">
      <w:pPr>
        <w:spacing w:after="0" w:line="480" w:lineRule="auto"/>
        <w:jc w:val="both"/>
        <w:rPr>
          <w:rFonts w:asciiTheme="majorBidi" w:eastAsia="Calibri" w:hAnsiTheme="majorBidi" w:cstheme="majorBidi"/>
        </w:rPr>
      </w:pPr>
      <w:r w:rsidRPr="00803EB6">
        <w:rPr>
          <w:rFonts w:asciiTheme="majorBidi" w:eastAsia="Calibri" w:hAnsiTheme="majorBidi" w:cstheme="majorBidi"/>
        </w:rPr>
        <w:t xml:space="preserve">Normality was assessed using Shapiro–Wilk test, p value </w:t>
      </w:r>
      <w:r w:rsidRPr="00A95CDA">
        <w:rPr>
          <w:rFonts w:asciiTheme="majorBidi" w:eastAsia="Calibri" w:hAnsiTheme="majorBidi" w:cstheme="majorBidi"/>
        </w:rPr>
        <w:t xml:space="preserve">more </w:t>
      </w:r>
      <w:r w:rsidRPr="00803EB6">
        <w:rPr>
          <w:rFonts w:asciiTheme="majorBidi" w:eastAsia="Calibri" w:hAnsiTheme="majorBidi" w:cstheme="majorBidi"/>
        </w:rPr>
        <w:t>than 0.05 indicate normal distribution.</w:t>
      </w:r>
    </w:p>
    <w:p w14:paraId="4961036F" w14:textId="77777777" w:rsidR="00F01610" w:rsidRDefault="00F01610" w:rsidP="00873480">
      <w:pPr>
        <w:spacing w:after="0" w:line="480" w:lineRule="auto"/>
        <w:jc w:val="both"/>
        <w:rPr>
          <w:rFonts w:asciiTheme="majorBidi" w:eastAsia="Calibri" w:hAnsiTheme="majorBidi" w:cstheme="majorBidi"/>
        </w:rPr>
      </w:pPr>
    </w:p>
    <w:p w14:paraId="50B2CB7D" w14:textId="77777777" w:rsidR="00F01610" w:rsidRPr="00803EB6" w:rsidRDefault="00F01610" w:rsidP="00873480">
      <w:pPr>
        <w:spacing w:after="0" w:line="480" w:lineRule="auto"/>
        <w:jc w:val="both"/>
        <w:rPr>
          <w:rFonts w:asciiTheme="majorBidi" w:eastAsia="Calibri" w:hAnsiTheme="majorBidi" w:cstheme="majorBidi"/>
        </w:rPr>
      </w:pPr>
    </w:p>
    <w:p w14:paraId="2974DD63" w14:textId="16BDB74C" w:rsidR="00826DBA" w:rsidRDefault="0010265E">
      <w:r w:rsidRPr="00217344">
        <w:rPr>
          <w:rFonts w:asciiTheme="majorBidi" w:eastAsia="Calibri" w:hAnsiTheme="majorBidi" w:cstheme="majorBidi"/>
          <w:noProof/>
          <w:sz w:val="22"/>
          <w:szCs w:val="22"/>
        </w:rPr>
        <w:drawing>
          <wp:inline distT="0" distB="0" distL="0" distR="0" wp14:anchorId="072D92D7" wp14:editId="07026BAF">
            <wp:extent cx="5943600" cy="1664335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M WITHOUT3.3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2EC8" w14:textId="77777777" w:rsidR="00F01610" w:rsidRPr="00D90C16" w:rsidRDefault="00F01610" w:rsidP="00F01610">
      <w:pPr>
        <w:spacing w:after="0" w:line="480" w:lineRule="auto"/>
        <w:jc w:val="both"/>
        <w:rPr>
          <w:rFonts w:asciiTheme="majorBidi" w:eastAsia="Calibri" w:hAnsiTheme="majorBidi" w:cstheme="majorBidi"/>
          <w:b/>
          <w:bCs/>
        </w:rPr>
      </w:pPr>
      <w:r w:rsidRPr="00D90C16">
        <w:rPr>
          <w:rFonts w:asciiTheme="majorBidi" w:eastAsia="Calibri" w:hAnsiTheme="majorBidi" w:cstheme="majorBidi"/>
          <w:b/>
          <w:bCs/>
        </w:rPr>
        <w:t xml:space="preserve">Figure S2. </w:t>
      </w:r>
      <w:r w:rsidRPr="00D90C16">
        <w:rPr>
          <w:rFonts w:asciiTheme="majorBidi" w:eastAsia="Calibri" w:hAnsiTheme="majorBidi" w:cstheme="majorBidi"/>
        </w:rPr>
        <w:t>Sensitivity Analysis of RAWM Test.</w:t>
      </w:r>
      <w:r w:rsidRPr="00D90C16">
        <w:rPr>
          <w:rFonts w:asciiTheme="majorBidi" w:eastAsia="Calibri" w:hAnsiTheme="majorBidi" w:cstheme="majorBidi"/>
          <w:b/>
          <w:bCs/>
        </w:rPr>
        <w:t xml:space="preserve"> </w:t>
      </w:r>
    </w:p>
    <w:p w14:paraId="53B18280" w14:textId="77777777" w:rsidR="00F01610" w:rsidRPr="00D90C16" w:rsidRDefault="00F01610" w:rsidP="00F01610">
      <w:pPr>
        <w:spacing w:after="0" w:line="480" w:lineRule="auto"/>
        <w:jc w:val="both"/>
        <w:rPr>
          <w:rFonts w:asciiTheme="majorBidi" w:eastAsia="Calibri" w:hAnsiTheme="majorBidi" w:cstheme="majorBidi"/>
        </w:rPr>
      </w:pPr>
      <w:r w:rsidRPr="00D90C16">
        <w:rPr>
          <w:rFonts w:asciiTheme="majorBidi" w:eastAsia="Calibri" w:hAnsiTheme="majorBidi" w:cstheme="majorBidi"/>
        </w:rPr>
        <w:lastRenderedPageBreak/>
        <w:t>Rat memory performance was assessed at (A) 30 min, (B) 5 h, and (C) 24 h post-training. Normality was assessed using the Shapiro–Wilk test and Q–Q plots. As all data were normally distributed, two-way ANOVA followed by Tukey’s multiple comparisons test was performed and revealed the following: (A) only sex (but not diet) has a significant effect (F</w:t>
      </w:r>
      <w:r w:rsidRPr="00D90C16">
        <w:rPr>
          <w:rFonts w:asciiTheme="majorBidi" w:eastAsia="Calibri" w:hAnsiTheme="majorBidi" w:cstheme="majorBidi"/>
          <w:vertAlign w:val="subscript"/>
        </w:rPr>
        <w:t xml:space="preserve"> (1, 39)</w:t>
      </w:r>
      <w:r w:rsidRPr="00D90C16">
        <w:rPr>
          <w:rFonts w:asciiTheme="majorBidi" w:eastAsia="Calibri" w:hAnsiTheme="majorBidi" w:cstheme="majorBidi"/>
        </w:rPr>
        <w:t xml:space="preserve"> = 18.64, </w:t>
      </w:r>
      <w:r w:rsidRPr="00D90C16">
        <w:rPr>
          <w:rFonts w:asciiTheme="majorBidi" w:eastAsia="Calibri" w:hAnsiTheme="majorBidi" w:cstheme="majorBidi"/>
          <w:i/>
          <w:iCs/>
        </w:rPr>
        <w:t>p</w:t>
      </w:r>
      <w:r w:rsidRPr="00D90C16">
        <w:rPr>
          <w:rFonts w:asciiTheme="majorBidi" w:eastAsia="Calibri" w:hAnsiTheme="majorBidi" w:cstheme="majorBidi"/>
        </w:rPr>
        <w:t xml:space="preserve"> = 0.0001). (B) Unlike male rat groups, HFDF rats made significantly lower errors than RDF rats (F </w:t>
      </w:r>
      <w:r w:rsidRPr="00D90C16">
        <w:rPr>
          <w:rFonts w:asciiTheme="majorBidi" w:eastAsia="Calibri" w:hAnsiTheme="majorBidi" w:cstheme="majorBidi"/>
          <w:vertAlign w:val="subscript"/>
        </w:rPr>
        <w:t>(1, 39)</w:t>
      </w:r>
      <w:r w:rsidRPr="00D90C16">
        <w:rPr>
          <w:rFonts w:asciiTheme="majorBidi" w:eastAsia="Calibri" w:hAnsiTheme="majorBidi" w:cstheme="majorBidi"/>
        </w:rPr>
        <w:t xml:space="preserve"> = 9.099, </w:t>
      </w:r>
      <w:r w:rsidRPr="00D90C16">
        <w:rPr>
          <w:rFonts w:asciiTheme="majorBidi" w:eastAsia="Calibri" w:hAnsiTheme="majorBidi" w:cstheme="majorBidi"/>
          <w:i/>
          <w:iCs/>
        </w:rPr>
        <w:t>p</w:t>
      </w:r>
      <w:r w:rsidRPr="00D90C16">
        <w:rPr>
          <w:rFonts w:asciiTheme="majorBidi" w:eastAsia="Calibri" w:hAnsiTheme="majorBidi" w:cstheme="majorBidi"/>
        </w:rPr>
        <w:t xml:space="preserve"> = 0.0045). (C) HFD </w:t>
      </w:r>
      <w:proofErr w:type="gramStart"/>
      <w:r w:rsidRPr="00D90C16">
        <w:rPr>
          <w:rFonts w:asciiTheme="majorBidi" w:eastAsia="Calibri" w:hAnsiTheme="majorBidi" w:cstheme="majorBidi"/>
        </w:rPr>
        <w:t>rats</w:t>
      </w:r>
      <w:proofErr w:type="gramEnd"/>
      <w:r w:rsidRPr="00D90C16">
        <w:rPr>
          <w:rFonts w:asciiTheme="majorBidi" w:eastAsia="Calibri" w:hAnsiTheme="majorBidi" w:cstheme="majorBidi"/>
        </w:rPr>
        <w:t xml:space="preserve"> of both sexes committed significantly more errors than RD </w:t>
      </w:r>
      <w:proofErr w:type="gramStart"/>
      <w:r w:rsidRPr="00D90C16">
        <w:rPr>
          <w:rFonts w:asciiTheme="majorBidi" w:eastAsia="Calibri" w:hAnsiTheme="majorBidi" w:cstheme="majorBidi"/>
        </w:rPr>
        <w:t>rats</w:t>
      </w:r>
      <w:proofErr w:type="gramEnd"/>
      <w:r w:rsidRPr="00D90C16">
        <w:rPr>
          <w:rFonts w:asciiTheme="majorBidi" w:eastAsia="Calibri" w:hAnsiTheme="majorBidi" w:cstheme="majorBidi"/>
        </w:rPr>
        <w:t xml:space="preserve"> (F </w:t>
      </w:r>
      <w:r w:rsidRPr="00D90C16">
        <w:rPr>
          <w:rFonts w:asciiTheme="majorBidi" w:eastAsia="Calibri" w:hAnsiTheme="majorBidi" w:cstheme="majorBidi"/>
          <w:vertAlign w:val="subscript"/>
        </w:rPr>
        <w:t>(1, 39)</w:t>
      </w:r>
      <w:r w:rsidRPr="00D90C16">
        <w:rPr>
          <w:rFonts w:asciiTheme="majorBidi" w:eastAsia="Calibri" w:hAnsiTheme="majorBidi" w:cstheme="majorBidi"/>
        </w:rPr>
        <w:t xml:space="preserve"> = 12.38, </w:t>
      </w:r>
      <w:r w:rsidRPr="00D90C16">
        <w:rPr>
          <w:rFonts w:asciiTheme="majorBidi" w:eastAsia="Calibri" w:hAnsiTheme="majorBidi" w:cstheme="majorBidi"/>
          <w:i/>
          <w:iCs/>
        </w:rPr>
        <w:t>p</w:t>
      </w:r>
      <w:r w:rsidRPr="00D90C16">
        <w:rPr>
          <w:rFonts w:asciiTheme="majorBidi" w:eastAsia="Calibri" w:hAnsiTheme="majorBidi" w:cstheme="majorBidi"/>
        </w:rPr>
        <w:t xml:space="preserve"> = 0.0011). RDM: regular diet male; RDF: regular diet female; HFDM: high-fat, high-fructose diet male; HFDF: high-fat, high-fructose diet female. Data represent mean ± SEM of N = 11–12 rats per group.</w:t>
      </w:r>
    </w:p>
    <w:p w14:paraId="4157A2B7" w14:textId="77777777" w:rsidR="00F01610" w:rsidRDefault="00F01610"/>
    <w:sectPr w:rsidR="00F0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80"/>
    <w:rsid w:val="0010265E"/>
    <w:rsid w:val="004C195A"/>
    <w:rsid w:val="0068154B"/>
    <w:rsid w:val="00826DBA"/>
    <w:rsid w:val="00873480"/>
    <w:rsid w:val="00F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42B4"/>
  <w15:chartTrackingRefBased/>
  <w15:docId w15:val="{C986F474-E00E-430C-8079-A26ED35B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48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80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80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873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3480"/>
    <w:pPr>
      <w:spacing w:after="0" w:line="240" w:lineRule="auto"/>
    </w:pPr>
    <w:rPr>
      <w:rFonts w:asciiTheme="majorBidi" w:hAnsiTheme="majorBidi" w:cstheme="majorBidi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1237</Characters>
  <Application>Microsoft Office Word</Application>
  <DocSecurity>0</DocSecurity>
  <Lines>21</Lines>
  <Paragraphs>7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Nuseir</dc:creator>
  <cp:keywords/>
  <dc:description/>
  <cp:lastModifiedBy>Khawla Nuseir</cp:lastModifiedBy>
  <cp:revision>3</cp:revision>
  <dcterms:created xsi:type="dcterms:W3CDTF">2026-03-17T10:23:00Z</dcterms:created>
  <dcterms:modified xsi:type="dcterms:W3CDTF">2026-03-17T10:25:00Z</dcterms:modified>
</cp:coreProperties>
</file>