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F200ED" w14:textId="77777777" w:rsidR="000F369C" w:rsidRDefault="000F369C" w:rsidP="000F369C">
      <w:pPr>
        <w:rPr>
          <w:rFonts w:ascii="Times New Roman" w:eastAsia="Times New Roman" w:hAnsi="Times New Roman" w:cs="Times New Roman"/>
          <w:b/>
          <w:bCs/>
          <w:kern w:val="44"/>
          <w:sz w:val="22"/>
          <w:szCs w:val="44"/>
        </w:rPr>
      </w:pPr>
      <w:r>
        <w:rPr>
          <w:rFonts w:ascii="Times New Roman" w:eastAsia="Times New Roman" w:hAnsi="Times New Roman" w:cs="Times New Roman" w:hint="eastAsia"/>
          <w:b/>
          <w:bCs/>
          <w:kern w:val="44"/>
          <w:sz w:val="22"/>
          <w:szCs w:val="44"/>
        </w:rPr>
        <w:t>Supporting Information</w:t>
      </w:r>
    </w:p>
    <w:p w14:paraId="531A3540" w14:textId="77777777" w:rsidR="000F369C" w:rsidRDefault="000F369C" w:rsidP="000F369C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26B3C39" wp14:editId="66F1F966">
            <wp:extent cx="4102735" cy="2263140"/>
            <wp:effectExtent l="0" t="0" r="2540" b="3810"/>
            <wp:docPr id="6800039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00397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02735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9B816" w14:textId="77777777" w:rsidR="000F369C" w:rsidRDefault="000F369C" w:rsidP="000F369C">
      <w:pPr>
        <w:rPr>
          <w:rFonts w:ascii="Times New Roman" w:hAnsi="Times New Roman" w:cs="Times New Roman"/>
          <w:b/>
          <w:sz w:val="18"/>
          <w:szCs w:val="16"/>
        </w:rPr>
      </w:pPr>
      <w:r>
        <w:rPr>
          <w:rFonts w:ascii="Times New Roman" w:hAnsi="Times New Roman" w:cs="Times New Roman"/>
          <w:b/>
          <w:sz w:val="18"/>
          <w:szCs w:val="16"/>
        </w:rPr>
        <w:t>Figure S1. a) Average hydrodynamic diameters and b) Zeta potentials of nanoparticles, naked bacteria, and assembled bacteria. *</w:t>
      </w:r>
      <w:r>
        <w:rPr>
          <w:rFonts w:ascii="Times New Roman" w:hAnsi="Times New Roman" w:cs="Times New Roman"/>
          <w:b/>
          <w:i/>
          <w:iCs/>
          <w:sz w:val="18"/>
          <w:szCs w:val="16"/>
        </w:rPr>
        <w:t>p</w:t>
      </w:r>
      <w:r>
        <w:rPr>
          <w:rFonts w:ascii="Times New Roman" w:hAnsi="Times New Roman" w:cs="Times New Roman"/>
          <w:b/>
          <w:sz w:val="18"/>
          <w:szCs w:val="16"/>
        </w:rPr>
        <w:t xml:space="preserve"> &lt; 0.05, **</w:t>
      </w:r>
      <w:r>
        <w:rPr>
          <w:rFonts w:ascii="Times New Roman" w:hAnsi="Times New Roman" w:cs="Times New Roman"/>
          <w:b/>
          <w:i/>
          <w:iCs/>
          <w:sz w:val="18"/>
          <w:szCs w:val="16"/>
        </w:rPr>
        <w:t>p</w:t>
      </w:r>
      <w:r>
        <w:rPr>
          <w:rFonts w:ascii="Times New Roman" w:hAnsi="Times New Roman" w:cs="Times New Roman"/>
          <w:b/>
          <w:sz w:val="18"/>
          <w:szCs w:val="16"/>
        </w:rPr>
        <w:t xml:space="preserve"> &lt; 0.01, ***</w:t>
      </w:r>
      <w:r>
        <w:rPr>
          <w:rFonts w:ascii="Times New Roman" w:hAnsi="Times New Roman" w:cs="Times New Roman"/>
          <w:b/>
          <w:i/>
          <w:iCs/>
          <w:sz w:val="18"/>
          <w:szCs w:val="16"/>
        </w:rPr>
        <w:t>p</w:t>
      </w:r>
      <w:r>
        <w:rPr>
          <w:rFonts w:ascii="Times New Roman" w:hAnsi="Times New Roman" w:cs="Times New Roman"/>
          <w:b/>
          <w:sz w:val="18"/>
          <w:szCs w:val="16"/>
        </w:rPr>
        <w:t xml:space="preserve"> </w:t>
      </w:r>
      <w:r>
        <w:rPr>
          <w:rFonts w:ascii="Times New Roman" w:hAnsi="Times New Roman" w:cs="Times New Roman"/>
          <w:b/>
          <w:i/>
          <w:iCs/>
          <w:sz w:val="18"/>
          <w:szCs w:val="16"/>
        </w:rPr>
        <w:t xml:space="preserve">&lt; </w:t>
      </w:r>
      <w:r>
        <w:rPr>
          <w:rFonts w:ascii="Times New Roman" w:hAnsi="Times New Roman" w:cs="Times New Roman"/>
          <w:b/>
          <w:sz w:val="18"/>
          <w:szCs w:val="16"/>
        </w:rPr>
        <w:t>0.001.</w:t>
      </w:r>
    </w:p>
    <w:p w14:paraId="6B97E3AE" w14:textId="77777777" w:rsidR="000F369C" w:rsidRDefault="000F369C" w:rsidP="000F369C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6BF99BB7" wp14:editId="61D7AE45">
            <wp:extent cx="4465320" cy="2212975"/>
            <wp:effectExtent l="0" t="0" r="1905" b="6350"/>
            <wp:docPr id="11510583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05831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6532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67330" w14:textId="77777777" w:rsidR="000F369C" w:rsidRDefault="000F369C" w:rsidP="000F369C">
      <w:pPr>
        <w:rPr>
          <w:rFonts w:ascii="Times New Roman" w:hAnsi="Times New Roman" w:cs="Times New Roman"/>
          <w:b/>
          <w:szCs w:val="20"/>
        </w:rPr>
      </w:pPr>
      <w:r>
        <w:rPr>
          <w:rFonts w:ascii="Times New Roman" w:hAnsi="Times New Roman" w:cs="Times New Roman"/>
          <w:b/>
          <w:sz w:val="18"/>
          <w:szCs w:val="16"/>
        </w:rPr>
        <w:t>Figure S2. Influence of nanoparticle assembly on the viability and growth curves.</w:t>
      </w:r>
    </w:p>
    <w:p w14:paraId="3B7DBE59" w14:textId="77777777" w:rsidR="000F369C" w:rsidRDefault="000F369C" w:rsidP="000F369C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A457166" wp14:editId="451C11D9">
            <wp:extent cx="4159885" cy="2565400"/>
            <wp:effectExtent l="0" t="0" r="2540" b="6350"/>
            <wp:docPr id="87566249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62498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59885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C21DD" w14:textId="77777777" w:rsidR="000F369C" w:rsidRDefault="000F369C" w:rsidP="000F369C">
      <w:pPr>
        <w:rPr>
          <w:rFonts w:ascii="Times New Roman" w:hAnsi="Times New Roman" w:cs="Times New Roman"/>
          <w:b/>
          <w:sz w:val="18"/>
          <w:szCs w:val="16"/>
        </w:rPr>
      </w:pPr>
      <w:r>
        <w:rPr>
          <w:rFonts w:ascii="Times New Roman" w:hAnsi="Times New Roman" w:cs="Times New Roman"/>
          <w:b/>
          <w:sz w:val="18"/>
          <w:szCs w:val="16"/>
        </w:rPr>
        <w:t xml:space="preserve">Figure S3. Live/dead staining of naked and assembled </w:t>
      </w:r>
      <w:proofErr w:type="spellStart"/>
      <w:r>
        <w:rPr>
          <w:rFonts w:ascii="Times New Roman" w:hAnsi="Times New Roman" w:cs="Times New Roman"/>
          <w:b/>
          <w:sz w:val="18"/>
          <w:szCs w:val="16"/>
        </w:rPr>
        <w:t>EcN</w:t>
      </w:r>
      <w:proofErr w:type="spellEnd"/>
      <w:r>
        <w:rPr>
          <w:rFonts w:ascii="Times New Roman" w:hAnsi="Times New Roman" w:cs="Times New Roman"/>
          <w:b/>
          <w:sz w:val="18"/>
          <w:szCs w:val="16"/>
        </w:rPr>
        <w:t xml:space="preserve"> under CLSM after continuous treatment with SGF for 2 h and SIF for 2 h. Scale bar: 10 </w:t>
      </w:r>
      <w:proofErr w:type="spellStart"/>
      <w:r>
        <w:rPr>
          <w:rFonts w:ascii="Times New Roman" w:hAnsi="Times New Roman" w:cs="Times New Roman"/>
          <w:b/>
          <w:sz w:val="18"/>
          <w:szCs w:val="16"/>
        </w:rPr>
        <w:t>μm</w:t>
      </w:r>
      <w:proofErr w:type="spellEnd"/>
      <w:r>
        <w:rPr>
          <w:rFonts w:ascii="Times New Roman" w:hAnsi="Times New Roman" w:cs="Times New Roman"/>
          <w:b/>
          <w:sz w:val="18"/>
          <w:szCs w:val="16"/>
        </w:rPr>
        <w:t>.</w:t>
      </w:r>
    </w:p>
    <w:p w14:paraId="20AC0AB5" w14:textId="77777777" w:rsidR="000F369C" w:rsidRDefault="000F369C" w:rsidP="000F369C">
      <w:pPr>
        <w:jc w:val="left"/>
        <w:rPr>
          <w:rFonts w:hint="eastAsia"/>
        </w:rPr>
      </w:pPr>
    </w:p>
    <w:p w14:paraId="0323790E" w14:textId="77777777" w:rsidR="000F369C" w:rsidRDefault="000F369C" w:rsidP="000F369C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0E589B9" wp14:editId="60E15A84">
            <wp:extent cx="4032250" cy="2432050"/>
            <wp:effectExtent l="0" t="0" r="6350" b="6350"/>
            <wp:docPr id="140893229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932295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7C384" w14:textId="77777777" w:rsidR="000F369C" w:rsidRDefault="000F369C" w:rsidP="000F369C">
      <w:pPr>
        <w:jc w:val="left"/>
        <w:rPr>
          <w:rFonts w:ascii="Times New Roman" w:hAnsi="Times New Roman" w:cs="Times New Roman"/>
          <w:b/>
          <w:sz w:val="18"/>
          <w:szCs w:val="16"/>
        </w:rPr>
      </w:pPr>
      <w:r>
        <w:rPr>
          <w:rFonts w:ascii="Times New Roman" w:hAnsi="Times New Roman" w:cs="Times New Roman"/>
          <w:b/>
          <w:sz w:val="18"/>
          <w:szCs w:val="16"/>
        </w:rPr>
        <w:t xml:space="preserve">Figure S4. Live/dead staining of naked and armed </w:t>
      </w:r>
      <w:proofErr w:type="spellStart"/>
      <w:r>
        <w:rPr>
          <w:rFonts w:ascii="Times New Roman" w:hAnsi="Times New Roman" w:cs="Times New Roman"/>
          <w:b/>
          <w:sz w:val="18"/>
          <w:szCs w:val="16"/>
        </w:rPr>
        <w:t>Lp</w:t>
      </w:r>
      <w:proofErr w:type="spellEnd"/>
      <w:r>
        <w:rPr>
          <w:rFonts w:ascii="Times New Roman" w:hAnsi="Times New Roman" w:cs="Times New Roman"/>
          <w:b/>
          <w:sz w:val="18"/>
          <w:szCs w:val="16"/>
        </w:rPr>
        <w:t xml:space="preserve"> under CLSM after continuous treatment with SGF for 2 h and SIF for 2 h. Scale bar: 10 </w:t>
      </w:r>
      <w:proofErr w:type="spellStart"/>
      <w:r>
        <w:rPr>
          <w:rFonts w:ascii="Times New Roman" w:hAnsi="Times New Roman" w:cs="Times New Roman"/>
          <w:b/>
          <w:sz w:val="18"/>
          <w:szCs w:val="16"/>
        </w:rPr>
        <w:t>μm</w:t>
      </w:r>
      <w:proofErr w:type="spellEnd"/>
      <w:r>
        <w:rPr>
          <w:rFonts w:ascii="Times New Roman" w:hAnsi="Times New Roman" w:cs="Times New Roman"/>
          <w:b/>
          <w:sz w:val="18"/>
          <w:szCs w:val="16"/>
        </w:rPr>
        <w:t>.</w:t>
      </w:r>
    </w:p>
    <w:p w14:paraId="10443FA1" w14:textId="77777777" w:rsidR="000F369C" w:rsidRDefault="000F369C" w:rsidP="000F369C">
      <w:pPr>
        <w:jc w:val="center"/>
        <w:rPr>
          <w:rFonts w:ascii="Times New Roman" w:hAnsi="Times New Roman" w:cs="Times New Roman"/>
          <w:b/>
          <w:bCs/>
          <w:kern w:val="44"/>
          <w:sz w:val="22"/>
          <w:szCs w:val="44"/>
        </w:rPr>
      </w:pPr>
      <w:r>
        <w:rPr>
          <w:rFonts w:hint="eastAsia"/>
          <w:noProof/>
        </w:rPr>
        <w:drawing>
          <wp:inline distT="0" distB="0" distL="0" distR="0" wp14:anchorId="405A71C4" wp14:editId="68CB30AF">
            <wp:extent cx="3992880" cy="2432050"/>
            <wp:effectExtent l="0" t="0" r="7620" b="6350"/>
            <wp:docPr id="105739389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393891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9288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9AF18" w14:textId="77777777" w:rsidR="000F369C" w:rsidRDefault="000F369C" w:rsidP="000F369C">
      <w:pPr>
        <w:jc w:val="left"/>
        <w:rPr>
          <w:rFonts w:ascii="Times New Roman" w:hAnsi="Times New Roman" w:cs="Times New Roman"/>
          <w:b/>
          <w:sz w:val="18"/>
          <w:szCs w:val="16"/>
        </w:rPr>
      </w:pPr>
      <w:r>
        <w:rPr>
          <w:rFonts w:ascii="Times New Roman" w:hAnsi="Times New Roman" w:cs="Times New Roman"/>
          <w:b/>
          <w:sz w:val="18"/>
          <w:szCs w:val="16"/>
        </w:rPr>
        <w:t xml:space="preserve">Figure S5. Comparison between ordinary </w:t>
      </w:r>
      <w:proofErr w:type="spellStart"/>
      <w:r>
        <w:rPr>
          <w:rFonts w:ascii="Times New Roman" w:hAnsi="Times New Roman" w:cs="Times New Roman"/>
          <w:b/>
          <w:sz w:val="18"/>
          <w:szCs w:val="16"/>
        </w:rPr>
        <w:t>EcN</w:t>
      </w:r>
      <w:proofErr w:type="spellEnd"/>
      <w:r>
        <w:rPr>
          <w:rFonts w:ascii="Times New Roman" w:hAnsi="Times New Roman" w:cs="Times New Roman"/>
          <w:b/>
          <w:sz w:val="18"/>
          <w:szCs w:val="16"/>
        </w:rPr>
        <w:t xml:space="preserve"> and </w:t>
      </w:r>
      <w:proofErr w:type="spellStart"/>
      <w:r>
        <w:rPr>
          <w:rFonts w:ascii="Times New Roman" w:hAnsi="Times New Roman" w:cs="Times New Roman"/>
          <w:b/>
          <w:sz w:val="18"/>
          <w:szCs w:val="16"/>
        </w:rPr>
        <w:t>EcN-Mcherry</w:t>
      </w:r>
      <w:proofErr w:type="spellEnd"/>
      <w:r>
        <w:rPr>
          <w:rFonts w:ascii="Times New Roman" w:hAnsi="Times New Roman" w:cs="Times New Roman"/>
          <w:b/>
          <w:sz w:val="18"/>
          <w:szCs w:val="16"/>
        </w:rPr>
        <w:t xml:space="preserve"> transformed with the pBBR1MCS2-Tac-mCherry plasmid. The latter can express red fluorescence under CLSM. Scale bar: 10 </w:t>
      </w:r>
      <w:proofErr w:type="spellStart"/>
      <w:r>
        <w:rPr>
          <w:rFonts w:ascii="Times New Roman" w:hAnsi="Times New Roman" w:cs="Times New Roman"/>
          <w:b/>
          <w:sz w:val="18"/>
          <w:szCs w:val="16"/>
        </w:rPr>
        <w:t>μm</w:t>
      </w:r>
      <w:proofErr w:type="spellEnd"/>
      <w:r>
        <w:rPr>
          <w:rFonts w:ascii="Times New Roman" w:hAnsi="Times New Roman" w:cs="Times New Roman"/>
          <w:b/>
          <w:sz w:val="18"/>
          <w:szCs w:val="16"/>
        </w:rPr>
        <w:t>.</w:t>
      </w:r>
    </w:p>
    <w:p w14:paraId="16CEF2FF" w14:textId="77777777" w:rsidR="000F369C" w:rsidRDefault="000F369C" w:rsidP="000F369C">
      <w:pPr>
        <w:jc w:val="center"/>
        <w:rPr>
          <w:rFonts w:ascii="Times New Roman" w:hAnsi="Times New Roman" w:cs="Times New Roman"/>
          <w:b/>
          <w:bCs/>
          <w:kern w:val="44"/>
          <w:sz w:val="22"/>
          <w:szCs w:val="44"/>
        </w:rPr>
      </w:pPr>
      <w:r>
        <w:rPr>
          <w:rFonts w:ascii="Times New Roman" w:hAnsi="Times New Roman" w:cs="Times New Roman" w:hint="eastAsia"/>
          <w:b/>
          <w:bCs/>
          <w:noProof/>
          <w:kern w:val="44"/>
          <w:sz w:val="22"/>
          <w:szCs w:val="44"/>
        </w:rPr>
        <w:drawing>
          <wp:inline distT="0" distB="0" distL="0" distR="0" wp14:anchorId="5617AA86" wp14:editId="64F5C7AB">
            <wp:extent cx="4225290" cy="2159000"/>
            <wp:effectExtent l="0" t="0" r="3810" b="3175"/>
            <wp:docPr id="874427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42758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2529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CE8A5" w14:textId="77777777" w:rsidR="000F369C" w:rsidRDefault="000F369C" w:rsidP="000F369C">
      <w:pPr>
        <w:jc w:val="left"/>
        <w:rPr>
          <w:rFonts w:ascii="Times New Roman" w:hAnsi="Times New Roman" w:cs="Times New Roman"/>
          <w:b/>
          <w:sz w:val="18"/>
          <w:szCs w:val="16"/>
        </w:rPr>
      </w:pPr>
      <w:r>
        <w:rPr>
          <w:rFonts w:ascii="Times New Roman" w:hAnsi="Times New Roman" w:cs="Times New Roman"/>
          <w:b/>
          <w:sz w:val="18"/>
          <w:szCs w:val="16"/>
        </w:rPr>
        <w:t>Figure S6. Plate coating of the contents in the stomach, small intestine, colon, and cecum of the mouse gastrointestinal tract 4 hours after oral gavage of naked bacteria and assembled bacteria.</w:t>
      </w:r>
    </w:p>
    <w:p w14:paraId="4D85CAC5" w14:textId="77777777" w:rsidR="000F369C" w:rsidRDefault="000F369C" w:rsidP="000F369C">
      <w:pPr>
        <w:jc w:val="center"/>
        <w:rPr>
          <w:rFonts w:ascii="Times New Roman" w:hAnsi="Times New Roman" w:cs="Times New Roman"/>
          <w:b/>
          <w:bCs/>
          <w:kern w:val="44"/>
          <w:sz w:val="22"/>
          <w:szCs w:val="44"/>
        </w:rPr>
      </w:pPr>
      <w:r>
        <w:rPr>
          <w:rFonts w:ascii="Times New Roman" w:hAnsi="Times New Roman" w:cs="Times New Roman"/>
          <w:b/>
          <w:bCs/>
          <w:noProof/>
          <w:kern w:val="44"/>
          <w:sz w:val="22"/>
          <w:szCs w:val="44"/>
        </w:rPr>
        <w:lastRenderedPageBreak/>
        <w:drawing>
          <wp:inline distT="0" distB="0" distL="0" distR="0" wp14:anchorId="43F9E807" wp14:editId="65472683">
            <wp:extent cx="2226310" cy="2287270"/>
            <wp:effectExtent l="0" t="0" r="0" b="0"/>
            <wp:docPr id="19908000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800010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26569" cy="228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0D6B0" w14:textId="77777777" w:rsidR="000F369C" w:rsidRDefault="000F369C" w:rsidP="000F369C">
      <w:pPr>
        <w:rPr>
          <w:rFonts w:ascii="Times New Roman" w:hAnsi="Times New Roman" w:cs="Times New Roman"/>
          <w:b/>
          <w:sz w:val="18"/>
          <w:szCs w:val="16"/>
        </w:rPr>
      </w:pPr>
      <w:r>
        <w:rPr>
          <w:rFonts w:ascii="Times New Roman" w:hAnsi="Times New Roman" w:cs="Times New Roman"/>
          <w:b/>
          <w:sz w:val="18"/>
          <w:szCs w:val="16"/>
        </w:rPr>
        <w:t>Figure S7. Simpson diversity index of the intestinal microbiota in mice of each group.</w:t>
      </w:r>
    </w:p>
    <w:p w14:paraId="20F8DFBA" w14:textId="77777777" w:rsidR="000F369C" w:rsidRDefault="000F369C" w:rsidP="000F369C">
      <w:pPr>
        <w:jc w:val="center"/>
        <w:rPr>
          <w:rFonts w:ascii="Times New Roman" w:hAnsi="Times New Roman" w:cs="Times New Roman"/>
          <w:b/>
          <w:bCs/>
          <w:kern w:val="44"/>
          <w:sz w:val="22"/>
          <w:szCs w:val="44"/>
        </w:rPr>
      </w:pPr>
      <w:r>
        <w:rPr>
          <w:rFonts w:ascii="Times New Roman" w:hAnsi="Times New Roman" w:cs="Times New Roman"/>
          <w:b/>
          <w:bCs/>
          <w:noProof/>
          <w:kern w:val="44"/>
          <w:sz w:val="22"/>
          <w:szCs w:val="44"/>
        </w:rPr>
        <w:drawing>
          <wp:inline distT="0" distB="0" distL="0" distR="0" wp14:anchorId="759D64DA" wp14:editId="3232E34D">
            <wp:extent cx="3796665" cy="3599815"/>
            <wp:effectExtent l="0" t="0" r="0" b="0"/>
            <wp:docPr id="5874283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428331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687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6309D" w14:textId="06ABA87B" w:rsidR="00206440" w:rsidRDefault="000F369C" w:rsidP="000F369C">
      <w:pPr>
        <w:rPr>
          <w:rFonts w:hint="eastAsia"/>
        </w:rPr>
      </w:pPr>
      <w:r>
        <w:rPr>
          <w:rFonts w:ascii="Times New Roman" w:hAnsi="Times New Roman" w:cs="Times New Roman"/>
          <w:b/>
          <w:sz w:val="18"/>
          <w:szCs w:val="16"/>
        </w:rPr>
        <w:t>Figure S8. Relative abundance of Phyla in the mouse gut microbiota</w:t>
      </w:r>
      <w:r>
        <w:rPr>
          <w:rFonts w:ascii="Times New Roman" w:hAnsi="Times New Roman" w:cs="Times New Roman" w:hint="eastAsia"/>
          <w:b/>
          <w:sz w:val="18"/>
          <w:szCs w:val="16"/>
        </w:rPr>
        <w:t>.</w:t>
      </w:r>
    </w:p>
    <w:sectPr w:rsidR="0020644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369C"/>
    <w:rsid w:val="000F369C"/>
    <w:rsid w:val="00183F74"/>
    <w:rsid w:val="00206440"/>
    <w:rsid w:val="003650F1"/>
    <w:rsid w:val="00696618"/>
    <w:rsid w:val="006E5206"/>
    <w:rsid w:val="00923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C11F3C"/>
  <w15:chartTrackingRefBased/>
  <w15:docId w15:val="{8BD9B325-74C6-4838-9DC9-CDE915FCC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F369C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F369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F369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F369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F369C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F369C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F369C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F369C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F369C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F369C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F369C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F369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F369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F369C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F369C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0F369C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F369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F369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F369C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F369C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F369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F369C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F369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F369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F369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F369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F369C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F369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F369C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0F369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159</Words>
  <Characters>946</Characters>
  <Application>Microsoft Office Word</Application>
  <DocSecurity>0</DocSecurity>
  <Lines>13</Lines>
  <Paragraphs>2</Paragraphs>
  <ScaleCrop>false</ScaleCrop>
  <Company/>
  <LinksUpToDate>false</LinksUpToDate>
  <CharactersWithSpaces>1103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快快 兰</dc:creator>
  <cp:keywords/>
  <dc:description/>
  <cp:lastModifiedBy>快快 兰</cp:lastModifiedBy>
  <cp:revision>2</cp:revision>
  <dcterms:created xsi:type="dcterms:W3CDTF">2025-11-19T13:22:00Z</dcterms:created>
  <dcterms:modified xsi:type="dcterms:W3CDTF">2025-11-19T13:30:00Z</dcterms:modified>
</cp:coreProperties>
</file>