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86E8" w14:textId="77777777" w:rsidR="00E427AF" w:rsidRPr="00950847" w:rsidRDefault="00E427AF" w:rsidP="00E427AF">
      <w:pPr>
        <w:pStyle w:val="BodyText"/>
        <w:adjustRightInd w:val="0"/>
        <w:snapToGrid w:val="0"/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50847">
        <w:rPr>
          <w:rFonts w:ascii="Times New Roman" w:hAnsi="Times New Roman" w:cs="Times New Roman"/>
          <w:b/>
          <w:bCs/>
          <w:sz w:val="20"/>
          <w:szCs w:val="20"/>
        </w:rPr>
        <w:t>Table S1</w:t>
      </w:r>
      <w:r w:rsidRPr="00950847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 w:rsidRPr="00950847">
        <w:rPr>
          <w:rFonts w:ascii="Times New Roman" w:hAnsi="Times New Roman" w:cs="Times New Roman"/>
          <w:b/>
          <w:bCs/>
          <w:sz w:val="20"/>
          <w:szCs w:val="20"/>
        </w:rPr>
        <w:t>Patients received PD-1 inhibitors and Transplant Characteristics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3"/>
        <w:gridCol w:w="2333"/>
        <w:gridCol w:w="1445"/>
        <w:gridCol w:w="1445"/>
        <w:gridCol w:w="644"/>
      </w:tblGrid>
      <w:tr w:rsidR="00E427AF" w:rsidRPr="00950847" w14:paraId="214E4DB0" w14:textId="77777777" w:rsidTr="009B73F1">
        <w:trPr>
          <w:trHeight w:val="83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326BBE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</w:t>
            </w: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5C27F9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764E0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anti-PD-1 </w:t>
            </w:r>
          </w:p>
          <w:p w14:paraId="189C42D4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therapy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(N=23)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BC8227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Without </w:t>
            </w:r>
          </w:p>
          <w:p w14:paraId="03D9E26C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anti-PD-1 </w:t>
            </w:r>
          </w:p>
          <w:p w14:paraId="58CFEAF3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therapy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(N=10)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756271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E427AF" w:rsidRPr="00950847" w14:paraId="1D5784CD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071B19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aGVHD (%)</w:t>
            </w: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A776D5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86A0AC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7 (30.43)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CEB16A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5 (50)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78FB8F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</w:p>
        </w:tc>
      </w:tr>
      <w:tr w:rsidR="00E427AF" w:rsidRPr="00950847" w14:paraId="30FC1EDB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8E7CDF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594D0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ECF377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16 (69.56)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44E19D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5 (50)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902585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7AF" w:rsidRPr="00950847" w14:paraId="3339A703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38929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aGVHD</w:t>
            </w:r>
            <w:r w:rsidRPr="0095084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level (%)</w:t>
            </w: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5CC5A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17A236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B6C5D5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2 (20)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D082E0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E427AF" w:rsidRPr="00950847" w14:paraId="3638BE32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C8FD8C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B3CD6F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DCF28A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2 (8.69)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518275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 (10)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0692C1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7AF" w:rsidRPr="00950847" w14:paraId="27E3B28B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E553F7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D2EF5E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35AB50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2 (8.69)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F9DE72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D7B912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7AF" w:rsidRPr="00950847" w14:paraId="2F8AFC02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455184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5518AF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A0C25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3 (13.04)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4CA2D4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2 (20)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0F786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7AF" w:rsidRPr="00950847" w14:paraId="29139B44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F2A47C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Acute cutaneous GVHD (%)</w:t>
            </w: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9CCEA9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B10A4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E43152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2 (20)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44BD01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</w:tr>
      <w:tr w:rsidR="00E427AF" w:rsidRPr="00950847" w14:paraId="16759030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38599D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D2DB0A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29E3FB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2 (8.69)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1BC363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239770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7AF" w:rsidRPr="00950847" w14:paraId="559BE0E3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293583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F6C5A5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0929BB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 (4.34)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9295CB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8962B0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7AF" w:rsidRPr="00950847" w14:paraId="727B4785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0F547B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Acute hepatic GVHD</w:t>
            </w:r>
            <w:r w:rsidRPr="0095084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28E1BA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687DC1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 (4.34)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AD1F24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2 (20)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90939A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0.436</w:t>
            </w:r>
          </w:p>
        </w:tc>
      </w:tr>
      <w:tr w:rsidR="00E427AF" w:rsidRPr="00950847" w14:paraId="4BE8B3EE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73AB94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Acute gastrointestinal</w:t>
            </w:r>
          </w:p>
          <w:p w14:paraId="368A4D1E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GVHD (%)</w:t>
            </w: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BD5794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D5C73E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 (4.34)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4986BD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C2EC1C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0.523</w:t>
            </w:r>
          </w:p>
        </w:tc>
      </w:tr>
      <w:tr w:rsidR="00E427AF" w:rsidRPr="00950847" w14:paraId="2BE6D725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4B8F6C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C9F389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908551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575742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 (10)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BB48DC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7AF" w:rsidRPr="00950847" w14:paraId="3ED0341A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D87B43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FD8FFE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89F2EB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 (4.34)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38EDB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04AF92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7AF" w:rsidRPr="00950847" w14:paraId="6B743E15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6BAEE6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218525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FDC33F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4 (17.39)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380375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2 (20)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E9627D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7AF" w:rsidRPr="00950847" w14:paraId="4EDC4414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7EA250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cGVHD (%)</w:t>
            </w: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25CC7A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223000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5 (21.73)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983502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4 (40)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3672BC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0.511</w:t>
            </w:r>
          </w:p>
        </w:tc>
      </w:tr>
      <w:tr w:rsidR="00E427AF" w:rsidRPr="00950847" w14:paraId="7048610B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2C8C6D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1437A6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A78D23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18 (78.26)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DE232C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6 (60)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F8364F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7AF" w:rsidRPr="00950847" w14:paraId="00D7970F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BFD603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cGVHD sites (%)</w:t>
            </w: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82040A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Skin (cutaneous)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E1AA0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3 (13.04)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44C9CD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 (10)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FE8F9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</w:tr>
      <w:tr w:rsidR="00E427AF" w:rsidRPr="00950847" w14:paraId="7CD1A2E9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CACFF2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986B4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Nail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586B79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 (4.34)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1FAAEC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ECC86C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7AF" w:rsidRPr="00950847" w14:paraId="075D9D27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63B005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646E8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Eyes (ocular)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F13284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 (4.34)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2BED5C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 (10)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3DC28F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7AF" w:rsidRPr="00950847" w14:paraId="1CBE0972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62934C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B991F1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Lungs (pulmonary)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20A165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DC672C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 (10)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6EE7C3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7AF" w:rsidRPr="00950847" w14:paraId="35E47061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7D1994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4B2152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Mouth (oral)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4A4FD6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E580C2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 (10)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897F47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7AF" w:rsidRPr="00950847" w14:paraId="13C1AC21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B80BD0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Bacterial infection (%)</w:t>
            </w: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A9EFF3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66F866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13 (56.52)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542097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4 (40)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734242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0.621</w:t>
            </w:r>
          </w:p>
        </w:tc>
      </w:tr>
      <w:tr w:rsidR="00E427AF" w:rsidRPr="00950847" w14:paraId="0A07B390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F532C7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Fungal infection</w:t>
            </w:r>
            <w:r w:rsidRPr="0095084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A9A607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533B0D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9 (39.13)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0D39C4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3 (30)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6DD816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</w:tc>
      </w:tr>
      <w:tr w:rsidR="00E427AF" w:rsidRPr="00950847" w14:paraId="7FF92ED6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80608B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Viremia</w:t>
            </w:r>
            <w:r w:rsidRPr="0095084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04AE6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A39390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12 (52.17)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60D59B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4 (40)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EF4A11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0.792</w:t>
            </w:r>
          </w:p>
        </w:tc>
      </w:tr>
      <w:tr w:rsidR="00E427AF" w:rsidRPr="00950847" w14:paraId="7B06E45F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86CCF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Viral disease</w:t>
            </w:r>
            <w:r w:rsidRPr="0095084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71F811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46AA4D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10 (43.47)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0004D7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2 (20)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C6A724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0.371</w:t>
            </w:r>
          </w:p>
        </w:tc>
      </w:tr>
      <w:tr w:rsidR="00E427AF" w:rsidRPr="00950847" w14:paraId="04A65045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73F79D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Viral cystitis (%)</w:t>
            </w: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EF197A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B13631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12 (52.17)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789340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2 (20)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B5C07E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0.182</w:t>
            </w:r>
          </w:p>
        </w:tc>
      </w:tr>
      <w:tr w:rsidR="00E427AF" w:rsidRPr="00950847" w14:paraId="49EA536B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622285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Other infections (%)</w:t>
            </w:r>
          </w:p>
        </w:tc>
        <w:tc>
          <w:tcPr>
            <w:tcW w:w="1246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D33A64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74107B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3 (13.04)</w:t>
            </w:r>
          </w:p>
        </w:tc>
        <w:tc>
          <w:tcPr>
            <w:tcW w:w="772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A905CA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 (10)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4FFEAF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427AF" w:rsidRPr="00950847" w14:paraId="41F1E59E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  <w:bottom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8F1387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EBV (%)</w:t>
            </w:r>
          </w:p>
        </w:tc>
        <w:tc>
          <w:tcPr>
            <w:tcW w:w="1246" w:type="pct"/>
            <w:tcBorders>
              <w:top w:val="single" w:sz="4" w:space="0" w:color="000000"/>
              <w:bottom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ECEBD9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72" w:type="pct"/>
            <w:tcBorders>
              <w:top w:val="single" w:sz="4" w:space="0" w:color="000000"/>
              <w:bottom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20BA74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9 (39.13)</w:t>
            </w:r>
          </w:p>
        </w:tc>
        <w:tc>
          <w:tcPr>
            <w:tcW w:w="772" w:type="pct"/>
            <w:tcBorders>
              <w:top w:val="single" w:sz="4" w:space="0" w:color="000000"/>
              <w:bottom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9DA6B9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4 (40)</w:t>
            </w:r>
          </w:p>
        </w:tc>
        <w:tc>
          <w:tcPr>
            <w:tcW w:w="344" w:type="pct"/>
            <w:tcBorders>
              <w:top w:val="single" w:sz="4" w:space="0" w:color="000000"/>
              <w:bottom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11AB9F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427AF" w:rsidRPr="00950847" w14:paraId="25FBCFC8" w14:textId="77777777" w:rsidTr="009B73F1">
        <w:trPr>
          <w:trHeight w:val="285"/>
        </w:trPr>
        <w:tc>
          <w:tcPr>
            <w:tcW w:w="1866" w:type="pct"/>
            <w:tcBorders>
              <w:top w:val="single" w:sz="4" w:space="0" w:color="000000"/>
              <w:bottom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02A38E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CMV (%)</w:t>
            </w:r>
          </w:p>
        </w:tc>
        <w:tc>
          <w:tcPr>
            <w:tcW w:w="1246" w:type="pct"/>
            <w:tcBorders>
              <w:top w:val="single" w:sz="4" w:space="0" w:color="000000"/>
              <w:bottom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497187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72" w:type="pct"/>
            <w:tcBorders>
              <w:top w:val="single" w:sz="4" w:space="0" w:color="000000"/>
              <w:bottom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951418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12 (52.17)</w:t>
            </w:r>
          </w:p>
        </w:tc>
        <w:tc>
          <w:tcPr>
            <w:tcW w:w="772" w:type="pct"/>
            <w:tcBorders>
              <w:top w:val="single" w:sz="4" w:space="0" w:color="000000"/>
              <w:bottom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30C491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2 (20)</w:t>
            </w:r>
          </w:p>
        </w:tc>
        <w:tc>
          <w:tcPr>
            <w:tcW w:w="344" w:type="pct"/>
            <w:tcBorders>
              <w:top w:val="single" w:sz="4" w:space="0" w:color="000000"/>
              <w:bottom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F1E570" w14:textId="77777777" w:rsidR="00E427AF" w:rsidRPr="00950847" w:rsidRDefault="00E427AF" w:rsidP="009B73F1">
            <w:pPr>
              <w:pStyle w:val="NormalWeb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47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</w:tc>
      </w:tr>
    </w:tbl>
    <w:p w14:paraId="485EFA2E" w14:textId="77777777" w:rsidR="00E427AF" w:rsidRDefault="00E427AF" w:rsidP="00E427AF">
      <w:pPr>
        <w:pStyle w:val="BodyText"/>
        <w:adjustRightInd w:val="0"/>
        <w:snapToGrid w:val="0"/>
        <w:spacing w:afterLines="50" w:after="120" w:line="360" w:lineRule="auto"/>
        <w:rPr>
          <w:rFonts w:ascii="Times New Roman" w:hAnsi="Times New Roman" w:cs="Times New Roman"/>
          <w:sz w:val="24"/>
        </w:rPr>
      </w:pPr>
    </w:p>
    <w:p w14:paraId="7EB09E55" w14:textId="77777777" w:rsidR="00E427AF" w:rsidRDefault="00E427AF" w:rsidP="00E427AF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1A091A2" w14:textId="77777777" w:rsidR="00E427AF" w:rsidRPr="00451F7F" w:rsidRDefault="00E427AF" w:rsidP="00E427AF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451F7F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FigureS1:</w:t>
      </w:r>
    </w:p>
    <w:p w14:paraId="27FFADA0" w14:textId="77777777" w:rsidR="00E427AF" w:rsidRPr="00640AFB" w:rsidRDefault="00E427AF" w:rsidP="00E427AF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40AF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114300" distR="114300" wp14:anchorId="26DEB0A5" wp14:editId="21B42725">
            <wp:extent cx="5360035" cy="3241912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1"/>
                    <a:stretch/>
                  </pic:blipFill>
                  <pic:spPr bwMode="auto">
                    <a:xfrm>
                      <a:off x="0" y="0"/>
                      <a:ext cx="5360035" cy="3241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48854" w14:textId="77777777" w:rsidR="00E427AF" w:rsidRPr="00640AFB" w:rsidRDefault="00E427AF" w:rsidP="00E427AF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40AFB">
        <w:rPr>
          <w:rFonts w:ascii="Times New Roman" w:hAnsi="Times New Roman" w:cs="Times New Roman"/>
          <w:sz w:val="20"/>
          <w:szCs w:val="20"/>
        </w:rPr>
        <w:t>Figure S1 (A)Tier I somatic mutations oncoplot. (B)Tier I germline mutations oncoplot.</w:t>
      </w:r>
    </w:p>
    <w:p w14:paraId="19B0B3B2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AF"/>
    <w:rsid w:val="003C2EF4"/>
    <w:rsid w:val="00446799"/>
    <w:rsid w:val="00471820"/>
    <w:rsid w:val="006A7E07"/>
    <w:rsid w:val="006D1572"/>
    <w:rsid w:val="00701021"/>
    <w:rsid w:val="00866E40"/>
    <w:rsid w:val="00B74216"/>
    <w:rsid w:val="00CF0FCC"/>
    <w:rsid w:val="00D62F8C"/>
    <w:rsid w:val="00DE06E6"/>
    <w:rsid w:val="00E427AF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47616"/>
  <w15:chartTrackingRefBased/>
  <w15:docId w15:val="{91727D40-8F25-4548-AAB7-29CBBAAA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7AF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27A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7A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7AF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7AF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7AF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7AF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7AF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7AF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7AF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7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7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7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7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7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7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7A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2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7AF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2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7AF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27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7AF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27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7A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7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7A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E427AF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E427AF"/>
    <w:rPr>
      <w:rFonts w:eastAsiaTheme="minorEastAsia"/>
      <w:sz w:val="21"/>
      <w:lang w:eastAsia="zh-CN"/>
      <w14:ligatures w14:val="none"/>
    </w:rPr>
  </w:style>
  <w:style w:type="paragraph" w:styleId="NormalWeb">
    <w:name w:val="Normal (Web)"/>
    <w:basedOn w:val="Normal"/>
    <w:link w:val="NormalWebChar"/>
    <w:qFormat/>
    <w:rsid w:val="00E427AF"/>
    <w:rPr>
      <w:sz w:val="24"/>
    </w:rPr>
  </w:style>
  <w:style w:type="character" w:customStyle="1" w:styleId="NormalWebChar">
    <w:name w:val="Normal (Web) Char"/>
    <w:basedOn w:val="DefaultParagraphFont"/>
    <w:link w:val="NormalWeb"/>
    <w:qFormat/>
    <w:rsid w:val="00E427AF"/>
    <w:rPr>
      <w:rFonts w:eastAsiaTheme="minorEastAsia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1078</Characters>
  <Application>Microsoft Office Word</Application>
  <DocSecurity>0</DocSecurity>
  <Lines>8</Lines>
  <Paragraphs>2</Paragraphs>
  <ScaleCrop>false</ScaleCrop>
  <Company>Springer Nature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2026-08-19T05:54:00Z</dcterms:created>
  <dcterms:modified xsi:type="dcterms:W3CDTF">2026-08-19T05:54:00Z</dcterms:modified>
</cp:coreProperties>
</file>