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826F66" w14:textId="6374358D" w:rsidR="00E40155" w:rsidRDefault="00917EC2">
      <w:r>
        <w:t>Table 4. Comparison of Published Studies on Genicular Artery Embolization After Total Knee Arthroplasty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1"/>
        <w:gridCol w:w="1167"/>
        <w:gridCol w:w="809"/>
        <w:gridCol w:w="1051"/>
        <w:gridCol w:w="792"/>
        <w:gridCol w:w="1340"/>
        <w:gridCol w:w="1378"/>
        <w:gridCol w:w="1704"/>
      </w:tblGrid>
      <w:tr w:rsidR="00917EC2" w:rsidRPr="00917EC2" w14:paraId="3FC4F1FD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0EAE4A1" w14:textId="77777777" w:rsidR="00917EC2" w:rsidRPr="00917EC2" w:rsidRDefault="00917EC2" w:rsidP="00917EC2">
            <w:pPr>
              <w:rPr>
                <w:b/>
                <w:bCs/>
              </w:rPr>
            </w:pPr>
            <w:r w:rsidRPr="00917EC2">
              <w:rPr>
                <w:b/>
                <w:bCs/>
              </w:rPr>
              <w:t>Study</w:t>
            </w:r>
          </w:p>
        </w:tc>
        <w:tc>
          <w:tcPr>
            <w:tcW w:w="0" w:type="auto"/>
            <w:vAlign w:val="center"/>
            <w:hideMark/>
          </w:tcPr>
          <w:p w14:paraId="0E51CDA8" w14:textId="77777777" w:rsidR="00917EC2" w:rsidRPr="00917EC2" w:rsidRDefault="00917EC2" w:rsidP="00917EC2">
            <w:pPr>
              <w:rPr>
                <w:b/>
                <w:bCs/>
              </w:rPr>
            </w:pPr>
            <w:r w:rsidRPr="00917EC2">
              <w:rPr>
                <w:b/>
                <w:bCs/>
              </w:rPr>
              <w:t>Study Design</w:t>
            </w:r>
          </w:p>
        </w:tc>
        <w:tc>
          <w:tcPr>
            <w:tcW w:w="0" w:type="auto"/>
            <w:vAlign w:val="center"/>
            <w:hideMark/>
          </w:tcPr>
          <w:p w14:paraId="734B5F59" w14:textId="77777777" w:rsidR="00917EC2" w:rsidRPr="00917EC2" w:rsidRDefault="00917EC2" w:rsidP="00917EC2">
            <w:pPr>
              <w:rPr>
                <w:b/>
                <w:bCs/>
              </w:rPr>
            </w:pPr>
            <w:r w:rsidRPr="00917EC2">
              <w:rPr>
                <w:b/>
                <w:bCs/>
              </w:rPr>
              <w:t>Patients</w:t>
            </w:r>
          </w:p>
        </w:tc>
        <w:tc>
          <w:tcPr>
            <w:tcW w:w="0" w:type="auto"/>
            <w:vAlign w:val="center"/>
            <w:hideMark/>
          </w:tcPr>
          <w:p w14:paraId="2D95D7D0" w14:textId="77777777" w:rsidR="00917EC2" w:rsidRPr="00917EC2" w:rsidRDefault="00917EC2" w:rsidP="00917EC2">
            <w:pPr>
              <w:rPr>
                <w:b/>
                <w:bCs/>
              </w:rPr>
            </w:pPr>
            <w:r w:rsidRPr="00917EC2">
              <w:rPr>
                <w:b/>
                <w:bCs/>
              </w:rPr>
              <w:t>Indication</w:t>
            </w:r>
          </w:p>
        </w:tc>
        <w:tc>
          <w:tcPr>
            <w:tcW w:w="0" w:type="auto"/>
            <w:vAlign w:val="center"/>
            <w:hideMark/>
          </w:tcPr>
          <w:p w14:paraId="6885116A" w14:textId="77777777" w:rsidR="00917EC2" w:rsidRPr="00917EC2" w:rsidRDefault="00917EC2" w:rsidP="00917EC2">
            <w:pPr>
              <w:rPr>
                <w:b/>
                <w:bCs/>
              </w:rPr>
            </w:pPr>
            <w:r w:rsidRPr="00917EC2">
              <w:rPr>
                <w:b/>
                <w:bCs/>
              </w:rPr>
              <w:t>Timing After TKA</w:t>
            </w:r>
          </w:p>
        </w:tc>
        <w:tc>
          <w:tcPr>
            <w:tcW w:w="0" w:type="auto"/>
            <w:vAlign w:val="center"/>
            <w:hideMark/>
          </w:tcPr>
          <w:p w14:paraId="53F9FAF4" w14:textId="77777777" w:rsidR="00917EC2" w:rsidRPr="00917EC2" w:rsidRDefault="00917EC2" w:rsidP="00917EC2">
            <w:pPr>
              <w:rPr>
                <w:b/>
                <w:bCs/>
              </w:rPr>
            </w:pPr>
            <w:r w:rsidRPr="00917EC2">
              <w:rPr>
                <w:b/>
                <w:bCs/>
              </w:rPr>
              <w:t>Embolic Material</w:t>
            </w:r>
          </w:p>
        </w:tc>
        <w:tc>
          <w:tcPr>
            <w:tcW w:w="0" w:type="auto"/>
            <w:vAlign w:val="center"/>
            <w:hideMark/>
          </w:tcPr>
          <w:p w14:paraId="381D4E9D" w14:textId="77777777" w:rsidR="00917EC2" w:rsidRPr="00917EC2" w:rsidRDefault="00917EC2" w:rsidP="00917EC2">
            <w:pPr>
              <w:rPr>
                <w:b/>
                <w:bCs/>
              </w:rPr>
            </w:pPr>
            <w:r w:rsidRPr="00917EC2">
              <w:rPr>
                <w:b/>
                <w:bCs/>
              </w:rPr>
              <w:t>Embolization Strategy</w:t>
            </w:r>
          </w:p>
        </w:tc>
        <w:tc>
          <w:tcPr>
            <w:tcW w:w="0" w:type="auto"/>
            <w:vAlign w:val="center"/>
            <w:hideMark/>
          </w:tcPr>
          <w:p w14:paraId="575DAD0F" w14:textId="77777777" w:rsidR="00917EC2" w:rsidRPr="00917EC2" w:rsidRDefault="00917EC2" w:rsidP="00917EC2">
            <w:pPr>
              <w:rPr>
                <w:b/>
                <w:bCs/>
              </w:rPr>
            </w:pPr>
            <w:r w:rsidRPr="00917EC2">
              <w:rPr>
                <w:b/>
                <w:bCs/>
              </w:rPr>
              <w:t>Key Findings</w:t>
            </w:r>
          </w:p>
        </w:tc>
      </w:tr>
      <w:tr w:rsidR="00917EC2" w:rsidRPr="00917EC2" w14:paraId="3F85E8A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91DFFA0" w14:textId="77777777" w:rsidR="00917EC2" w:rsidRPr="00917EC2" w:rsidRDefault="00917EC2" w:rsidP="00917EC2">
            <w:r w:rsidRPr="00917EC2">
              <w:rPr>
                <w:b/>
                <w:bCs/>
              </w:rPr>
              <w:t>Chau et al., 2023</w:t>
            </w:r>
          </w:p>
        </w:tc>
        <w:tc>
          <w:tcPr>
            <w:tcW w:w="0" w:type="auto"/>
            <w:vAlign w:val="center"/>
            <w:hideMark/>
          </w:tcPr>
          <w:p w14:paraId="2EE46F2C" w14:textId="77777777" w:rsidR="00917EC2" w:rsidRPr="00917EC2" w:rsidRDefault="00917EC2" w:rsidP="00917EC2">
            <w:r w:rsidRPr="00917EC2">
              <w:t>Prospective pilot study</w:t>
            </w:r>
          </w:p>
        </w:tc>
        <w:tc>
          <w:tcPr>
            <w:tcW w:w="0" w:type="auto"/>
            <w:vAlign w:val="center"/>
            <w:hideMark/>
          </w:tcPr>
          <w:p w14:paraId="0C89C0DB" w14:textId="77777777" w:rsidR="00917EC2" w:rsidRPr="00917EC2" w:rsidRDefault="00917EC2" w:rsidP="00917EC2">
            <w:r w:rsidRPr="00917EC2">
              <w:t>12</w:t>
            </w:r>
          </w:p>
        </w:tc>
        <w:tc>
          <w:tcPr>
            <w:tcW w:w="0" w:type="auto"/>
            <w:vAlign w:val="center"/>
            <w:hideMark/>
          </w:tcPr>
          <w:p w14:paraId="1BB84B2E" w14:textId="77777777" w:rsidR="00917EC2" w:rsidRPr="00917EC2" w:rsidRDefault="00917EC2" w:rsidP="00917EC2">
            <w:r w:rsidRPr="00917EC2">
              <w:rPr>
                <w:b/>
                <w:bCs/>
              </w:rPr>
              <w:t>Chronic pain after TKA</w:t>
            </w:r>
          </w:p>
        </w:tc>
        <w:tc>
          <w:tcPr>
            <w:tcW w:w="0" w:type="auto"/>
            <w:vAlign w:val="center"/>
            <w:hideMark/>
          </w:tcPr>
          <w:p w14:paraId="0828F157" w14:textId="77777777" w:rsidR="00917EC2" w:rsidRPr="00917EC2" w:rsidRDefault="00917EC2" w:rsidP="00917EC2">
            <w:r w:rsidRPr="00917EC2">
              <w:t>Chronic</w:t>
            </w:r>
          </w:p>
        </w:tc>
        <w:tc>
          <w:tcPr>
            <w:tcW w:w="0" w:type="auto"/>
            <w:vAlign w:val="center"/>
            <w:hideMark/>
          </w:tcPr>
          <w:p w14:paraId="25BF50FA" w14:textId="77777777" w:rsidR="00917EC2" w:rsidRPr="00917EC2" w:rsidRDefault="00917EC2" w:rsidP="00917EC2">
            <w:r w:rsidRPr="00917EC2">
              <w:t>75-µm spherical particles</w:t>
            </w:r>
          </w:p>
        </w:tc>
        <w:tc>
          <w:tcPr>
            <w:tcW w:w="0" w:type="auto"/>
            <w:vAlign w:val="center"/>
            <w:hideMark/>
          </w:tcPr>
          <w:p w14:paraId="37924D67" w14:textId="77777777" w:rsidR="00917EC2" w:rsidRPr="00917EC2" w:rsidRDefault="00917EC2" w:rsidP="00917EC2">
            <w:r w:rsidRPr="00917EC2">
              <w:t>Hyperemic synovial embolization</w:t>
            </w:r>
          </w:p>
        </w:tc>
        <w:tc>
          <w:tcPr>
            <w:tcW w:w="0" w:type="auto"/>
            <w:vAlign w:val="center"/>
            <w:hideMark/>
          </w:tcPr>
          <w:p w14:paraId="02B0464F" w14:textId="77777777" w:rsidR="00917EC2" w:rsidRPr="00917EC2" w:rsidRDefault="00917EC2" w:rsidP="00917EC2">
            <w:r w:rsidRPr="00917EC2">
              <w:t>Improved pain scores and KOOS outcomes</w:t>
            </w:r>
          </w:p>
        </w:tc>
      </w:tr>
      <w:tr w:rsidR="00917EC2" w:rsidRPr="00917EC2" w14:paraId="13A443A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F3BA2CC" w14:textId="77777777" w:rsidR="00917EC2" w:rsidRPr="00917EC2" w:rsidRDefault="00917EC2" w:rsidP="00917EC2">
            <w:r w:rsidRPr="00917EC2">
              <w:rPr>
                <w:b/>
                <w:bCs/>
              </w:rPr>
              <w:t>Zhou et al., 2024</w:t>
            </w:r>
          </w:p>
        </w:tc>
        <w:tc>
          <w:tcPr>
            <w:tcW w:w="0" w:type="auto"/>
            <w:vAlign w:val="center"/>
            <w:hideMark/>
          </w:tcPr>
          <w:p w14:paraId="7DE118D7" w14:textId="77777777" w:rsidR="00917EC2" w:rsidRPr="00917EC2" w:rsidRDefault="00917EC2" w:rsidP="00917EC2">
            <w:r w:rsidRPr="00917EC2">
              <w:t>Case series</w:t>
            </w:r>
          </w:p>
        </w:tc>
        <w:tc>
          <w:tcPr>
            <w:tcW w:w="0" w:type="auto"/>
            <w:vAlign w:val="center"/>
            <w:hideMark/>
          </w:tcPr>
          <w:p w14:paraId="3F82DACE" w14:textId="77777777" w:rsidR="00917EC2" w:rsidRPr="00917EC2" w:rsidRDefault="00917EC2" w:rsidP="00917EC2">
            <w:r w:rsidRPr="00917EC2">
              <w:t>6</w:t>
            </w:r>
          </w:p>
        </w:tc>
        <w:tc>
          <w:tcPr>
            <w:tcW w:w="0" w:type="auto"/>
            <w:vAlign w:val="center"/>
            <w:hideMark/>
          </w:tcPr>
          <w:p w14:paraId="1A10DD7D" w14:textId="77777777" w:rsidR="00917EC2" w:rsidRPr="00917EC2" w:rsidRDefault="00917EC2" w:rsidP="00917EC2">
            <w:r w:rsidRPr="00917EC2">
              <w:rPr>
                <w:b/>
                <w:bCs/>
              </w:rPr>
              <w:t>Chronic pain after TKA</w:t>
            </w:r>
          </w:p>
        </w:tc>
        <w:tc>
          <w:tcPr>
            <w:tcW w:w="0" w:type="auto"/>
            <w:vAlign w:val="center"/>
            <w:hideMark/>
          </w:tcPr>
          <w:p w14:paraId="140DD749" w14:textId="77777777" w:rsidR="00917EC2" w:rsidRPr="00917EC2" w:rsidRDefault="00917EC2" w:rsidP="00917EC2">
            <w:r w:rsidRPr="00917EC2">
              <w:t>Chronic</w:t>
            </w:r>
          </w:p>
        </w:tc>
        <w:tc>
          <w:tcPr>
            <w:tcW w:w="0" w:type="auto"/>
            <w:vAlign w:val="center"/>
            <w:hideMark/>
          </w:tcPr>
          <w:p w14:paraId="7208BAF2" w14:textId="77777777" w:rsidR="00917EC2" w:rsidRPr="00917EC2" w:rsidRDefault="00917EC2" w:rsidP="00917EC2">
            <w:r w:rsidRPr="00917EC2">
              <w:t>Particles</w:t>
            </w:r>
          </w:p>
        </w:tc>
        <w:tc>
          <w:tcPr>
            <w:tcW w:w="0" w:type="auto"/>
            <w:vAlign w:val="center"/>
            <w:hideMark/>
          </w:tcPr>
          <w:p w14:paraId="53F8D54B" w14:textId="77777777" w:rsidR="00917EC2" w:rsidRPr="00917EC2" w:rsidRDefault="00917EC2" w:rsidP="00917EC2">
            <w:r w:rsidRPr="00917EC2">
              <w:t>Combined GAE + genicular nerve block</w:t>
            </w:r>
          </w:p>
        </w:tc>
        <w:tc>
          <w:tcPr>
            <w:tcW w:w="0" w:type="auto"/>
            <w:vAlign w:val="center"/>
            <w:hideMark/>
          </w:tcPr>
          <w:p w14:paraId="0C1B6FFF" w14:textId="77777777" w:rsidR="00917EC2" w:rsidRPr="00917EC2" w:rsidRDefault="00917EC2" w:rsidP="00917EC2">
            <w:r w:rsidRPr="00917EC2">
              <w:t>Combined therapy improved pain outcomes</w:t>
            </w:r>
          </w:p>
        </w:tc>
      </w:tr>
      <w:tr w:rsidR="00917EC2" w:rsidRPr="00917EC2" w14:paraId="644AE13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C367F5" w14:textId="77777777" w:rsidR="00917EC2" w:rsidRPr="00917EC2" w:rsidRDefault="00917EC2" w:rsidP="00917EC2">
            <w:r w:rsidRPr="00917EC2">
              <w:rPr>
                <w:b/>
                <w:bCs/>
              </w:rPr>
              <w:t>Bertoni et al., 2025</w:t>
            </w:r>
          </w:p>
        </w:tc>
        <w:tc>
          <w:tcPr>
            <w:tcW w:w="0" w:type="auto"/>
            <w:vAlign w:val="center"/>
            <w:hideMark/>
          </w:tcPr>
          <w:p w14:paraId="2677EE22" w14:textId="77777777" w:rsidR="00917EC2" w:rsidRPr="00917EC2" w:rsidRDefault="00917EC2" w:rsidP="00917EC2">
            <w:r w:rsidRPr="00917EC2">
              <w:t>Initial clinical experience</w:t>
            </w:r>
          </w:p>
        </w:tc>
        <w:tc>
          <w:tcPr>
            <w:tcW w:w="0" w:type="auto"/>
            <w:vAlign w:val="center"/>
            <w:hideMark/>
          </w:tcPr>
          <w:p w14:paraId="61F756CE" w14:textId="77777777" w:rsidR="00917EC2" w:rsidRPr="00917EC2" w:rsidRDefault="00917EC2" w:rsidP="00917EC2">
            <w:r w:rsidRPr="00917EC2">
              <w:t>15</w:t>
            </w:r>
          </w:p>
        </w:tc>
        <w:tc>
          <w:tcPr>
            <w:tcW w:w="0" w:type="auto"/>
            <w:vAlign w:val="center"/>
            <w:hideMark/>
          </w:tcPr>
          <w:p w14:paraId="68CA0F79" w14:textId="77777777" w:rsidR="00917EC2" w:rsidRPr="00917EC2" w:rsidRDefault="00917EC2" w:rsidP="00917EC2">
            <w:r w:rsidRPr="00917EC2">
              <w:rPr>
                <w:b/>
                <w:bCs/>
              </w:rPr>
              <w:t>Persistent pain after TKA</w:t>
            </w:r>
          </w:p>
        </w:tc>
        <w:tc>
          <w:tcPr>
            <w:tcW w:w="0" w:type="auto"/>
            <w:vAlign w:val="center"/>
            <w:hideMark/>
          </w:tcPr>
          <w:p w14:paraId="2AC091B7" w14:textId="77777777" w:rsidR="00917EC2" w:rsidRPr="00917EC2" w:rsidRDefault="00917EC2" w:rsidP="00917EC2">
            <w:r w:rsidRPr="00917EC2">
              <w:t>Chronic</w:t>
            </w:r>
          </w:p>
        </w:tc>
        <w:tc>
          <w:tcPr>
            <w:tcW w:w="0" w:type="auto"/>
            <w:vAlign w:val="center"/>
            <w:hideMark/>
          </w:tcPr>
          <w:p w14:paraId="38A2DD84" w14:textId="77777777" w:rsidR="00917EC2" w:rsidRPr="00917EC2" w:rsidRDefault="00917EC2" w:rsidP="00917EC2">
            <w:r w:rsidRPr="00917EC2">
              <w:t>Microspheres</w:t>
            </w:r>
          </w:p>
        </w:tc>
        <w:tc>
          <w:tcPr>
            <w:tcW w:w="0" w:type="auto"/>
            <w:vAlign w:val="center"/>
            <w:hideMark/>
          </w:tcPr>
          <w:p w14:paraId="5B18E818" w14:textId="77777777" w:rsidR="00917EC2" w:rsidRPr="00917EC2" w:rsidRDefault="00917EC2" w:rsidP="00917EC2">
            <w:r w:rsidRPr="00917EC2">
              <w:t>Selective</w:t>
            </w:r>
          </w:p>
        </w:tc>
        <w:tc>
          <w:tcPr>
            <w:tcW w:w="0" w:type="auto"/>
            <w:vAlign w:val="center"/>
            <w:hideMark/>
          </w:tcPr>
          <w:p w14:paraId="658CC412" w14:textId="77777777" w:rsidR="00917EC2" w:rsidRPr="00917EC2" w:rsidRDefault="00917EC2" w:rsidP="00917EC2">
            <w:r w:rsidRPr="00917EC2">
              <w:t>Demonstrated feasibility and clinical improvement</w:t>
            </w:r>
          </w:p>
        </w:tc>
      </w:tr>
      <w:tr w:rsidR="00917EC2" w:rsidRPr="00917EC2" w14:paraId="0F738BA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7AE2244" w14:textId="77777777" w:rsidR="00917EC2" w:rsidRPr="00917EC2" w:rsidRDefault="00917EC2" w:rsidP="00917EC2">
            <w:r w:rsidRPr="00917EC2">
              <w:rPr>
                <w:b/>
                <w:bCs/>
              </w:rPr>
              <w:t>Present study</w:t>
            </w:r>
          </w:p>
        </w:tc>
        <w:tc>
          <w:tcPr>
            <w:tcW w:w="0" w:type="auto"/>
            <w:vAlign w:val="center"/>
            <w:hideMark/>
          </w:tcPr>
          <w:p w14:paraId="5E656225" w14:textId="77777777" w:rsidR="00917EC2" w:rsidRPr="00917EC2" w:rsidRDefault="00917EC2" w:rsidP="00917EC2">
            <w:r w:rsidRPr="00917EC2">
              <w:t>Pilot study</w:t>
            </w:r>
          </w:p>
        </w:tc>
        <w:tc>
          <w:tcPr>
            <w:tcW w:w="0" w:type="auto"/>
            <w:vAlign w:val="center"/>
            <w:hideMark/>
          </w:tcPr>
          <w:p w14:paraId="7272FE4E" w14:textId="316B9A7B" w:rsidR="00917EC2" w:rsidRPr="00917EC2" w:rsidRDefault="003809E2" w:rsidP="00917EC2">
            <w:r>
              <w:t>15</w:t>
            </w:r>
          </w:p>
        </w:tc>
        <w:tc>
          <w:tcPr>
            <w:tcW w:w="0" w:type="auto"/>
            <w:vAlign w:val="center"/>
            <w:hideMark/>
          </w:tcPr>
          <w:p w14:paraId="4092E082" w14:textId="73903D6B" w:rsidR="00917EC2" w:rsidRPr="00917EC2" w:rsidRDefault="00917EC2" w:rsidP="00917EC2">
            <w:r w:rsidRPr="00917EC2">
              <w:rPr>
                <w:b/>
                <w:bCs/>
              </w:rPr>
              <w:t>Chronic pain after TKA</w:t>
            </w:r>
          </w:p>
        </w:tc>
        <w:tc>
          <w:tcPr>
            <w:tcW w:w="0" w:type="auto"/>
            <w:vAlign w:val="center"/>
            <w:hideMark/>
          </w:tcPr>
          <w:p w14:paraId="5DBBC3E6" w14:textId="09E7341A" w:rsidR="00917EC2" w:rsidRPr="00917EC2" w:rsidRDefault="00917EC2" w:rsidP="00917EC2">
            <w:r w:rsidRPr="00917EC2">
              <w:t>Chronic</w:t>
            </w:r>
          </w:p>
        </w:tc>
        <w:tc>
          <w:tcPr>
            <w:tcW w:w="0" w:type="auto"/>
            <w:vAlign w:val="center"/>
            <w:hideMark/>
          </w:tcPr>
          <w:p w14:paraId="0757453F" w14:textId="4B1CC237" w:rsidR="00917EC2" w:rsidRPr="00917EC2" w:rsidRDefault="00917EC2" w:rsidP="00917EC2">
            <w:r>
              <w:rPr>
                <w:b/>
                <w:bCs/>
              </w:rPr>
              <w:t>IMP/CLS</w:t>
            </w:r>
          </w:p>
        </w:tc>
        <w:tc>
          <w:tcPr>
            <w:tcW w:w="0" w:type="auto"/>
            <w:vAlign w:val="center"/>
            <w:hideMark/>
          </w:tcPr>
          <w:p w14:paraId="3A082A93" w14:textId="5F67CC18" w:rsidR="00917EC2" w:rsidRPr="00917EC2" w:rsidRDefault="00917EC2" w:rsidP="00917EC2">
            <w:r w:rsidRPr="00917EC2">
              <w:t>Hyperemic synovial embolization</w:t>
            </w:r>
          </w:p>
        </w:tc>
        <w:tc>
          <w:tcPr>
            <w:tcW w:w="0" w:type="auto"/>
            <w:vAlign w:val="center"/>
            <w:hideMark/>
          </w:tcPr>
          <w:p w14:paraId="66561514" w14:textId="25428939" w:rsidR="00917EC2" w:rsidRPr="00917EC2" w:rsidRDefault="00A61FAE" w:rsidP="00917EC2">
            <w:r w:rsidRPr="00A61FAE">
              <w:t>Early pain reduction with partial mid-term attenuation and favorable safety profile.</w:t>
            </w:r>
          </w:p>
        </w:tc>
      </w:tr>
    </w:tbl>
    <w:p w14:paraId="55CCF775" w14:textId="77777777" w:rsidR="00917EC2" w:rsidRDefault="00917EC2"/>
    <w:sectPr w:rsidR="00917E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7EC2"/>
    <w:rsid w:val="000A712D"/>
    <w:rsid w:val="003809E2"/>
    <w:rsid w:val="003C1795"/>
    <w:rsid w:val="00705C3C"/>
    <w:rsid w:val="007F7C1D"/>
    <w:rsid w:val="008B5A4A"/>
    <w:rsid w:val="00917EC2"/>
    <w:rsid w:val="00A61FAE"/>
    <w:rsid w:val="00B744C0"/>
    <w:rsid w:val="00E40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1187B6"/>
  <w15:chartTrackingRefBased/>
  <w15:docId w15:val="{661A6AD4-FDBF-4C65-8EB4-DBD928382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17E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7E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7EC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7E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7EC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7E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7E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7E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7E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7EC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7EC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7EC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7EC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7EC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7E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7E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7E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7E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7E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17E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7E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17E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7E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17E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7E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17EC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7EC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7EC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7EC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132</Words>
  <Characters>753</Characters>
  <Application>Microsoft Office Word</Application>
  <DocSecurity>0</DocSecurity>
  <Lines>6</Lines>
  <Paragraphs>1</Paragraphs>
  <ScaleCrop>false</ScaleCrop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STATION156_4</dc:creator>
  <cp:keywords/>
  <dc:description/>
  <cp:lastModifiedBy>H. Saygin Tuna</cp:lastModifiedBy>
  <cp:revision>5</cp:revision>
  <dcterms:created xsi:type="dcterms:W3CDTF">2026-03-04T07:12:00Z</dcterms:created>
  <dcterms:modified xsi:type="dcterms:W3CDTF">2026-03-11T00:12:00Z</dcterms:modified>
</cp:coreProperties>
</file>