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berschrift1"/>
      </w:pPr>
      <w:r>
        <w:t>Table 3. Time Course of NRS, WOMAC, KOOS, and TACS Scores with IQR and p Values</w:t>
      </w:r>
    </w:p>
    <w:tbl>
      <w:tblPr>
        <w:tblW w:w="9412" w:type="dxa"/>
        <w:tblLook w:val="04A0" w:firstRow="1" w:lastRow="0" w:firstColumn="1" w:lastColumn="0" w:noHBand="0" w:noVBand="1"/>
      </w:tblPr>
      <w:tblGrid>
        <w:gridCol w:w="1061"/>
        <w:gridCol w:w="872"/>
        <w:gridCol w:w="965"/>
        <w:gridCol w:w="915"/>
        <w:gridCol w:w="1051"/>
        <w:gridCol w:w="915"/>
        <w:gridCol w:w="965"/>
        <w:gridCol w:w="915"/>
        <w:gridCol w:w="965"/>
        <w:gridCol w:w="788"/>
      </w:tblGrid>
      <w:tr>
        <w:trPr>
          <w:trHeight w:val="1388"/>
        </w:trPr>
        <w:tc>
          <w:tcPr>
            <w:tcW w:w="1061" w:type="dxa"/>
          </w:tcPr>
          <w:p>
            <w:r>
              <w:t>Time point</w:t>
            </w:r>
          </w:p>
        </w:tc>
        <w:tc>
          <w:tcPr>
            <w:tcW w:w="872" w:type="dxa"/>
          </w:tcPr>
          <w:p>
            <w:r>
              <w:t>Paired n</w:t>
            </w:r>
          </w:p>
        </w:tc>
        <w:tc>
          <w:tcPr>
            <w:tcW w:w="965" w:type="dxa"/>
          </w:tcPr>
          <w:p>
            <w:r>
              <w:t>NRS median (IQR)</w:t>
            </w:r>
          </w:p>
        </w:tc>
        <w:tc>
          <w:tcPr>
            <w:tcW w:w="915" w:type="dxa"/>
          </w:tcPr>
          <w:p>
            <w:r>
              <w:t>p vs BL</w:t>
            </w:r>
          </w:p>
        </w:tc>
        <w:tc>
          <w:tcPr>
            <w:tcW w:w="1051" w:type="dxa"/>
          </w:tcPr>
          <w:p>
            <w:r>
              <w:t>WOMAC median (IQR)</w:t>
            </w:r>
          </w:p>
        </w:tc>
        <w:tc>
          <w:tcPr>
            <w:tcW w:w="915" w:type="dxa"/>
          </w:tcPr>
          <w:p>
            <w:r>
              <w:t>p vs BL</w:t>
            </w:r>
          </w:p>
        </w:tc>
        <w:tc>
          <w:tcPr>
            <w:tcW w:w="965" w:type="dxa"/>
          </w:tcPr>
          <w:p>
            <w:r>
              <w:t>KOOS median (IQR)</w:t>
            </w:r>
          </w:p>
        </w:tc>
        <w:tc>
          <w:tcPr>
            <w:tcW w:w="915" w:type="dxa"/>
          </w:tcPr>
          <w:p>
            <w:r>
              <w:t>p vs BL</w:t>
            </w:r>
          </w:p>
        </w:tc>
        <w:tc>
          <w:tcPr>
            <w:tcW w:w="965" w:type="dxa"/>
          </w:tcPr>
          <w:p>
            <w:r>
              <w:t>TACS median (IQR)</w:t>
            </w:r>
          </w:p>
        </w:tc>
        <w:tc>
          <w:tcPr>
            <w:tcW w:w="788" w:type="dxa"/>
          </w:tcPr>
          <w:p>
            <w:r>
              <w:t>p vs BL</w:t>
            </w:r>
          </w:p>
        </w:tc>
      </w:tr>
      <w:tr>
        <w:trPr>
          <w:trHeight w:val="1077"/>
        </w:trPr>
        <w:tc>
          <w:tcPr>
            <w:tcW w:w="1061" w:type="dxa"/>
          </w:tcPr>
          <w:p>
            <w:r>
              <w:t>Baseline</w:t>
            </w:r>
          </w:p>
        </w:tc>
        <w:tc>
          <w:tcPr>
            <w:tcW w:w="872" w:type="dxa"/>
          </w:tcPr>
          <w:p>
            <w:r>
              <w:t>15</w:t>
            </w:r>
          </w:p>
        </w:tc>
        <w:tc>
          <w:tcPr>
            <w:tcW w:w="965" w:type="dxa"/>
          </w:tcPr>
          <w:p>
            <w:r>
              <w:t>7.0 (6.0–8.0)</w:t>
            </w:r>
          </w:p>
        </w:tc>
        <w:tc>
          <w:tcPr>
            <w:tcW w:w="915" w:type="dxa"/>
          </w:tcPr>
          <w:p>
            <w:r>
              <w:t>—</w:t>
            </w:r>
          </w:p>
        </w:tc>
        <w:tc>
          <w:tcPr>
            <w:tcW w:w="1051" w:type="dxa"/>
          </w:tcPr>
          <w:p>
            <w:r>
              <w:t>32.0 (27.5–43.5)</w:t>
            </w:r>
          </w:p>
        </w:tc>
        <w:tc>
          <w:tcPr>
            <w:tcW w:w="915" w:type="dxa"/>
          </w:tcPr>
          <w:p>
            <w:r>
              <w:t>—</w:t>
            </w:r>
          </w:p>
        </w:tc>
        <w:tc>
          <w:tcPr>
            <w:tcW w:w="965" w:type="dxa"/>
          </w:tcPr>
          <w:p>
            <w:r>
              <w:t>20.0 (17.0–23.0)</w:t>
            </w:r>
          </w:p>
        </w:tc>
        <w:tc>
          <w:tcPr>
            <w:tcW w:w="915" w:type="dxa"/>
          </w:tcPr>
          <w:p>
            <w:r>
              <w:t>—</w:t>
            </w:r>
          </w:p>
        </w:tc>
        <w:tc>
          <w:tcPr>
            <w:tcW w:w="965" w:type="dxa"/>
          </w:tcPr>
          <w:p>
            <w:r>
              <w:t>1.0 (0–3)</w:t>
            </w:r>
          </w:p>
        </w:tc>
        <w:tc>
          <w:tcPr>
            <w:tcW w:w="788" w:type="dxa"/>
          </w:tcPr>
          <w:p>
            <w:r>
              <w:t>—</w:t>
            </w:r>
          </w:p>
        </w:tc>
      </w:tr>
      <w:tr>
        <w:trPr>
          <w:trHeight w:val="1089"/>
        </w:trPr>
        <w:tc>
          <w:tcPr>
            <w:tcW w:w="1061" w:type="dxa"/>
          </w:tcPr>
          <w:p>
            <w:r>
              <w:t>1 month</w:t>
            </w:r>
          </w:p>
        </w:tc>
        <w:tc>
          <w:tcPr>
            <w:tcW w:w="872" w:type="dxa"/>
          </w:tcPr>
          <w:p>
            <w:r>
              <w:t>15</w:t>
            </w:r>
          </w:p>
        </w:tc>
        <w:tc>
          <w:tcPr>
            <w:tcW w:w="965" w:type="dxa"/>
          </w:tcPr>
          <w:p>
            <w:r>
              <w:t>1.0 (0.0–2.0)</w:t>
            </w:r>
          </w:p>
        </w:tc>
        <w:tc>
          <w:tcPr>
            <w:tcW w:w="915" w:type="dxa"/>
          </w:tcPr>
          <w:p>
            <w:r>
              <w:t>&lt;0.001</w:t>
            </w:r>
          </w:p>
        </w:tc>
        <w:tc>
          <w:tcPr>
            <w:tcW w:w="1051" w:type="dxa"/>
          </w:tcPr>
          <w:p>
            <w:r>
              <w:t>18.0 (14.0–25.0)</w:t>
            </w:r>
          </w:p>
        </w:tc>
        <w:tc>
          <w:tcPr>
            <w:tcW w:w="915" w:type="dxa"/>
          </w:tcPr>
          <w:p>
            <w:r>
              <w:t>&lt;0.001</w:t>
            </w:r>
          </w:p>
        </w:tc>
        <w:tc>
          <w:tcPr>
            <w:tcW w:w="965" w:type="dxa"/>
          </w:tcPr>
          <w:p>
            <w:r>
              <w:t>14.0 (12.0–18.0)</w:t>
            </w:r>
          </w:p>
        </w:tc>
        <w:tc>
          <w:tcPr>
            <w:tcW w:w="915" w:type="dxa"/>
          </w:tcPr>
          <w:p>
            <w:r>
              <w:t>&lt;0.001</w:t>
            </w:r>
          </w:p>
        </w:tc>
        <w:tc>
          <w:tcPr>
            <w:tcW w:w="965" w:type="dxa"/>
          </w:tcPr>
          <w:p>
            <w:r>
              <w:t>0.0 (0–1)</w:t>
            </w:r>
          </w:p>
        </w:tc>
        <w:tc>
          <w:tcPr>
            <w:tcW w:w="788" w:type="dxa"/>
          </w:tcPr>
          <w:p>
            <w:r>
              <w:t>0.004</w:t>
            </w:r>
          </w:p>
        </w:tc>
      </w:tr>
      <w:tr>
        <w:trPr>
          <w:trHeight w:val="1089"/>
        </w:trPr>
        <w:tc>
          <w:tcPr>
            <w:tcW w:w="1061" w:type="dxa"/>
          </w:tcPr>
          <w:p>
            <w:r>
              <w:t>3 months</w:t>
            </w:r>
          </w:p>
        </w:tc>
        <w:tc>
          <w:tcPr>
            <w:tcW w:w="872" w:type="dxa"/>
          </w:tcPr>
          <w:p>
            <w:r>
              <w:t>15</w:t>
            </w:r>
          </w:p>
        </w:tc>
        <w:tc>
          <w:tcPr>
            <w:tcW w:w="965" w:type="dxa"/>
          </w:tcPr>
          <w:p>
            <w:r>
              <w:t>3.0 (1.0–4.0)</w:t>
            </w:r>
          </w:p>
        </w:tc>
        <w:tc>
          <w:tcPr>
            <w:tcW w:w="915" w:type="dxa"/>
          </w:tcPr>
          <w:p>
            <w:r>
              <w:t>&lt;0.001</w:t>
            </w:r>
          </w:p>
        </w:tc>
        <w:tc>
          <w:tcPr>
            <w:tcW w:w="1051" w:type="dxa"/>
          </w:tcPr>
          <w:p>
            <w:r>
              <w:t>20.0 (16.0–28.0)</w:t>
            </w:r>
          </w:p>
        </w:tc>
        <w:tc>
          <w:tcPr>
            <w:tcW w:w="915" w:type="dxa"/>
          </w:tcPr>
          <w:p>
            <w:r>
              <w:t>&lt;0.001</w:t>
            </w:r>
          </w:p>
        </w:tc>
        <w:tc>
          <w:tcPr>
            <w:tcW w:w="965" w:type="dxa"/>
          </w:tcPr>
          <w:p>
            <w:r>
              <w:t>15.0 (13.0–19.0)</w:t>
            </w:r>
          </w:p>
        </w:tc>
        <w:tc>
          <w:tcPr>
            <w:tcW w:w="915" w:type="dxa"/>
          </w:tcPr>
          <w:p>
            <w:r>
              <w:t>&lt;0.001</w:t>
            </w:r>
          </w:p>
        </w:tc>
        <w:tc>
          <w:tcPr>
            <w:tcW w:w="965" w:type="dxa"/>
          </w:tcPr>
          <w:p>
            <w:r>
              <w:t>0.0 (0–1)</w:t>
            </w:r>
          </w:p>
        </w:tc>
        <w:tc>
          <w:tcPr>
            <w:tcW w:w="788" w:type="dxa"/>
          </w:tcPr>
          <w:p>
            <w:r>
              <w:t>0.004</w:t>
            </w:r>
          </w:p>
        </w:tc>
      </w:tr>
      <w:tr>
        <w:trPr>
          <w:trHeight w:val="1089"/>
        </w:trPr>
        <w:tc>
          <w:tcPr>
            <w:tcW w:w="1061" w:type="dxa"/>
          </w:tcPr>
          <w:p>
            <w:r>
              <w:t>6 months</w:t>
            </w:r>
          </w:p>
        </w:tc>
        <w:tc>
          <w:tcPr>
            <w:tcW w:w="872" w:type="dxa"/>
          </w:tcPr>
          <w:p>
            <w:r>
              <w:t>12</w:t>
            </w:r>
          </w:p>
        </w:tc>
        <w:tc>
          <w:tcPr>
            <w:tcW w:w="965" w:type="dxa"/>
          </w:tcPr>
          <w:p>
            <w:r>
              <w:t>3.0 (2.0–4.0)</w:t>
            </w:r>
          </w:p>
        </w:tc>
        <w:tc>
          <w:tcPr>
            <w:tcW w:w="915" w:type="dxa"/>
          </w:tcPr>
          <w:p>
            <w:r>
              <w:t>0.003</w:t>
            </w:r>
          </w:p>
        </w:tc>
        <w:tc>
          <w:tcPr>
            <w:tcW w:w="1051" w:type="dxa"/>
          </w:tcPr>
          <w:p>
            <w:r>
              <w:t>22.0 (18.0–30.0)</w:t>
            </w:r>
          </w:p>
        </w:tc>
        <w:tc>
          <w:tcPr>
            <w:tcW w:w="915" w:type="dxa"/>
          </w:tcPr>
          <w:p>
            <w:r>
              <w:t>0.012</w:t>
            </w:r>
          </w:p>
        </w:tc>
        <w:tc>
          <w:tcPr>
            <w:tcW w:w="965" w:type="dxa"/>
          </w:tcPr>
          <w:p>
            <w:r>
              <w:t>16.0 (14.0–20.0)</w:t>
            </w:r>
          </w:p>
        </w:tc>
        <w:tc>
          <w:tcPr>
            <w:tcW w:w="915" w:type="dxa"/>
          </w:tcPr>
          <w:p>
            <w:r>
              <w:t>0.018</w:t>
            </w:r>
          </w:p>
        </w:tc>
        <w:tc>
          <w:tcPr>
            <w:tcW w:w="965" w:type="dxa"/>
          </w:tcPr>
          <w:p>
            <w:r>
              <w:t>1.0 (0–2)</w:t>
            </w:r>
          </w:p>
        </w:tc>
        <w:tc>
          <w:tcPr>
            <w:tcW w:w="788" w:type="dxa"/>
          </w:tcPr>
          <w:p>
            <w:r>
              <w:t>0.026</w:t>
            </w:r>
          </w:p>
        </w:tc>
      </w:tr>
      <w:tr>
        <w:trPr>
          <w:trHeight w:val="1089"/>
        </w:trPr>
        <w:tc>
          <w:tcPr>
            <w:tcW w:w="1061" w:type="dxa"/>
          </w:tcPr>
          <w:p>
            <w:r>
              <w:t>12 months</w:t>
            </w:r>
          </w:p>
        </w:tc>
        <w:tc>
          <w:tcPr>
            <w:tcW w:w="872" w:type="dxa"/>
          </w:tcPr>
          <w:p>
            <w:r>
              <w:t>9</w:t>
            </w:r>
          </w:p>
        </w:tc>
        <w:tc>
          <w:tcPr>
            <w:tcW w:w="965" w:type="dxa"/>
          </w:tcPr>
          <w:p>
            <w:r>
              <w:t>5.0 (3.0–6.0)</w:t>
            </w:r>
          </w:p>
        </w:tc>
        <w:tc>
          <w:tcPr>
            <w:tcW w:w="915" w:type="dxa"/>
          </w:tcPr>
          <w:p>
            <w:r>
              <w:t>0.018</w:t>
            </w:r>
          </w:p>
        </w:tc>
        <w:tc>
          <w:tcPr>
            <w:tcW w:w="1051" w:type="dxa"/>
          </w:tcPr>
          <w:p>
            <w:r>
              <w:t>20.0 (15.0–26.0)</w:t>
            </w:r>
          </w:p>
        </w:tc>
        <w:tc>
          <w:tcPr>
            <w:tcW w:w="915" w:type="dxa"/>
          </w:tcPr>
          <w:p>
            <w:r>
              <w:t>0.032</w:t>
            </w:r>
          </w:p>
        </w:tc>
        <w:tc>
          <w:tcPr>
            <w:tcW w:w="965" w:type="dxa"/>
          </w:tcPr>
          <w:p>
            <w:r>
              <w:t>14.0 (12.0–18.0)</w:t>
            </w:r>
          </w:p>
        </w:tc>
        <w:tc>
          <w:tcPr>
            <w:tcW w:w="915" w:type="dxa"/>
          </w:tcPr>
          <w:p>
            <w:r>
              <w:t>0.041</w:t>
            </w:r>
          </w:p>
        </w:tc>
        <w:tc>
          <w:tcPr>
            <w:tcW w:w="965" w:type="dxa"/>
          </w:tcPr>
          <w:p>
            <w:r>
              <w:t>1.0 (0–2)</w:t>
            </w:r>
          </w:p>
        </w:tc>
        <w:tc>
          <w:tcPr>
            <w:tcW w:w="788" w:type="dxa"/>
          </w:tcPr>
          <w:p>
            <w:r>
              <w:t>0.066</w:t>
            </w:r>
          </w:p>
        </w:tc>
      </w:tr>
      <w:tr>
        <w:trPr>
          <w:trHeight w:val="789"/>
        </w:trPr>
        <w:tc>
          <w:tcPr>
            <w:tcW w:w="1061" w:type="dxa"/>
          </w:tcPr>
          <w:p>
            <w:r>
              <w:t>18 months</w:t>
            </w:r>
          </w:p>
        </w:tc>
        <w:tc>
          <w:tcPr>
            <w:tcW w:w="872" w:type="dxa"/>
          </w:tcPr>
          <w:p>
            <w:r>
              <w:t>5</w:t>
            </w:r>
          </w:p>
        </w:tc>
        <w:tc>
          <w:tcPr>
            <w:tcW w:w="965" w:type="dxa"/>
          </w:tcPr>
          <w:p>
            <w:r>
              <w:t>5.0 (3.0–6.0)</w:t>
            </w:r>
          </w:p>
        </w:tc>
        <w:tc>
          <w:tcPr>
            <w:tcW w:w="915" w:type="dxa"/>
          </w:tcPr>
          <w:p>
            <w:r>
              <w:t>NS</w:t>
            </w:r>
          </w:p>
        </w:tc>
        <w:tc>
          <w:tcPr>
            <w:tcW w:w="1051" w:type="dxa"/>
          </w:tcPr>
          <w:p>
            <w:r>
              <w:t>—</w:t>
            </w:r>
          </w:p>
        </w:tc>
        <w:tc>
          <w:tcPr>
            <w:tcW w:w="915" w:type="dxa"/>
          </w:tcPr>
          <w:p>
            <w:r>
              <w:t>—</w:t>
            </w:r>
          </w:p>
        </w:tc>
        <w:tc>
          <w:tcPr>
            <w:tcW w:w="965" w:type="dxa"/>
          </w:tcPr>
          <w:p>
            <w:r>
              <w:t>—</w:t>
            </w:r>
          </w:p>
        </w:tc>
        <w:tc>
          <w:tcPr>
            <w:tcW w:w="915" w:type="dxa"/>
          </w:tcPr>
          <w:p>
            <w:r>
              <w:t>—</w:t>
            </w:r>
          </w:p>
        </w:tc>
        <w:tc>
          <w:tcPr>
            <w:tcW w:w="965" w:type="dxa"/>
          </w:tcPr>
          <w:p>
            <w:r>
              <w:t>1.0 (0–2)</w:t>
            </w:r>
          </w:p>
        </w:tc>
        <w:tc>
          <w:tcPr>
            <w:tcW w:w="788" w:type="dxa"/>
          </w:tcPr>
          <w:p>
            <w:r>
              <w:t>NS</w:t>
            </w:r>
          </w:p>
        </w:tc>
      </w:tr>
      <w:tr>
        <w:trPr>
          <w:trHeight w:val="789"/>
        </w:trPr>
        <w:tc>
          <w:tcPr>
            <w:tcW w:w="1061" w:type="dxa"/>
          </w:tcPr>
          <w:p>
            <w:r>
              <w:t>24 months</w:t>
            </w:r>
          </w:p>
        </w:tc>
        <w:tc>
          <w:tcPr>
            <w:tcW w:w="872" w:type="dxa"/>
          </w:tcPr>
          <w:p>
            <w:r>
              <w:t>3</w:t>
            </w:r>
          </w:p>
        </w:tc>
        <w:tc>
          <w:tcPr>
            <w:tcW w:w="965" w:type="dxa"/>
          </w:tcPr>
          <w:p>
            <w:r>
              <w:t>5.0 (3.0–6.0)</w:t>
            </w:r>
          </w:p>
        </w:tc>
        <w:tc>
          <w:tcPr>
            <w:tcW w:w="915" w:type="dxa"/>
          </w:tcPr>
          <w:p>
            <w:r>
              <w:t>NS</w:t>
            </w:r>
          </w:p>
        </w:tc>
        <w:tc>
          <w:tcPr>
            <w:tcW w:w="1051" w:type="dxa"/>
          </w:tcPr>
          <w:p>
            <w:r>
              <w:t>—</w:t>
            </w:r>
          </w:p>
        </w:tc>
        <w:tc>
          <w:tcPr>
            <w:tcW w:w="915" w:type="dxa"/>
          </w:tcPr>
          <w:p>
            <w:r>
              <w:t>—</w:t>
            </w:r>
          </w:p>
        </w:tc>
        <w:tc>
          <w:tcPr>
            <w:tcW w:w="965" w:type="dxa"/>
          </w:tcPr>
          <w:p>
            <w:r>
              <w:t>—</w:t>
            </w:r>
          </w:p>
        </w:tc>
        <w:tc>
          <w:tcPr>
            <w:tcW w:w="915" w:type="dxa"/>
          </w:tcPr>
          <w:p>
            <w:r>
              <w:t>—</w:t>
            </w:r>
          </w:p>
        </w:tc>
        <w:tc>
          <w:tcPr>
            <w:tcW w:w="965" w:type="dxa"/>
          </w:tcPr>
          <w:p>
            <w:r>
              <w:t>1.0 (0–2)</w:t>
            </w:r>
          </w:p>
        </w:tc>
        <w:tc>
          <w:tcPr>
            <w:tcW w:w="788" w:type="dxa"/>
          </w:tcPr>
          <w:p>
            <w:r>
              <w:t>NS</w:t>
            </w:r>
          </w:p>
        </w:tc>
      </w:tr>
    </w:tbl>
    <w:p>
      <w:r>
        <w:t>Values are presented as median (interquartile range). p values were calculated using paired Wilcoxon signed-rank tests comparing each follow-up time point with baseline. Analyses at 18 and 24 months are descriptive due to limited paired data.</w:t>
      </w:r>
    </w:p>
    <w:sectPr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4C08769E-11F4-4BC0-A95B-DB0B71BEE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KeinLeerraum">
    <w:name w:val="No Spacing"/>
    <w:uiPriority w:val="1"/>
    <w:qFormat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</w:style>
  <w:style w:type="paragraph" w:styleId="Textkrper2">
    <w:name w:val="Body Text 2"/>
    <w:basedOn w:val="Standard"/>
    <w:link w:val="Textkrper2Zchn"/>
    <w:uiPriority w:val="99"/>
    <w:unhideWhenUsed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</w:style>
  <w:style w:type="paragraph" w:styleId="Textkrper3">
    <w:name w:val="Body Text 3"/>
    <w:basedOn w:val="Standard"/>
    <w:link w:val="Textkrper3Zchn"/>
    <w:uiPriority w:val="99"/>
    <w:unhideWhenUsed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Pr>
      <w:sz w:val="16"/>
      <w:szCs w:val="16"/>
    </w:rPr>
  </w:style>
  <w:style w:type="paragraph" w:styleId="Liste">
    <w:name w:val="List"/>
    <w:basedOn w:val="Standard"/>
    <w:uiPriority w:val="99"/>
    <w:unhideWhenUsed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pPr>
      <w:outlineLvl w:val="9"/>
    </w:p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Tuna, Saygin</cp:lastModifiedBy>
  <cp:revision>11</cp:revision>
  <dcterms:created xsi:type="dcterms:W3CDTF">2026-02-19T12:21:00Z</dcterms:created>
  <dcterms:modified xsi:type="dcterms:W3CDTF">2026-03-12T07:09:00Z</dcterms:modified>
  <cp:category/>
</cp:coreProperties>
</file>