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ABA0F" w14:textId="26B109AC" w:rsidR="00C92D1E" w:rsidRDefault="00000000">
      <w:pPr>
        <w:pStyle w:val="Heading1"/>
      </w:pPr>
      <w:r>
        <w:t xml:space="preserve">Table </w:t>
      </w:r>
      <w:r w:rsidR="0025002F">
        <w:t>2</w:t>
      </w:r>
      <w:r>
        <w:t>. Comparison of Baseline and 12-Month Clinical Outcomes and Safety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31"/>
        <w:gridCol w:w="1391"/>
        <w:gridCol w:w="1389"/>
        <w:gridCol w:w="1380"/>
        <w:gridCol w:w="1361"/>
        <w:gridCol w:w="1588"/>
      </w:tblGrid>
      <w:tr w:rsidR="00C92D1E" w14:paraId="5E967F9A" w14:textId="77777777">
        <w:tc>
          <w:tcPr>
            <w:tcW w:w="1440" w:type="dxa"/>
          </w:tcPr>
          <w:p w14:paraId="44E0BA46" w14:textId="77777777" w:rsidR="00C92D1E" w:rsidRDefault="00000000">
            <w:r>
              <w:t>Outcome</w:t>
            </w:r>
          </w:p>
        </w:tc>
        <w:tc>
          <w:tcPr>
            <w:tcW w:w="1440" w:type="dxa"/>
          </w:tcPr>
          <w:p w14:paraId="7C56FC13" w14:textId="77777777" w:rsidR="00C92D1E" w:rsidRDefault="00000000">
            <w:r>
              <w:t>Baseline Median (IQR / Range)</w:t>
            </w:r>
          </w:p>
        </w:tc>
        <w:tc>
          <w:tcPr>
            <w:tcW w:w="1440" w:type="dxa"/>
          </w:tcPr>
          <w:p w14:paraId="30114D47" w14:textId="77777777" w:rsidR="00C92D1E" w:rsidRDefault="00000000">
            <w:r>
              <w:t>12-Month Median (IQR)</w:t>
            </w:r>
          </w:p>
        </w:tc>
        <w:tc>
          <w:tcPr>
            <w:tcW w:w="1440" w:type="dxa"/>
          </w:tcPr>
          <w:p w14:paraId="22CE77AF" w14:textId="77777777" w:rsidR="00C92D1E" w:rsidRDefault="00000000">
            <w:r>
              <w:t>Median Change</w:t>
            </w:r>
          </w:p>
        </w:tc>
        <w:tc>
          <w:tcPr>
            <w:tcW w:w="1440" w:type="dxa"/>
          </w:tcPr>
          <w:p w14:paraId="65D234B6" w14:textId="77777777" w:rsidR="00C92D1E" w:rsidRDefault="00000000">
            <w:r>
              <w:t>p value</w:t>
            </w:r>
          </w:p>
        </w:tc>
        <w:tc>
          <w:tcPr>
            <w:tcW w:w="1440" w:type="dxa"/>
          </w:tcPr>
          <w:p w14:paraId="4C3D168A" w14:textId="77777777" w:rsidR="00C92D1E" w:rsidRDefault="00000000">
            <w:r>
              <w:t>Interpretation</w:t>
            </w:r>
          </w:p>
        </w:tc>
      </w:tr>
      <w:tr w:rsidR="00C92D1E" w14:paraId="0438E793" w14:textId="77777777">
        <w:tc>
          <w:tcPr>
            <w:tcW w:w="1440" w:type="dxa"/>
          </w:tcPr>
          <w:p w14:paraId="4EAA1E1F" w14:textId="77777777" w:rsidR="00C92D1E" w:rsidRDefault="00000000">
            <w:r>
              <w:t>NRS pain score (0–10)</w:t>
            </w:r>
          </w:p>
        </w:tc>
        <w:tc>
          <w:tcPr>
            <w:tcW w:w="1440" w:type="dxa"/>
          </w:tcPr>
          <w:p w14:paraId="6F5269AB" w14:textId="77777777" w:rsidR="00C92D1E" w:rsidRDefault="00000000">
            <w:r>
              <w:t>7.0 (6.0–8.0)</w:t>
            </w:r>
          </w:p>
        </w:tc>
        <w:tc>
          <w:tcPr>
            <w:tcW w:w="1440" w:type="dxa"/>
          </w:tcPr>
          <w:p w14:paraId="47ACC03A" w14:textId="77777777" w:rsidR="00C92D1E" w:rsidRDefault="00000000">
            <w:r>
              <w:t>5.0 (3.0–6.0)</w:t>
            </w:r>
          </w:p>
        </w:tc>
        <w:tc>
          <w:tcPr>
            <w:tcW w:w="1440" w:type="dxa"/>
          </w:tcPr>
          <w:p w14:paraId="49575BB1" w14:textId="77777777" w:rsidR="00C92D1E" w:rsidRDefault="00000000">
            <w:r>
              <w:t>−2.0</w:t>
            </w:r>
          </w:p>
        </w:tc>
        <w:tc>
          <w:tcPr>
            <w:tcW w:w="1440" w:type="dxa"/>
          </w:tcPr>
          <w:p w14:paraId="37658159" w14:textId="77777777" w:rsidR="00C92D1E" w:rsidRDefault="00000000">
            <w:r>
              <w:t>0.018</w:t>
            </w:r>
          </w:p>
        </w:tc>
        <w:tc>
          <w:tcPr>
            <w:tcW w:w="1440" w:type="dxa"/>
          </w:tcPr>
          <w:p w14:paraId="4C200A53" w14:textId="77777777" w:rsidR="00C92D1E" w:rsidRDefault="00000000">
            <w:r>
              <w:t>Sustained pain reduction</w:t>
            </w:r>
          </w:p>
        </w:tc>
      </w:tr>
      <w:tr w:rsidR="00C92D1E" w14:paraId="23D210C8" w14:textId="77777777">
        <w:tc>
          <w:tcPr>
            <w:tcW w:w="1440" w:type="dxa"/>
          </w:tcPr>
          <w:p w14:paraId="1618A894" w14:textId="77777777" w:rsidR="00C92D1E" w:rsidRDefault="00000000">
            <w:r>
              <w:t>WOMAC total score</w:t>
            </w:r>
          </w:p>
        </w:tc>
        <w:tc>
          <w:tcPr>
            <w:tcW w:w="1440" w:type="dxa"/>
          </w:tcPr>
          <w:p w14:paraId="4B07F5C1" w14:textId="77777777" w:rsidR="00C92D1E" w:rsidRDefault="00000000">
            <w:r>
              <w:t>32.0 (27.5–43.5)</w:t>
            </w:r>
          </w:p>
        </w:tc>
        <w:tc>
          <w:tcPr>
            <w:tcW w:w="1440" w:type="dxa"/>
          </w:tcPr>
          <w:p w14:paraId="0B6BCB9A" w14:textId="77777777" w:rsidR="00C92D1E" w:rsidRDefault="00000000">
            <w:r>
              <w:t>20.0 (15.0–26.0)</w:t>
            </w:r>
          </w:p>
        </w:tc>
        <w:tc>
          <w:tcPr>
            <w:tcW w:w="1440" w:type="dxa"/>
          </w:tcPr>
          <w:p w14:paraId="416E884B" w14:textId="77777777" w:rsidR="00C92D1E" w:rsidRDefault="00000000">
            <w:r>
              <w:t>−12.0</w:t>
            </w:r>
          </w:p>
        </w:tc>
        <w:tc>
          <w:tcPr>
            <w:tcW w:w="1440" w:type="dxa"/>
          </w:tcPr>
          <w:p w14:paraId="486F8BAC" w14:textId="77777777" w:rsidR="00C92D1E" w:rsidRDefault="00000000">
            <w:r>
              <w:t>0.032</w:t>
            </w:r>
          </w:p>
        </w:tc>
        <w:tc>
          <w:tcPr>
            <w:tcW w:w="1440" w:type="dxa"/>
          </w:tcPr>
          <w:p w14:paraId="7A4E2AEF" w14:textId="77777777" w:rsidR="00C92D1E" w:rsidRDefault="00000000">
            <w:r>
              <w:t>Improved pain and function</w:t>
            </w:r>
          </w:p>
        </w:tc>
      </w:tr>
      <w:tr w:rsidR="00C92D1E" w14:paraId="7315B2A4" w14:textId="77777777">
        <w:tc>
          <w:tcPr>
            <w:tcW w:w="1440" w:type="dxa"/>
          </w:tcPr>
          <w:p w14:paraId="4CDA892B" w14:textId="77777777" w:rsidR="00C92D1E" w:rsidRDefault="00000000">
            <w:r>
              <w:t>KOOS total score</w:t>
            </w:r>
          </w:p>
        </w:tc>
        <w:tc>
          <w:tcPr>
            <w:tcW w:w="1440" w:type="dxa"/>
          </w:tcPr>
          <w:p w14:paraId="76CD1F85" w14:textId="77777777" w:rsidR="00C92D1E" w:rsidRDefault="00000000">
            <w:r>
              <w:t>20.0 (17.0–23.0)</w:t>
            </w:r>
          </w:p>
        </w:tc>
        <w:tc>
          <w:tcPr>
            <w:tcW w:w="1440" w:type="dxa"/>
          </w:tcPr>
          <w:p w14:paraId="363F168C" w14:textId="77777777" w:rsidR="00C92D1E" w:rsidRDefault="00000000">
            <w:r>
              <w:t>14.0 (12.0–18.0)</w:t>
            </w:r>
          </w:p>
        </w:tc>
        <w:tc>
          <w:tcPr>
            <w:tcW w:w="1440" w:type="dxa"/>
          </w:tcPr>
          <w:p w14:paraId="2D50BB9F" w14:textId="77777777" w:rsidR="00C92D1E" w:rsidRDefault="00000000">
            <w:r>
              <w:t>−6.0</w:t>
            </w:r>
          </w:p>
        </w:tc>
        <w:tc>
          <w:tcPr>
            <w:tcW w:w="1440" w:type="dxa"/>
          </w:tcPr>
          <w:p w14:paraId="0D3A9689" w14:textId="77777777" w:rsidR="00C92D1E" w:rsidRDefault="00000000">
            <w:r>
              <w:t>0.041</w:t>
            </w:r>
          </w:p>
        </w:tc>
        <w:tc>
          <w:tcPr>
            <w:tcW w:w="1440" w:type="dxa"/>
          </w:tcPr>
          <w:p w14:paraId="1BADBC18" w14:textId="77777777" w:rsidR="00C92D1E" w:rsidRDefault="00000000">
            <w:r>
              <w:t>Improved symptoms and activity</w:t>
            </w:r>
          </w:p>
        </w:tc>
      </w:tr>
      <w:tr w:rsidR="00C92D1E" w14:paraId="58B0CC45" w14:textId="77777777">
        <w:tc>
          <w:tcPr>
            <w:tcW w:w="1440" w:type="dxa"/>
          </w:tcPr>
          <w:p w14:paraId="22733A30" w14:textId="14954804" w:rsidR="00C92D1E" w:rsidRDefault="00E80905">
            <w:r w:rsidRPr="00E80905">
              <w:t>Total Analgesic Consumption Score (TACS)</w:t>
            </w:r>
          </w:p>
        </w:tc>
        <w:tc>
          <w:tcPr>
            <w:tcW w:w="1440" w:type="dxa"/>
          </w:tcPr>
          <w:p w14:paraId="398BF99D" w14:textId="77777777" w:rsidR="00C92D1E" w:rsidRDefault="00000000">
            <w:r>
              <w:t>1.0 (0–3)</w:t>
            </w:r>
          </w:p>
        </w:tc>
        <w:tc>
          <w:tcPr>
            <w:tcW w:w="1440" w:type="dxa"/>
          </w:tcPr>
          <w:p w14:paraId="49F3BC06" w14:textId="77777777" w:rsidR="00C92D1E" w:rsidRDefault="00000000">
            <w:r>
              <w:t>1.0 (0–2)</w:t>
            </w:r>
          </w:p>
        </w:tc>
        <w:tc>
          <w:tcPr>
            <w:tcW w:w="1440" w:type="dxa"/>
          </w:tcPr>
          <w:p w14:paraId="268110AB" w14:textId="7FC0DE9B" w:rsidR="00C92D1E" w:rsidRDefault="00587941">
            <w:r>
              <w:t xml:space="preserve">   </w:t>
            </w:r>
            <w:r w:rsidR="00000000">
              <w:t>0</w:t>
            </w:r>
          </w:p>
        </w:tc>
        <w:tc>
          <w:tcPr>
            <w:tcW w:w="1440" w:type="dxa"/>
          </w:tcPr>
          <w:p w14:paraId="40692578" w14:textId="77777777" w:rsidR="00C92D1E" w:rsidRDefault="00000000">
            <w:r>
              <w:t>0.066</w:t>
            </w:r>
          </w:p>
        </w:tc>
        <w:tc>
          <w:tcPr>
            <w:tcW w:w="1440" w:type="dxa"/>
          </w:tcPr>
          <w:p w14:paraId="1CCF5306" w14:textId="77777777" w:rsidR="00C92D1E" w:rsidRDefault="00000000">
            <w:r>
              <w:t>Trend toward improvement</w:t>
            </w:r>
          </w:p>
        </w:tc>
      </w:tr>
      <w:tr w:rsidR="00C92D1E" w14:paraId="5A618644" w14:textId="77777777">
        <w:tc>
          <w:tcPr>
            <w:tcW w:w="1440" w:type="dxa"/>
          </w:tcPr>
          <w:p w14:paraId="11994AA9" w14:textId="77777777" w:rsidR="00C92D1E" w:rsidRDefault="00000000">
            <w:r>
              <w:t>Repeat embolization</w:t>
            </w:r>
          </w:p>
        </w:tc>
        <w:tc>
          <w:tcPr>
            <w:tcW w:w="1440" w:type="dxa"/>
          </w:tcPr>
          <w:p w14:paraId="40D1F5D5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51D0CE4F" w14:textId="77777777" w:rsidR="00C92D1E" w:rsidRDefault="00000000">
            <w:r>
              <w:t>3/15 (20%)</w:t>
            </w:r>
          </w:p>
        </w:tc>
        <w:tc>
          <w:tcPr>
            <w:tcW w:w="1440" w:type="dxa"/>
          </w:tcPr>
          <w:p w14:paraId="5287960C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36943309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6E76B097" w14:textId="77777777" w:rsidR="00C92D1E" w:rsidRDefault="00000000">
            <w:r>
              <w:t>Limited need for reintervention</w:t>
            </w:r>
          </w:p>
        </w:tc>
      </w:tr>
      <w:tr w:rsidR="00C92D1E" w14:paraId="10782FDE" w14:textId="77777777">
        <w:tc>
          <w:tcPr>
            <w:tcW w:w="1440" w:type="dxa"/>
          </w:tcPr>
          <w:p w14:paraId="6A68D0D1" w14:textId="77777777" w:rsidR="00C92D1E" w:rsidRDefault="00000000">
            <w:r>
              <w:t>Minor complications</w:t>
            </w:r>
          </w:p>
        </w:tc>
        <w:tc>
          <w:tcPr>
            <w:tcW w:w="1440" w:type="dxa"/>
          </w:tcPr>
          <w:p w14:paraId="521FD444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2A1F1596" w14:textId="77777777" w:rsidR="00C92D1E" w:rsidRDefault="00000000">
            <w:r>
              <w:t>2/15 (13.3%)</w:t>
            </w:r>
          </w:p>
        </w:tc>
        <w:tc>
          <w:tcPr>
            <w:tcW w:w="1440" w:type="dxa"/>
          </w:tcPr>
          <w:p w14:paraId="058BF004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648378BB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22BB8F61" w14:textId="77777777" w:rsidR="00C92D1E" w:rsidRDefault="00000000">
            <w:r>
              <w:t>Transient, self-limited</w:t>
            </w:r>
          </w:p>
        </w:tc>
      </w:tr>
      <w:tr w:rsidR="00C92D1E" w14:paraId="6E557548" w14:textId="77777777">
        <w:tc>
          <w:tcPr>
            <w:tcW w:w="1440" w:type="dxa"/>
          </w:tcPr>
          <w:p w14:paraId="6DD110E4" w14:textId="77777777" w:rsidR="00C92D1E" w:rsidRDefault="00000000">
            <w:r>
              <w:t>Major complications</w:t>
            </w:r>
          </w:p>
        </w:tc>
        <w:tc>
          <w:tcPr>
            <w:tcW w:w="1440" w:type="dxa"/>
          </w:tcPr>
          <w:p w14:paraId="0881F258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7C3AC2A7" w14:textId="77777777" w:rsidR="00C92D1E" w:rsidRDefault="00000000">
            <w:r>
              <w:t>0/15 (0%)</w:t>
            </w:r>
          </w:p>
        </w:tc>
        <w:tc>
          <w:tcPr>
            <w:tcW w:w="1440" w:type="dxa"/>
          </w:tcPr>
          <w:p w14:paraId="754A72B5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441F7547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05E2F173" w14:textId="77777777" w:rsidR="00C92D1E" w:rsidRDefault="00000000">
            <w:r>
              <w:t>No major adverse events</w:t>
            </w:r>
          </w:p>
        </w:tc>
      </w:tr>
      <w:tr w:rsidR="00C92D1E" w14:paraId="557FDEDF" w14:textId="77777777">
        <w:tc>
          <w:tcPr>
            <w:tcW w:w="1440" w:type="dxa"/>
          </w:tcPr>
          <w:p w14:paraId="5F814750" w14:textId="77777777" w:rsidR="00C92D1E" w:rsidRDefault="00000000">
            <w:r>
              <w:t>Revision arthroplasty</w:t>
            </w:r>
          </w:p>
        </w:tc>
        <w:tc>
          <w:tcPr>
            <w:tcW w:w="1440" w:type="dxa"/>
          </w:tcPr>
          <w:p w14:paraId="7D99A126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09C82DE3" w14:textId="77777777" w:rsidR="00C92D1E" w:rsidRDefault="00000000">
            <w:r>
              <w:t>0/15 (0%)</w:t>
            </w:r>
          </w:p>
        </w:tc>
        <w:tc>
          <w:tcPr>
            <w:tcW w:w="1440" w:type="dxa"/>
          </w:tcPr>
          <w:p w14:paraId="5F951356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7513BB15" w14:textId="77777777" w:rsidR="00C92D1E" w:rsidRDefault="00000000">
            <w:r>
              <w:t>—</w:t>
            </w:r>
          </w:p>
        </w:tc>
        <w:tc>
          <w:tcPr>
            <w:tcW w:w="1440" w:type="dxa"/>
          </w:tcPr>
          <w:p w14:paraId="10FD039A" w14:textId="77777777" w:rsidR="00C92D1E" w:rsidRDefault="00000000">
            <w:r>
              <w:t>None required</w:t>
            </w:r>
          </w:p>
        </w:tc>
      </w:tr>
    </w:tbl>
    <w:p w14:paraId="2595E622" w14:textId="77777777" w:rsidR="00C92D1E" w:rsidRDefault="00000000">
      <w:r>
        <w:t>Values are presented as median (interquartile range or range) or number of patients (%). p values were calculated using paired Wilcoxon signed-rank tests comparing baseline and 12-month values. Analyses at 12 months were based on patients with available paired data.</w:t>
      </w:r>
    </w:p>
    <w:sectPr w:rsidR="00C92D1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9025790">
    <w:abstractNumId w:val="8"/>
  </w:num>
  <w:num w:numId="2" w16cid:durableId="1005866676">
    <w:abstractNumId w:val="6"/>
  </w:num>
  <w:num w:numId="3" w16cid:durableId="552350155">
    <w:abstractNumId w:val="5"/>
  </w:num>
  <w:num w:numId="4" w16cid:durableId="394087138">
    <w:abstractNumId w:val="4"/>
  </w:num>
  <w:num w:numId="5" w16cid:durableId="115032739">
    <w:abstractNumId w:val="7"/>
  </w:num>
  <w:num w:numId="6" w16cid:durableId="1190488166">
    <w:abstractNumId w:val="3"/>
  </w:num>
  <w:num w:numId="7" w16cid:durableId="538202931">
    <w:abstractNumId w:val="2"/>
  </w:num>
  <w:num w:numId="8" w16cid:durableId="654723087">
    <w:abstractNumId w:val="1"/>
  </w:num>
  <w:num w:numId="9" w16cid:durableId="1597058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130"/>
    <w:rsid w:val="00034616"/>
    <w:rsid w:val="0006063C"/>
    <w:rsid w:val="000A712D"/>
    <w:rsid w:val="000C1AAF"/>
    <w:rsid w:val="0015074B"/>
    <w:rsid w:val="0025002F"/>
    <w:rsid w:val="0029639D"/>
    <w:rsid w:val="00326F90"/>
    <w:rsid w:val="00376474"/>
    <w:rsid w:val="00587941"/>
    <w:rsid w:val="008503F5"/>
    <w:rsid w:val="00AA1D8D"/>
    <w:rsid w:val="00B47730"/>
    <w:rsid w:val="00C92D1E"/>
    <w:rsid w:val="00CB0664"/>
    <w:rsid w:val="00E8090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E1D76E"/>
  <w14:defaultImageDpi w14:val="300"/>
  <w15:docId w15:val="{4C08769E-11F4-4BC0-A95B-DB0B71BEE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H. Saygin Tuna</cp:lastModifiedBy>
  <cp:revision>5</cp:revision>
  <dcterms:created xsi:type="dcterms:W3CDTF">2026-02-19T12:12:00Z</dcterms:created>
  <dcterms:modified xsi:type="dcterms:W3CDTF">2026-03-10T23:35:00Z</dcterms:modified>
  <cp:category/>
</cp:coreProperties>
</file>