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6518" w14:textId="77777777" w:rsidR="00411204" w:rsidRDefault="00000000">
      <w:pPr>
        <w:spacing w:after="400"/>
        <w:jc w:val="center"/>
      </w:pPr>
      <w:r>
        <w:rPr>
          <w:rFonts w:eastAsia="Times New Roman"/>
          <w:b/>
          <w:bCs/>
        </w:rPr>
        <w:t>SUPPLEMENTARY MATERIALS</w:t>
      </w:r>
    </w:p>
    <w:p w14:paraId="6B541CBD" w14:textId="77777777" w:rsidR="00411204" w:rsidRDefault="00000000">
      <w:pPr>
        <w:spacing w:after="120"/>
      </w:pPr>
      <w:r>
        <w:rPr>
          <w:rFonts w:eastAsia="Times New Roman"/>
          <w:b/>
          <w:bCs/>
        </w:rPr>
        <w:t xml:space="preserve">Table S1. </w:t>
      </w:r>
      <w:r>
        <w:rPr>
          <w:rFonts w:eastAsia="Times New Roman"/>
        </w:rPr>
        <w:t>Predictors of Voluntary Practice Participation: Logistic Regression</w:t>
      </w:r>
    </w:p>
    <w:tbl>
      <w:tblPr>
        <w:tblW w:w="832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800"/>
        <w:gridCol w:w="1000"/>
        <w:gridCol w:w="1000"/>
        <w:gridCol w:w="1200"/>
        <w:gridCol w:w="1160"/>
        <w:gridCol w:w="1160"/>
      </w:tblGrid>
      <w:tr w:rsidR="003D3755" w14:paraId="4D0572FD" w14:textId="62DD334A" w:rsidTr="003D3755">
        <w:tc>
          <w:tcPr>
            <w:tcW w:w="2800" w:type="dxa"/>
            <w:tcBorders>
              <w:top w:val="single" w:sz="4" w:space="0" w:color="auto"/>
              <w:bottom w:val="single" w:sz="4" w:space="0" w:color="auto"/>
            </w:tcBorders>
          </w:tcPr>
          <w:p w14:paraId="14DF6DDB" w14:textId="77777777" w:rsidR="003D3755" w:rsidRDefault="003D3755" w:rsidP="003D3755">
            <w:pPr>
              <w:jc w:val="center"/>
            </w:pPr>
            <w:r>
              <w:rPr>
                <w:rFonts w:eastAsia="Times New Roman"/>
                <w:b/>
                <w:bCs/>
                <w:sz w:val="20"/>
                <w:szCs w:val="20"/>
              </w:rPr>
              <w:t>Variable</w:t>
            </w:r>
          </w:p>
        </w:tc>
        <w:tc>
          <w:tcPr>
            <w:tcW w:w="1000" w:type="dxa"/>
            <w:tcBorders>
              <w:top w:val="single" w:sz="4" w:space="0" w:color="auto"/>
              <w:bottom w:val="single" w:sz="4" w:space="0" w:color="auto"/>
            </w:tcBorders>
          </w:tcPr>
          <w:p w14:paraId="5A863350" w14:textId="77777777" w:rsidR="003D3755" w:rsidRDefault="003D3755" w:rsidP="003D3755">
            <w:pPr>
              <w:jc w:val="center"/>
            </w:pPr>
            <w:r>
              <w:rPr>
                <w:rFonts w:eastAsia="Times New Roman"/>
                <w:b/>
                <w:bCs/>
                <w:sz w:val="20"/>
                <w:szCs w:val="20"/>
              </w:rPr>
              <w:t>β</w:t>
            </w:r>
          </w:p>
        </w:tc>
        <w:tc>
          <w:tcPr>
            <w:tcW w:w="1000" w:type="dxa"/>
            <w:tcBorders>
              <w:top w:val="single" w:sz="4" w:space="0" w:color="auto"/>
              <w:bottom w:val="single" w:sz="4" w:space="0" w:color="auto"/>
            </w:tcBorders>
          </w:tcPr>
          <w:p w14:paraId="696B6C36" w14:textId="77777777" w:rsidR="003D3755" w:rsidRDefault="003D3755" w:rsidP="003D3755">
            <w:pPr>
              <w:jc w:val="center"/>
            </w:pPr>
            <w:r>
              <w:rPr>
                <w:rFonts w:eastAsia="Times New Roman"/>
                <w:b/>
                <w:bCs/>
                <w:sz w:val="20"/>
                <w:szCs w:val="20"/>
              </w:rPr>
              <w:t>SE</w:t>
            </w:r>
          </w:p>
        </w:tc>
        <w:tc>
          <w:tcPr>
            <w:tcW w:w="1200" w:type="dxa"/>
            <w:tcBorders>
              <w:top w:val="single" w:sz="4" w:space="0" w:color="auto"/>
              <w:bottom w:val="single" w:sz="4" w:space="0" w:color="auto"/>
            </w:tcBorders>
          </w:tcPr>
          <w:p w14:paraId="3856D35D" w14:textId="77777777" w:rsidR="003D3755" w:rsidRDefault="003D3755" w:rsidP="003D3755">
            <w:pPr>
              <w:jc w:val="center"/>
            </w:pPr>
            <w:r>
              <w:rPr>
                <w:rFonts w:eastAsia="Times New Roman"/>
                <w:b/>
                <w:bCs/>
                <w:sz w:val="20"/>
                <w:szCs w:val="20"/>
              </w:rPr>
              <w:t>OR</w:t>
            </w:r>
          </w:p>
        </w:tc>
        <w:tc>
          <w:tcPr>
            <w:tcW w:w="1160" w:type="dxa"/>
            <w:tcBorders>
              <w:top w:val="single" w:sz="4" w:space="0" w:color="auto"/>
              <w:bottom w:val="single" w:sz="4" w:space="0" w:color="auto"/>
            </w:tcBorders>
          </w:tcPr>
          <w:p w14:paraId="75F75FD6" w14:textId="77777777" w:rsidR="003D3755" w:rsidRDefault="003D3755" w:rsidP="003D3755">
            <w:pPr>
              <w:jc w:val="center"/>
            </w:pPr>
            <w:r>
              <w:rPr>
                <w:rFonts w:eastAsia="Times New Roman"/>
                <w:b/>
                <w:bCs/>
                <w:sz w:val="20"/>
                <w:szCs w:val="20"/>
              </w:rPr>
              <w:t>95% CI</w:t>
            </w:r>
          </w:p>
        </w:tc>
        <w:tc>
          <w:tcPr>
            <w:tcW w:w="1160" w:type="dxa"/>
          </w:tcPr>
          <w:p w14:paraId="5B05958B" w14:textId="16CD7D72" w:rsidR="003D3755" w:rsidRDefault="003D3755" w:rsidP="003D3755">
            <w:pPr>
              <w:jc w:val="center"/>
              <w:rPr>
                <w:rFonts w:eastAsia="Times New Roman"/>
                <w:b/>
                <w:bCs/>
                <w:sz w:val="20"/>
                <w:szCs w:val="20"/>
              </w:rPr>
            </w:pPr>
            <w:r>
              <w:rPr>
                <w:rFonts w:eastAsia="Times New Roman"/>
                <w:b/>
                <w:bCs/>
                <w:sz w:val="20"/>
                <w:szCs w:val="20"/>
              </w:rPr>
              <w:t>p</w:t>
            </w:r>
          </w:p>
        </w:tc>
      </w:tr>
      <w:tr w:rsidR="003D3755" w14:paraId="111A7B17" w14:textId="0046D269" w:rsidTr="003D3755">
        <w:tc>
          <w:tcPr>
            <w:tcW w:w="2800" w:type="dxa"/>
            <w:tcBorders>
              <w:top w:val="single" w:sz="4" w:space="0" w:color="auto"/>
            </w:tcBorders>
          </w:tcPr>
          <w:p w14:paraId="6519414E" w14:textId="77777777" w:rsidR="003D3755" w:rsidRDefault="003D3755" w:rsidP="003D3755">
            <w:r>
              <w:rPr>
                <w:rFonts w:eastAsia="Times New Roman"/>
                <w:sz w:val="20"/>
                <w:szCs w:val="20"/>
              </w:rPr>
              <w:t>CBT (z-score)</w:t>
            </w:r>
          </w:p>
        </w:tc>
        <w:tc>
          <w:tcPr>
            <w:tcW w:w="1000" w:type="dxa"/>
            <w:tcBorders>
              <w:top w:val="single" w:sz="4" w:space="0" w:color="auto"/>
            </w:tcBorders>
          </w:tcPr>
          <w:p w14:paraId="14EB2EAC" w14:textId="77777777" w:rsidR="003D3755" w:rsidRDefault="003D3755" w:rsidP="003D3755">
            <w:pPr>
              <w:jc w:val="center"/>
            </w:pPr>
            <w:r>
              <w:rPr>
                <w:rFonts w:eastAsia="Times New Roman"/>
                <w:sz w:val="20"/>
                <w:szCs w:val="20"/>
              </w:rPr>
              <w:t>+0.678</w:t>
            </w:r>
          </w:p>
        </w:tc>
        <w:tc>
          <w:tcPr>
            <w:tcW w:w="1000" w:type="dxa"/>
            <w:tcBorders>
              <w:top w:val="single" w:sz="4" w:space="0" w:color="auto"/>
            </w:tcBorders>
          </w:tcPr>
          <w:p w14:paraId="1D6A2E17" w14:textId="77777777" w:rsidR="003D3755" w:rsidRDefault="003D3755" w:rsidP="003D3755">
            <w:pPr>
              <w:jc w:val="center"/>
            </w:pPr>
            <w:r>
              <w:rPr>
                <w:rFonts w:eastAsia="Times New Roman"/>
                <w:sz w:val="20"/>
                <w:szCs w:val="20"/>
              </w:rPr>
              <w:t>0.221</w:t>
            </w:r>
          </w:p>
        </w:tc>
        <w:tc>
          <w:tcPr>
            <w:tcW w:w="1200" w:type="dxa"/>
            <w:tcBorders>
              <w:top w:val="single" w:sz="4" w:space="0" w:color="auto"/>
            </w:tcBorders>
          </w:tcPr>
          <w:p w14:paraId="25467BC2" w14:textId="77777777" w:rsidR="003D3755" w:rsidRDefault="003D3755" w:rsidP="003D3755">
            <w:pPr>
              <w:jc w:val="center"/>
            </w:pPr>
            <w:r>
              <w:rPr>
                <w:rFonts w:eastAsia="Times New Roman"/>
                <w:sz w:val="20"/>
                <w:szCs w:val="20"/>
              </w:rPr>
              <w:t>1.97</w:t>
            </w:r>
          </w:p>
        </w:tc>
        <w:tc>
          <w:tcPr>
            <w:tcW w:w="1160" w:type="dxa"/>
            <w:tcBorders>
              <w:top w:val="single" w:sz="4" w:space="0" w:color="auto"/>
            </w:tcBorders>
          </w:tcPr>
          <w:p w14:paraId="1C068657" w14:textId="7D21CF88" w:rsidR="003D3755" w:rsidRDefault="003D3755" w:rsidP="003D3755">
            <w:pPr>
              <w:jc w:val="center"/>
            </w:pPr>
            <w:r>
              <w:rPr>
                <w:rFonts w:eastAsia="Times New Roman"/>
                <w:sz w:val="20"/>
                <w:szCs w:val="20"/>
              </w:rPr>
              <w:t>[1.28, 3.03]</w:t>
            </w:r>
          </w:p>
        </w:tc>
        <w:tc>
          <w:tcPr>
            <w:tcW w:w="1160" w:type="dxa"/>
          </w:tcPr>
          <w:p w14:paraId="3802C29D" w14:textId="64522E24" w:rsidR="003D3755" w:rsidRDefault="003D3755" w:rsidP="003D3755">
            <w:pPr>
              <w:jc w:val="center"/>
              <w:rPr>
                <w:rFonts w:eastAsia="Times New Roman"/>
                <w:sz w:val="20"/>
                <w:szCs w:val="20"/>
              </w:rPr>
            </w:pPr>
            <w:r>
              <w:rPr>
                <w:rFonts w:eastAsia="Times New Roman"/>
                <w:sz w:val="20"/>
                <w:szCs w:val="20"/>
              </w:rPr>
              <w:t>.002**</w:t>
            </w:r>
          </w:p>
        </w:tc>
      </w:tr>
      <w:tr w:rsidR="003D3755" w14:paraId="5FB58857" w14:textId="5CF0CAEA" w:rsidTr="003D3755">
        <w:tc>
          <w:tcPr>
            <w:tcW w:w="2800" w:type="dxa"/>
          </w:tcPr>
          <w:p w14:paraId="3FF0D368" w14:textId="77777777" w:rsidR="003D3755" w:rsidRDefault="003D3755" w:rsidP="003D3755">
            <w:r>
              <w:rPr>
                <w:rFonts w:eastAsia="Times New Roman"/>
                <w:sz w:val="20"/>
                <w:szCs w:val="20"/>
              </w:rPr>
              <w:t>Female</w:t>
            </w:r>
          </w:p>
        </w:tc>
        <w:tc>
          <w:tcPr>
            <w:tcW w:w="1000" w:type="dxa"/>
          </w:tcPr>
          <w:p w14:paraId="14EB2383" w14:textId="77777777" w:rsidR="003D3755" w:rsidRDefault="003D3755" w:rsidP="003D3755">
            <w:pPr>
              <w:jc w:val="center"/>
            </w:pPr>
            <w:r>
              <w:rPr>
                <w:rFonts w:eastAsia="Times New Roman"/>
                <w:sz w:val="20"/>
                <w:szCs w:val="20"/>
              </w:rPr>
              <w:t>−0.062</w:t>
            </w:r>
          </w:p>
        </w:tc>
        <w:tc>
          <w:tcPr>
            <w:tcW w:w="1000" w:type="dxa"/>
          </w:tcPr>
          <w:p w14:paraId="1BBE0D31" w14:textId="77777777" w:rsidR="003D3755" w:rsidRDefault="003D3755" w:rsidP="003D3755">
            <w:pPr>
              <w:jc w:val="center"/>
            </w:pPr>
            <w:r>
              <w:rPr>
                <w:rFonts w:eastAsia="Times New Roman"/>
                <w:sz w:val="20"/>
                <w:szCs w:val="20"/>
              </w:rPr>
              <w:t>0.434</w:t>
            </w:r>
          </w:p>
        </w:tc>
        <w:tc>
          <w:tcPr>
            <w:tcW w:w="1200" w:type="dxa"/>
          </w:tcPr>
          <w:p w14:paraId="38C3C795" w14:textId="77777777" w:rsidR="003D3755" w:rsidRDefault="003D3755" w:rsidP="003D3755">
            <w:pPr>
              <w:jc w:val="center"/>
            </w:pPr>
            <w:r>
              <w:rPr>
                <w:rFonts w:eastAsia="Times New Roman"/>
                <w:sz w:val="20"/>
                <w:szCs w:val="20"/>
              </w:rPr>
              <w:t>0.94</w:t>
            </w:r>
          </w:p>
        </w:tc>
        <w:tc>
          <w:tcPr>
            <w:tcW w:w="1160" w:type="dxa"/>
          </w:tcPr>
          <w:p w14:paraId="49CC72F9" w14:textId="3E19E333" w:rsidR="003D3755" w:rsidRDefault="003D3755" w:rsidP="003D3755">
            <w:pPr>
              <w:jc w:val="center"/>
            </w:pPr>
            <w:r>
              <w:rPr>
                <w:rFonts w:eastAsia="Times New Roman"/>
                <w:sz w:val="20"/>
                <w:szCs w:val="20"/>
              </w:rPr>
              <w:t>[0.40, 2.20]</w:t>
            </w:r>
          </w:p>
        </w:tc>
        <w:tc>
          <w:tcPr>
            <w:tcW w:w="1160" w:type="dxa"/>
          </w:tcPr>
          <w:p w14:paraId="1CA55EFB" w14:textId="3FC10FF7" w:rsidR="003D3755" w:rsidRDefault="003D3755" w:rsidP="003D3755">
            <w:pPr>
              <w:jc w:val="center"/>
              <w:rPr>
                <w:rFonts w:eastAsia="Times New Roman"/>
                <w:sz w:val="20"/>
                <w:szCs w:val="20"/>
              </w:rPr>
            </w:pPr>
            <w:r>
              <w:rPr>
                <w:rFonts w:eastAsia="Times New Roman"/>
                <w:sz w:val="20"/>
                <w:szCs w:val="20"/>
              </w:rPr>
              <w:t>.887</w:t>
            </w:r>
          </w:p>
        </w:tc>
      </w:tr>
      <w:tr w:rsidR="003D3755" w14:paraId="13888011" w14:textId="0F399336" w:rsidTr="003D3755">
        <w:tc>
          <w:tcPr>
            <w:tcW w:w="2800" w:type="dxa"/>
          </w:tcPr>
          <w:p w14:paraId="523C4839" w14:textId="77777777" w:rsidR="003D3755" w:rsidRDefault="003D3755" w:rsidP="003D3755">
            <w:r>
              <w:rPr>
                <w:rFonts w:eastAsia="Times New Roman"/>
                <w:sz w:val="20"/>
                <w:szCs w:val="20"/>
              </w:rPr>
              <w:t>Regional quota</w:t>
            </w:r>
          </w:p>
        </w:tc>
        <w:tc>
          <w:tcPr>
            <w:tcW w:w="1000" w:type="dxa"/>
          </w:tcPr>
          <w:p w14:paraId="6DAB8BA5" w14:textId="77777777" w:rsidR="003D3755" w:rsidRDefault="003D3755" w:rsidP="003D3755">
            <w:pPr>
              <w:jc w:val="center"/>
            </w:pPr>
            <w:r>
              <w:rPr>
                <w:rFonts w:eastAsia="Times New Roman"/>
                <w:sz w:val="20"/>
                <w:szCs w:val="20"/>
              </w:rPr>
              <w:t>+0.607</w:t>
            </w:r>
          </w:p>
        </w:tc>
        <w:tc>
          <w:tcPr>
            <w:tcW w:w="1000" w:type="dxa"/>
          </w:tcPr>
          <w:p w14:paraId="69192A15" w14:textId="77777777" w:rsidR="003D3755" w:rsidRDefault="003D3755" w:rsidP="003D3755">
            <w:pPr>
              <w:jc w:val="center"/>
            </w:pPr>
            <w:r>
              <w:rPr>
                <w:rFonts w:eastAsia="Times New Roman"/>
                <w:sz w:val="20"/>
                <w:szCs w:val="20"/>
              </w:rPr>
              <w:t>0.521</w:t>
            </w:r>
          </w:p>
        </w:tc>
        <w:tc>
          <w:tcPr>
            <w:tcW w:w="1200" w:type="dxa"/>
          </w:tcPr>
          <w:p w14:paraId="402497E7" w14:textId="77777777" w:rsidR="003D3755" w:rsidRDefault="003D3755" w:rsidP="003D3755">
            <w:pPr>
              <w:jc w:val="center"/>
            </w:pPr>
            <w:r>
              <w:rPr>
                <w:rFonts w:eastAsia="Times New Roman"/>
                <w:sz w:val="20"/>
                <w:szCs w:val="20"/>
              </w:rPr>
              <w:t>1.83</w:t>
            </w:r>
          </w:p>
        </w:tc>
        <w:tc>
          <w:tcPr>
            <w:tcW w:w="1160" w:type="dxa"/>
          </w:tcPr>
          <w:p w14:paraId="56E44891" w14:textId="29B774E9" w:rsidR="003D3755" w:rsidRDefault="003D3755" w:rsidP="003D3755">
            <w:pPr>
              <w:jc w:val="center"/>
            </w:pPr>
            <w:r>
              <w:rPr>
                <w:rFonts w:eastAsia="Times New Roman"/>
                <w:sz w:val="20"/>
                <w:szCs w:val="20"/>
              </w:rPr>
              <w:t>[0.66, 5.10]</w:t>
            </w:r>
          </w:p>
        </w:tc>
        <w:tc>
          <w:tcPr>
            <w:tcW w:w="1160" w:type="dxa"/>
          </w:tcPr>
          <w:p w14:paraId="2ED131CB" w14:textId="6C8E5E5B" w:rsidR="003D3755" w:rsidRDefault="003D3755" w:rsidP="003D3755">
            <w:pPr>
              <w:jc w:val="center"/>
              <w:rPr>
                <w:rFonts w:eastAsia="Times New Roman"/>
                <w:sz w:val="20"/>
                <w:szCs w:val="20"/>
              </w:rPr>
            </w:pPr>
            <w:r>
              <w:rPr>
                <w:rFonts w:eastAsia="Times New Roman"/>
                <w:sz w:val="20"/>
                <w:szCs w:val="20"/>
              </w:rPr>
              <w:t>.244</w:t>
            </w:r>
          </w:p>
        </w:tc>
      </w:tr>
      <w:tr w:rsidR="003D3755" w14:paraId="01265C7B" w14:textId="2A7014E9" w:rsidTr="003D3755">
        <w:tc>
          <w:tcPr>
            <w:tcW w:w="2800" w:type="dxa"/>
          </w:tcPr>
          <w:p w14:paraId="76A5CDCF" w14:textId="77777777" w:rsidR="003D3755" w:rsidRDefault="003D3755" w:rsidP="003D3755">
            <w:r>
              <w:rPr>
                <w:rFonts w:eastAsia="Times New Roman"/>
                <w:sz w:val="20"/>
                <w:szCs w:val="20"/>
              </w:rPr>
              <w:t>Grade retention</w:t>
            </w:r>
          </w:p>
        </w:tc>
        <w:tc>
          <w:tcPr>
            <w:tcW w:w="1000" w:type="dxa"/>
          </w:tcPr>
          <w:p w14:paraId="51D582E5" w14:textId="77777777" w:rsidR="003D3755" w:rsidRDefault="003D3755" w:rsidP="003D3755">
            <w:pPr>
              <w:jc w:val="center"/>
            </w:pPr>
            <w:r>
              <w:rPr>
                <w:rFonts w:eastAsia="Times New Roman"/>
                <w:sz w:val="20"/>
                <w:szCs w:val="20"/>
              </w:rPr>
              <w:t>+0.786</w:t>
            </w:r>
          </w:p>
        </w:tc>
        <w:tc>
          <w:tcPr>
            <w:tcW w:w="1000" w:type="dxa"/>
          </w:tcPr>
          <w:p w14:paraId="070B7F69" w14:textId="77777777" w:rsidR="003D3755" w:rsidRDefault="003D3755" w:rsidP="003D3755">
            <w:pPr>
              <w:jc w:val="center"/>
            </w:pPr>
            <w:r>
              <w:rPr>
                <w:rFonts w:eastAsia="Times New Roman"/>
                <w:sz w:val="20"/>
                <w:szCs w:val="20"/>
              </w:rPr>
              <w:t>0.658</w:t>
            </w:r>
          </w:p>
        </w:tc>
        <w:tc>
          <w:tcPr>
            <w:tcW w:w="1200" w:type="dxa"/>
          </w:tcPr>
          <w:p w14:paraId="712761AA" w14:textId="77777777" w:rsidR="003D3755" w:rsidRDefault="003D3755" w:rsidP="003D3755">
            <w:pPr>
              <w:jc w:val="center"/>
            </w:pPr>
            <w:r>
              <w:rPr>
                <w:rFonts w:eastAsia="Times New Roman"/>
                <w:sz w:val="20"/>
                <w:szCs w:val="20"/>
              </w:rPr>
              <w:t>2.20</w:t>
            </w:r>
          </w:p>
        </w:tc>
        <w:tc>
          <w:tcPr>
            <w:tcW w:w="1160" w:type="dxa"/>
          </w:tcPr>
          <w:p w14:paraId="0EDABC22" w14:textId="1A9B4830" w:rsidR="003D3755" w:rsidRDefault="003D3755" w:rsidP="003D3755">
            <w:pPr>
              <w:jc w:val="center"/>
            </w:pPr>
            <w:r>
              <w:rPr>
                <w:rFonts w:eastAsia="Times New Roman"/>
                <w:sz w:val="20"/>
                <w:szCs w:val="20"/>
              </w:rPr>
              <w:t>[0.60, 7.98]</w:t>
            </w:r>
          </w:p>
        </w:tc>
        <w:tc>
          <w:tcPr>
            <w:tcW w:w="1160" w:type="dxa"/>
          </w:tcPr>
          <w:p w14:paraId="28DEF228" w14:textId="2CC6AAEB" w:rsidR="003D3755" w:rsidRDefault="003D3755" w:rsidP="003D3755">
            <w:pPr>
              <w:jc w:val="center"/>
              <w:rPr>
                <w:rFonts w:eastAsia="Times New Roman"/>
                <w:sz w:val="20"/>
                <w:szCs w:val="20"/>
              </w:rPr>
            </w:pPr>
            <w:r>
              <w:rPr>
                <w:rFonts w:eastAsia="Times New Roman"/>
                <w:sz w:val="20"/>
                <w:szCs w:val="20"/>
              </w:rPr>
              <w:t>.232</w:t>
            </w:r>
          </w:p>
        </w:tc>
      </w:tr>
    </w:tbl>
    <w:p w14:paraId="37B69C66" w14:textId="77777777" w:rsidR="00411204" w:rsidRDefault="00000000">
      <w:pPr>
        <w:spacing w:after="200"/>
      </w:pPr>
      <w:r>
        <w:rPr>
          <w:rFonts w:eastAsia="Times New Roman"/>
          <w:i/>
          <w:iCs/>
          <w:sz w:val="20"/>
          <w:szCs w:val="20"/>
        </w:rPr>
        <w:t xml:space="preserve">Note. </w:t>
      </w:r>
      <w:r>
        <w:rPr>
          <w:rFonts w:eastAsia="Times New Roman"/>
          <w:sz w:val="20"/>
          <w:szCs w:val="20"/>
        </w:rPr>
        <w:t>Logistic regression predicting any voluntary practice (1 or more sessions, n=65) versus no practice (n=61). N=126. The dependent variable was binary: 1 = at least one practice session attended, 0 = no practice. CBT score was standardized to z-scores (mean=0, SD=1) prior to analysis, so the odds ratio represents the change in odds per 1-SD increase in CBT score. OR = odds ratio. 95% CI = 95% confidence interval for the odds ratio. CBT was the only statistically significant predictor (p=.002). Among students who did practice, CBT was not correlated with the number of sessions attended (Pearson r=0.18, p=.160), suggesting that CBT predicts whether students practice but not how frequently. **p &lt; .01.</w:t>
      </w:r>
    </w:p>
    <w:p w14:paraId="739AB3FE" w14:textId="77777777" w:rsidR="00411204" w:rsidRDefault="00411204">
      <w:pPr>
        <w:spacing w:after="400"/>
      </w:pPr>
    </w:p>
    <w:p w14:paraId="10F812C2" w14:textId="77777777" w:rsidR="00411204" w:rsidRDefault="00000000">
      <w:pPr>
        <w:spacing w:after="120"/>
      </w:pPr>
      <w:r>
        <w:rPr>
          <w:rFonts w:eastAsia="Times New Roman"/>
          <w:b/>
          <w:bCs/>
        </w:rPr>
        <w:t xml:space="preserve">Table S1b. </w:t>
      </w:r>
      <w:r>
        <w:rPr>
          <w:rFonts w:eastAsia="Times New Roman"/>
        </w:rPr>
        <w:t>Practice Participation Rate by CBT Tertile</w:t>
      </w:r>
    </w:p>
    <w:tbl>
      <w:tblPr>
        <w:tblW w:w="936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200"/>
        <w:gridCol w:w="1600"/>
        <w:gridCol w:w="1600"/>
        <w:gridCol w:w="2000"/>
        <w:gridCol w:w="1960"/>
      </w:tblGrid>
      <w:tr w:rsidR="00411204" w14:paraId="0767296F" w14:textId="77777777" w:rsidTr="00FD17F7">
        <w:tc>
          <w:tcPr>
            <w:tcW w:w="2200" w:type="dxa"/>
            <w:tcBorders>
              <w:top w:val="single" w:sz="4" w:space="0" w:color="auto"/>
              <w:bottom w:val="single" w:sz="4" w:space="0" w:color="auto"/>
            </w:tcBorders>
          </w:tcPr>
          <w:p w14:paraId="17F45D24" w14:textId="77777777" w:rsidR="00411204" w:rsidRDefault="00000000">
            <w:pPr>
              <w:jc w:val="center"/>
            </w:pPr>
            <w:r>
              <w:rPr>
                <w:rFonts w:eastAsia="Times New Roman"/>
                <w:b/>
                <w:bCs/>
                <w:sz w:val="20"/>
                <w:szCs w:val="20"/>
              </w:rPr>
              <w:t>CBT tertile</w:t>
            </w:r>
          </w:p>
        </w:tc>
        <w:tc>
          <w:tcPr>
            <w:tcW w:w="1600" w:type="dxa"/>
            <w:tcBorders>
              <w:top w:val="single" w:sz="4" w:space="0" w:color="auto"/>
              <w:bottom w:val="single" w:sz="4" w:space="0" w:color="auto"/>
            </w:tcBorders>
          </w:tcPr>
          <w:p w14:paraId="14A5FE8E" w14:textId="77777777" w:rsidR="00411204" w:rsidRDefault="00000000">
            <w:pPr>
              <w:jc w:val="center"/>
            </w:pPr>
            <w:r>
              <w:rPr>
                <w:rFonts w:eastAsia="Times New Roman"/>
                <w:b/>
                <w:bCs/>
                <w:sz w:val="20"/>
                <w:szCs w:val="20"/>
              </w:rPr>
              <w:t>n</w:t>
            </w:r>
          </w:p>
        </w:tc>
        <w:tc>
          <w:tcPr>
            <w:tcW w:w="1600" w:type="dxa"/>
            <w:tcBorders>
              <w:top w:val="single" w:sz="4" w:space="0" w:color="auto"/>
              <w:bottom w:val="single" w:sz="4" w:space="0" w:color="auto"/>
            </w:tcBorders>
          </w:tcPr>
          <w:p w14:paraId="3F234436" w14:textId="77777777" w:rsidR="00411204" w:rsidRDefault="00000000">
            <w:pPr>
              <w:jc w:val="center"/>
            </w:pPr>
            <w:r>
              <w:rPr>
                <w:rFonts w:eastAsia="Times New Roman"/>
                <w:b/>
                <w:bCs/>
                <w:sz w:val="20"/>
                <w:szCs w:val="20"/>
              </w:rPr>
              <w:t>CBT range</w:t>
            </w:r>
          </w:p>
        </w:tc>
        <w:tc>
          <w:tcPr>
            <w:tcW w:w="2000" w:type="dxa"/>
            <w:tcBorders>
              <w:top w:val="single" w:sz="4" w:space="0" w:color="auto"/>
              <w:bottom w:val="single" w:sz="4" w:space="0" w:color="auto"/>
            </w:tcBorders>
          </w:tcPr>
          <w:p w14:paraId="46FC8F0D" w14:textId="77777777" w:rsidR="00411204" w:rsidRDefault="00000000">
            <w:pPr>
              <w:jc w:val="center"/>
            </w:pPr>
            <w:r>
              <w:rPr>
                <w:rFonts w:eastAsia="Times New Roman"/>
                <w:b/>
                <w:bCs/>
                <w:sz w:val="20"/>
                <w:szCs w:val="20"/>
              </w:rPr>
              <w:t>Practice rate</w:t>
            </w:r>
          </w:p>
        </w:tc>
        <w:tc>
          <w:tcPr>
            <w:tcW w:w="1960" w:type="dxa"/>
            <w:tcBorders>
              <w:top w:val="single" w:sz="4" w:space="0" w:color="auto"/>
              <w:bottom w:val="single" w:sz="4" w:space="0" w:color="auto"/>
            </w:tcBorders>
          </w:tcPr>
          <w:p w14:paraId="6208D1D8" w14:textId="77777777" w:rsidR="00411204" w:rsidRDefault="00000000">
            <w:pPr>
              <w:jc w:val="center"/>
            </w:pPr>
            <w:r>
              <w:rPr>
                <w:rFonts w:eastAsia="Times New Roman"/>
                <w:b/>
                <w:bCs/>
                <w:sz w:val="20"/>
                <w:szCs w:val="20"/>
              </w:rPr>
              <w:t>Mean sessions</w:t>
            </w:r>
          </w:p>
        </w:tc>
      </w:tr>
      <w:tr w:rsidR="00411204" w14:paraId="7AB62574" w14:textId="77777777" w:rsidTr="00FD17F7">
        <w:tc>
          <w:tcPr>
            <w:tcW w:w="2200" w:type="dxa"/>
            <w:tcBorders>
              <w:top w:val="single" w:sz="4" w:space="0" w:color="auto"/>
            </w:tcBorders>
          </w:tcPr>
          <w:p w14:paraId="1BAD3243" w14:textId="77777777" w:rsidR="00411204" w:rsidRDefault="00000000">
            <w:r>
              <w:rPr>
                <w:rFonts w:eastAsia="Times New Roman"/>
                <w:sz w:val="20"/>
                <w:szCs w:val="20"/>
              </w:rPr>
              <w:t>Low</w:t>
            </w:r>
          </w:p>
        </w:tc>
        <w:tc>
          <w:tcPr>
            <w:tcW w:w="1600" w:type="dxa"/>
            <w:tcBorders>
              <w:top w:val="single" w:sz="4" w:space="0" w:color="auto"/>
            </w:tcBorders>
          </w:tcPr>
          <w:p w14:paraId="5E6DEAE3" w14:textId="77777777" w:rsidR="00411204" w:rsidRDefault="00000000">
            <w:pPr>
              <w:jc w:val="center"/>
            </w:pPr>
            <w:r>
              <w:rPr>
                <w:rFonts w:eastAsia="Times New Roman"/>
                <w:sz w:val="20"/>
                <w:szCs w:val="20"/>
              </w:rPr>
              <w:t>42</w:t>
            </w:r>
          </w:p>
        </w:tc>
        <w:tc>
          <w:tcPr>
            <w:tcW w:w="1600" w:type="dxa"/>
            <w:tcBorders>
              <w:top w:val="single" w:sz="4" w:space="0" w:color="auto"/>
            </w:tcBorders>
          </w:tcPr>
          <w:p w14:paraId="39D8E94C" w14:textId="77777777" w:rsidR="00411204" w:rsidRDefault="00000000">
            <w:pPr>
              <w:jc w:val="center"/>
            </w:pPr>
            <w:r>
              <w:rPr>
                <w:rFonts w:eastAsia="Times New Roman"/>
                <w:sz w:val="20"/>
                <w:szCs w:val="20"/>
              </w:rPr>
              <w:t>226–454</w:t>
            </w:r>
          </w:p>
        </w:tc>
        <w:tc>
          <w:tcPr>
            <w:tcW w:w="2000" w:type="dxa"/>
            <w:tcBorders>
              <w:top w:val="single" w:sz="4" w:space="0" w:color="auto"/>
            </w:tcBorders>
          </w:tcPr>
          <w:p w14:paraId="517AD27D" w14:textId="77777777" w:rsidR="00411204" w:rsidRDefault="00000000">
            <w:pPr>
              <w:jc w:val="center"/>
            </w:pPr>
            <w:r>
              <w:rPr>
                <w:rFonts w:eastAsia="Times New Roman"/>
                <w:sz w:val="20"/>
                <w:szCs w:val="20"/>
              </w:rPr>
              <w:t>38.1%</w:t>
            </w:r>
          </w:p>
        </w:tc>
        <w:tc>
          <w:tcPr>
            <w:tcW w:w="1960" w:type="dxa"/>
            <w:tcBorders>
              <w:top w:val="single" w:sz="4" w:space="0" w:color="auto"/>
            </w:tcBorders>
          </w:tcPr>
          <w:p w14:paraId="6FE9E2FE" w14:textId="77777777" w:rsidR="00411204" w:rsidRDefault="00000000">
            <w:pPr>
              <w:jc w:val="center"/>
            </w:pPr>
            <w:r>
              <w:rPr>
                <w:rFonts w:eastAsia="Times New Roman"/>
                <w:sz w:val="20"/>
                <w:szCs w:val="20"/>
              </w:rPr>
              <w:t>0.93</w:t>
            </w:r>
          </w:p>
        </w:tc>
      </w:tr>
      <w:tr w:rsidR="00411204" w14:paraId="43B4DB2E" w14:textId="77777777" w:rsidTr="005E7479">
        <w:tc>
          <w:tcPr>
            <w:tcW w:w="2200" w:type="dxa"/>
          </w:tcPr>
          <w:p w14:paraId="38C7C4A8" w14:textId="77777777" w:rsidR="00411204" w:rsidRDefault="00000000">
            <w:r>
              <w:rPr>
                <w:rFonts w:eastAsia="Times New Roman"/>
                <w:sz w:val="20"/>
                <w:szCs w:val="20"/>
              </w:rPr>
              <w:t>Middle</w:t>
            </w:r>
          </w:p>
        </w:tc>
        <w:tc>
          <w:tcPr>
            <w:tcW w:w="1600" w:type="dxa"/>
          </w:tcPr>
          <w:p w14:paraId="62D04210" w14:textId="77777777" w:rsidR="00411204" w:rsidRDefault="00000000">
            <w:pPr>
              <w:jc w:val="center"/>
            </w:pPr>
            <w:r>
              <w:rPr>
                <w:rFonts w:eastAsia="Times New Roman"/>
                <w:sz w:val="20"/>
                <w:szCs w:val="20"/>
              </w:rPr>
              <w:t>42</w:t>
            </w:r>
          </w:p>
        </w:tc>
        <w:tc>
          <w:tcPr>
            <w:tcW w:w="1600" w:type="dxa"/>
          </w:tcPr>
          <w:p w14:paraId="6A834244" w14:textId="77777777" w:rsidR="00411204" w:rsidRDefault="00000000">
            <w:pPr>
              <w:jc w:val="center"/>
            </w:pPr>
            <w:r>
              <w:rPr>
                <w:rFonts w:eastAsia="Times New Roman"/>
                <w:sz w:val="20"/>
                <w:szCs w:val="20"/>
              </w:rPr>
              <w:t>457–551</w:t>
            </w:r>
          </w:p>
        </w:tc>
        <w:tc>
          <w:tcPr>
            <w:tcW w:w="2000" w:type="dxa"/>
          </w:tcPr>
          <w:p w14:paraId="48921E78" w14:textId="77777777" w:rsidR="00411204" w:rsidRDefault="00000000">
            <w:pPr>
              <w:jc w:val="center"/>
            </w:pPr>
            <w:r>
              <w:rPr>
                <w:rFonts w:eastAsia="Times New Roman"/>
                <w:sz w:val="20"/>
                <w:szCs w:val="20"/>
              </w:rPr>
              <w:t>52.4%</w:t>
            </w:r>
          </w:p>
        </w:tc>
        <w:tc>
          <w:tcPr>
            <w:tcW w:w="1960" w:type="dxa"/>
          </w:tcPr>
          <w:p w14:paraId="28A7AD6C" w14:textId="77777777" w:rsidR="00411204" w:rsidRDefault="00000000">
            <w:pPr>
              <w:jc w:val="center"/>
            </w:pPr>
            <w:r>
              <w:rPr>
                <w:rFonts w:eastAsia="Times New Roman"/>
                <w:sz w:val="20"/>
                <w:szCs w:val="20"/>
              </w:rPr>
              <w:t>1.24</w:t>
            </w:r>
          </w:p>
        </w:tc>
      </w:tr>
      <w:tr w:rsidR="00411204" w14:paraId="1C967DE5" w14:textId="77777777" w:rsidTr="005E7479">
        <w:tc>
          <w:tcPr>
            <w:tcW w:w="2200" w:type="dxa"/>
          </w:tcPr>
          <w:p w14:paraId="0C49507A" w14:textId="77777777" w:rsidR="00411204" w:rsidRDefault="00000000">
            <w:r>
              <w:rPr>
                <w:rFonts w:eastAsia="Times New Roman"/>
                <w:sz w:val="20"/>
                <w:szCs w:val="20"/>
              </w:rPr>
              <w:t>High</w:t>
            </w:r>
          </w:p>
        </w:tc>
        <w:tc>
          <w:tcPr>
            <w:tcW w:w="1600" w:type="dxa"/>
          </w:tcPr>
          <w:p w14:paraId="73A106D9" w14:textId="77777777" w:rsidR="00411204" w:rsidRDefault="00000000">
            <w:pPr>
              <w:jc w:val="center"/>
            </w:pPr>
            <w:r>
              <w:rPr>
                <w:rFonts w:eastAsia="Times New Roman"/>
                <w:sz w:val="20"/>
                <w:szCs w:val="20"/>
              </w:rPr>
              <w:t>42</w:t>
            </w:r>
          </w:p>
        </w:tc>
        <w:tc>
          <w:tcPr>
            <w:tcW w:w="1600" w:type="dxa"/>
          </w:tcPr>
          <w:p w14:paraId="0390AB52" w14:textId="77777777" w:rsidR="00411204" w:rsidRDefault="00000000">
            <w:pPr>
              <w:jc w:val="center"/>
            </w:pPr>
            <w:r>
              <w:rPr>
                <w:rFonts w:eastAsia="Times New Roman"/>
                <w:sz w:val="20"/>
                <w:szCs w:val="20"/>
              </w:rPr>
              <w:t>555–751</w:t>
            </w:r>
          </w:p>
        </w:tc>
        <w:tc>
          <w:tcPr>
            <w:tcW w:w="2000" w:type="dxa"/>
          </w:tcPr>
          <w:p w14:paraId="60091F43" w14:textId="77777777" w:rsidR="00411204" w:rsidRDefault="00000000">
            <w:pPr>
              <w:jc w:val="center"/>
            </w:pPr>
            <w:r>
              <w:rPr>
                <w:rFonts w:eastAsia="Times New Roman"/>
                <w:sz w:val="20"/>
                <w:szCs w:val="20"/>
              </w:rPr>
              <w:t>64.3%</w:t>
            </w:r>
          </w:p>
        </w:tc>
        <w:tc>
          <w:tcPr>
            <w:tcW w:w="1960" w:type="dxa"/>
          </w:tcPr>
          <w:p w14:paraId="59012933" w14:textId="77777777" w:rsidR="00411204" w:rsidRDefault="00000000">
            <w:pPr>
              <w:jc w:val="center"/>
            </w:pPr>
            <w:r>
              <w:rPr>
                <w:rFonts w:eastAsia="Times New Roman"/>
                <w:sz w:val="20"/>
                <w:szCs w:val="20"/>
              </w:rPr>
              <w:t>1.81</w:t>
            </w:r>
          </w:p>
        </w:tc>
      </w:tr>
    </w:tbl>
    <w:p w14:paraId="5468710A" w14:textId="77777777" w:rsidR="00411204" w:rsidRDefault="00000000">
      <w:pPr>
        <w:spacing w:after="200"/>
      </w:pPr>
      <w:r>
        <w:rPr>
          <w:rFonts w:eastAsia="Times New Roman"/>
          <w:i/>
          <w:iCs/>
          <w:sz w:val="20"/>
          <w:szCs w:val="20"/>
        </w:rPr>
        <w:t xml:space="preserve">Note. </w:t>
      </w:r>
      <w:r>
        <w:rPr>
          <w:rFonts w:eastAsia="Times New Roman"/>
          <w:sz w:val="20"/>
          <w:szCs w:val="20"/>
        </w:rPr>
        <w:t>Students were divided into tertiles based on CBT (Computer-Based Testing) scores. Practice rate = percentage of students in each tertile who attended at least one voluntary practice session. Mean sessions = average number of practice sessions attended (including students with zero sessions). Chi-square test for trend across tertiles: χ²=5.78, p=.055.</w:t>
      </w:r>
    </w:p>
    <w:p w14:paraId="7EC4548A" w14:textId="77777777" w:rsidR="00411204" w:rsidRDefault="00411204">
      <w:pPr>
        <w:spacing w:after="400"/>
      </w:pPr>
    </w:p>
    <w:p w14:paraId="4CEC32EF" w14:textId="0D8F428F" w:rsidR="00411204" w:rsidRDefault="00000000">
      <w:pPr>
        <w:spacing w:after="120"/>
      </w:pPr>
      <w:r>
        <w:rPr>
          <w:rFonts w:eastAsia="Times New Roman"/>
          <w:b/>
          <w:bCs/>
        </w:rPr>
        <w:t>Table S</w:t>
      </w:r>
      <w:r w:rsidR="0069474A">
        <w:rPr>
          <w:rFonts w:eastAsia="Times New Roman"/>
          <w:b/>
          <w:bCs/>
        </w:rPr>
        <w:t>2</w:t>
      </w:r>
      <w:r>
        <w:rPr>
          <w:rFonts w:eastAsia="Times New Roman"/>
          <w:b/>
          <w:bCs/>
        </w:rPr>
        <w:t xml:space="preserve">. </w:t>
      </w:r>
      <w:r>
        <w:rPr>
          <w:rFonts w:eastAsia="Times New Roman"/>
        </w:rPr>
        <w:t>Inverse Probability of Treatment Weighting: Covariate Balance and Weight Diagnostics</w:t>
      </w:r>
    </w:p>
    <w:p w14:paraId="1C6ADDF5" w14:textId="77777777" w:rsidR="00411204" w:rsidRDefault="00000000">
      <w:pPr>
        <w:spacing w:after="60"/>
      </w:pPr>
      <w:r>
        <w:rPr>
          <w:rFonts w:eastAsia="Times New Roman"/>
          <w:b/>
          <w:bCs/>
        </w:rPr>
        <w:t>Panel A. Binary Treatment (Any Practice vs. None)</w:t>
      </w:r>
    </w:p>
    <w:tbl>
      <w:tblPr>
        <w:tblW w:w="936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11204" w14:paraId="5F44A53E" w14:textId="77777777" w:rsidTr="00AE2127">
        <w:tc>
          <w:tcPr>
            <w:tcW w:w="3120" w:type="dxa"/>
            <w:tcBorders>
              <w:top w:val="single" w:sz="4" w:space="0" w:color="auto"/>
              <w:bottom w:val="single" w:sz="4" w:space="0" w:color="auto"/>
            </w:tcBorders>
          </w:tcPr>
          <w:p w14:paraId="4AD1BF65" w14:textId="77777777" w:rsidR="00411204" w:rsidRDefault="00000000">
            <w:pPr>
              <w:jc w:val="center"/>
            </w:pPr>
            <w:r>
              <w:rPr>
                <w:rFonts w:eastAsia="Times New Roman"/>
                <w:b/>
                <w:bCs/>
                <w:sz w:val="20"/>
                <w:szCs w:val="20"/>
              </w:rPr>
              <w:t>Covariate</w:t>
            </w:r>
          </w:p>
        </w:tc>
        <w:tc>
          <w:tcPr>
            <w:tcW w:w="3120" w:type="dxa"/>
            <w:tcBorders>
              <w:top w:val="single" w:sz="4" w:space="0" w:color="auto"/>
              <w:bottom w:val="single" w:sz="4" w:space="0" w:color="auto"/>
            </w:tcBorders>
          </w:tcPr>
          <w:p w14:paraId="6BA852CA" w14:textId="77777777" w:rsidR="00411204" w:rsidRDefault="00000000">
            <w:pPr>
              <w:jc w:val="center"/>
            </w:pPr>
            <w:r>
              <w:rPr>
                <w:rFonts w:eastAsia="Times New Roman"/>
                <w:b/>
                <w:bCs/>
                <w:sz w:val="20"/>
                <w:szCs w:val="20"/>
              </w:rPr>
              <w:t>Unweighted SMD</w:t>
            </w:r>
          </w:p>
        </w:tc>
        <w:tc>
          <w:tcPr>
            <w:tcW w:w="3120" w:type="dxa"/>
            <w:tcBorders>
              <w:top w:val="single" w:sz="4" w:space="0" w:color="auto"/>
              <w:bottom w:val="single" w:sz="4" w:space="0" w:color="auto"/>
            </w:tcBorders>
          </w:tcPr>
          <w:p w14:paraId="337D0C11" w14:textId="77777777" w:rsidR="00411204" w:rsidRDefault="00000000">
            <w:pPr>
              <w:jc w:val="center"/>
            </w:pPr>
            <w:r>
              <w:rPr>
                <w:rFonts w:eastAsia="Times New Roman"/>
                <w:b/>
                <w:bCs/>
                <w:sz w:val="20"/>
                <w:szCs w:val="20"/>
              </w:rPr>
              <w:t>Weighted SMD</w:t>
            </w:r>
          </w:p>
        </w:tc>
      </w:tr>
      <w:tr w:rsidR="00411204" w14:paraId="42C34245" w14:textId="77777777" w:rsidTr="00AE2127">
        <w:tc>
          <w:tcPr>
            <w:tcW w:w="3120" w:type="dxa"/>
            <w:tcBorders>
              <w:top w:val="single" w:sz="4" w:space="0" w:color="auto"/>
            </w:tcBorders>
          </w:tcPr>
          <w:p w14:paraId="678416C9" w14:textId="77777777" w:rsidR="00411204" w:rsidRDefault="00000000">
            <w:r>
              <w:rPr>
                <w:rFonts w:eastAsia="Times New Roman"/>
                <w:sz w:val="20"/>
                <w:szCs w:val="20"/>
              </w:rPr>
              <w:t>CBT (z-score)</w:t>
            </w:r>
          </w:p>
        </w:tc>
        <w:tc>
          <w:tcPr>
            <w:tcW w:w="3120" w:type="dxa"/>
            <w:tcBorders>
              <w:top w:val="single" w:sz="4" w:space="0" w:color="auto"/>
            </w:tcBorders>
          </w:tcPr>
          <w:p w14:paraId="516B0000" w14:textId="77777777" w:rsidR="00411204" w:rsidRDefault="00000000">
            <w:pPr>
              <w:jc w:val="center"/>
            </w:pPr>
            <w:r>
              <w:rPr>
                <w:rFonts w:eastAsia="Times New Roman"/>
                <w:sz w:val="20"/>
                <w:szCs w:val="20"/>
              </w:rPr>
              <w:t>0.545</w:t>
            </w:r>
          </w:p>
        </w:tc>
        <w:tc>
          <w:tcPr>
            <w:tcW w:w="3120" w:type="dxa"/>
            <w:tcBorders>
              <w:top w:val="single" w:sz="4" w:space="0" w:color="auto"/>
            </w:tcBorders>
          </w:tcPr>
          <w:p w14:paraId="10EBD7D2" w14:textId="77777777" w:rsidR="00411204" w:rsidRDefault="00000000">
            <w:pPr>
              <w:jc w:val="center"/>
            </w:pPr>
            <w:r>
              <w:rPr>
                <w:rFonts w:eastAsia="Times New Roman"/>
                <w:sz w:val="20"/>
                <w:szCs w:val="20"/>
              </w:rPr>
              <w:t>0.012</w:t>
            </w:r>
          </w:p>
        </w:tc>
      </w:tr>
      <w:tr w:rsidR="00411204" w14:paraId="40077693" w14:textId="77777777" w:rsidTr="00AE2127">
        <w:tc>
          <w:tcPr>
            <w:tcW w:w="3120" w:type="dxa"/>
          </w:tcPr>
          <w:p w14:paraId="57D226A2" w14:textId="77777777" w:rsidR="00411204" w:rsidRDefault="00000000">
            <w:r>
              <w:rPr>
                <w:rFonts w:eastAsia="Times New Roman"/>
                <w:sz w:val="20"/>
                <w:szCs w:val="20"/>
              </w:rPr>
              <w:t>Female</w:t>
            </w:r>
          </w:p>
        </w:tc>
        <w:tc>
          <w:tcPr>
            <w:tcW w:w="3120" w:type="dxa"/>
          </w:tcPr>
          <w:p w14:paraId="3420FF53" w14:textId="77777777" w:rsidR="00411204" w:rsidRDefault="00000000">
            <w:pPr>
              <w:jc w:val="center"/>
            </w:pPr>
            <w:r>
              <w:rPr>
                <w:rFonts w:eastAsia="Times New Roman"/>
                <w:sz w:val="20"/>
                <w:szCs w:val="20"/>
              </w:rPr>
              <w:t>−0.043</w:t>
            </w:r>
          </w:p>
        </w:tc>
        <w:tc>
          <w:tcPr>
            <w:tcW w:w="3120" w:type="dxa"/>
          </w:tcPr>
          <w:p w14:paraId="70EFF142" w14:textId="77777777" w:rsidR="00411204" w:rsidRDefault="00000000">
            <w:pPr>
              <w:jc w:val="center"/>
            </w:pPr>
            <w:r>
              <w:rPr>
                <w:rFonts w:eastAsia="Times New Roman"/>
                <w:sz w:val="20"/>
                <w:szCs w:val="20"/>
              </w:rPr>
              <w:t>−0.025</w:t>
            </w:r>
          </w:p>
        </w:tc>
      </w:tr>
      <w:tr w:rsidR="00411204" w14:paraId="523A1A19" w14:textId="77777777" w:rsidTr="00AE2127">
        <w:tc>
          <w:tcPr>
            <w:tcW w:w="3120" w:type="dxa"/>
          </w:tcPr>
          <w:p w14:paraId="795CBA25" w14:textId="77777777" w:rsidR="00411204" w:rsidRDefault="00000000">
            <w:r>
              <w:rPr>
                <w:rFonts w:eastAsia="Times New Roman"/>
                <w:sz w:val="20"/>
                <w:szCs w:val="20"/>
              </w:rPr>
              <w:t>Regional quota</w:t>
            </w:r>
          </w:p>
        </w:tc>
        <w:tc>
          <w:tcPr>
            <w:tcW w:w="3120" w:type="dxa"/>
          </w:tcPr>
          <w:p w14:paraId="755E07FD" w14:textId="77777777" w:rsidR="00411204" w:rsidRDefault="00000000">
            <w:pPr>
              <w:jc w:val="center"/>
            </w:pPr>
            <w:r>
              <w:rPr>
                <w:rFonts w:eastAsia="Times New Roman"/>
                <w:sz w:val="20"/>
                <w:szCs w:val="20"/>
              </w:rPr>
              <w:t>0.177</w:t>
            </w:r>
          </w:p>
        </w:tc>
        <w:tc>
          <w:tcPr>
            <w:tcW w:w="3120" w:type="dxa"/>
          </w:tcPr>
          <w:p w14:paraId="336559FD" w14:textId="77777777" w:rsidR="00411204" w:rsidRDefault="00000000">
            <w:pPr>
              <w:jc w:val="center"/>
            </w:pPr>
            <w:r>
              <w:rPr>
                <w:rFonts w:eastAsia="Times New Roman"/>
                <w:sz w:val="20"/>
                <w:szCs w:val="20"/>
              </w:rPr>
              <w:t>−0.016</w:t>
            </w:r>
          </w:p>
        </w:tc>
      </w:tr>
      <w:tr w:rsidR="00411204" w14:paraId="1106E818" w14:textId="77777777" w:rsidTr="00AE2127">
        <w:tc>
          <w:tcPr>
            <w:tcW w:w="3120" w:type="dxa"/>
          </w:tcPr>
          <w:p w14:paraId="1A080D19" w14:textId="77777777" w:rsidR="00411204" w:rsidRDefault="00000000">
            <w:r>
              <w:rPr>
                <w:rFonts w:eastAsia="Times New Roman"/>
                <w:sz w:val="20"/>
                <w:szCs w:val="20"/>
              </w:rPr>
              <w:t>Grade retention</w:t>
            </w:r>
          </w:p>
        </w:tc>
        <w:tc>
          <w:tcPr>
            <w:tcW w:w="3120" w:type="dxa"/>
          </w:tcPr>
          <w:p w14:paraId="41EB2DA8" w14:textId="77777777" w:rsidR="00411204" w:rsidRDefault="00000000">
            <w:pPr>
              <w:jc w:val="center"/>
            </w:pPr>
            <w:r>
              <w:rPr>
                <w:rFonts w:eastAsia="Times New Roman"/>
                <w:sz w:val="20"/>
                <w:szCs w:val="20"/>
              </w:rPr>
              <w:t>0.031</w:t>
            </w:r>
          </w:p>
        </w:tc>
        <w:tc>
          <w:tcPr>
            <w:tcW w:w="3120" w:type="dxa"/>
          </w:tcPr>
          <w:p w14:paraId="76435AFF" w14:textId="77777777" w:rsidR="00411204" w:rsidRDefault="00000000">
            <w:pPr>
              <w:jc w:val="center"/>
            </w:pPr>
            <w:r>
              <w:rPr>
                <w:rFonts w:eastAsia="Times New Roman"/>
                <w:sz w:val="20"/>
                <w:szCs w:val="20"/>
              </w:rPr>
              <w:t>0.022</w:t>
            </w:r>
          </w:p>
        </w:tc>
      </w:tr>
    </w:tbl>
    <w:p w14:paraId="51029325" w14:textId="77777777" w:rsidR="00411204" w:rsidRDefault="00000000">
      <w:pPr>
        <w:spacing w:after="200"/>
      </w:pPr>
      <w:r>
        <w:rPr>
          <w:rFonts w:eastAsia="Times New Roman"/>
          <w:i/>
          <w:iCs/>
          <w:sz w:val="20"/>
          <w:szCs w:val="20"/>
        </w:rPr>
        <w:t xml:space="preserve">Weight diagnostics: </w:t>
      </w:r>
      <w:r>
        <w:rPr>
          <w:rFonts w:eastAsia="Times New Roman"/>
          <w:sz w:val="20"/>
          <w:szCs w:val="20"/>
        </w:rPr>
        <w:t>mean = 0.999, SD = 0.337, range = [0.553, 2.432]. IPTW-weighted GEE estimate: β = 0.072, SE = 0.080, p = .371.</w:t>
      </w:r>
    </w:p>
    <w:p w14:paraId="6AD3D5A5" w14:textId="77777777" w:rsidR="00411204" w:rsidRDefault="00411204">
      <w:pPr>
        <w:spacing w:after="200"/>
      </w:pPr>
    </w:p>
    <w:p w14:paraId="5BB807A9" w14:textId="77777777" w:rsidR="00411204" w:rsidRDefault="00000000">
      <w:pPr>
        <w:spacing w:after="60"/>
      </w:pPr>
      <w:r>
        <w:rPr>
          <w:rFonts w:eastAsia="Times New Roman"/>
          <w:b/>
          <w:bCs/>
        </w:rPr>
        <w:t>Panel B. Continuous Treatment (Generalized Propensity Score)</w:t>
      </w:r>
    </w:p>
    <w:tbl>
      <w:tblPr>
        <w:tblW w:w="936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11204" w14:paraId="4B9FEF2B" w14:textId="77777777" w:rsidTr="00EE6A7C">
        <w:tc>
          <w:tcPr>
            <w:tcW w:w="3120" w:type="dxa"/>
            <w:tcBorders>
              <w:top w:val="single" w:sz="4" w:space="0" w:color="auto"/>
              <w:bottom w:val="single" w:sz="4" w:space="0" w:color="auto"/>
            </w:tcBorders>
          </w:tcPr>
          <w:p w14:paraId="3E0ACDD0" w14:textId="77777777" w:rsidR="00411204" w:rsidRDefault="00000000">
            <w:pPr>
              <w:jc w:val="center"/>
            </w:pPr>
            <w:r>
              <w:rPr>
                <w:rFonts w:eastAsia="Times New Roman"/>
                <w:b/>
                <w:bCs/>
                <w:sz w:val="20"/>
                <w:szCs w:val="20"/>
              </w:rPr>
              <w:t>Covariate</w:t>
            </w:r>
          </w:p>
        </w:tc>
        <w:tc>
          <w:tcPr>
            <w:tcW w:w="3120" w:type="dxa"/>
            <w:tcBorders>
              <w:top w:val="single" w:sz="4" w:space="0" w:color="auto"/>
              <w:bottom w:val="single" w:sz="4" w:space="0" w:color="auto"/>
            </w:tcBorders>
          </w:tcPr>
          <w:p w14:paraId="3F868239" w14:textId="77777777" w:rsidR="00411204" w:rsidRDefault="00000000">
            <w:pPr>
              <w:jc w:val="center"/>
            </w:pPr>
            <w:r>
              <w:rPr>
                <w:rFonts w:eastAsia="Times New Roman"/>
                <w:b/>
                <w:bCs/>
                <w:sz w:val="20"/>
                <w:szCs w:val="20"/>
              </w:rPr>
              <w:t>Unweighted r</w:t>
            </w:r>
          </w:p>
        </w:tc>
        <w:tc>
          <w:tcPr>
            <w:tcW w:w="3120" w:type="dxa"/>
            <w:tcBorders>
              <w:top w:val="single" w:sz="4" w:space="0" w:color="auto"/>
              <w:bottom w:val="single" w:sz="4" w:space="0" w:color="auto"/>
            </w:tcBorders>
          </w:tcPr>
          <w:p w14:paraId="263EA07F" w14:textId="77777777" w:rsidR="00411204" w:rsidRDefault="00000000">
            <w:pPr>
              <w:jc w:val="center"/>
            </w:pPr>
            <w:r>
              <w:rPr>
                <w:rFonts w:eastAsia="Times New Roman"/>
                <w:b/>
                <w:bCs/>
                <w:sz w:val="20"/>
                <w:szCs w:val="20"/>
              </w:rPr>
              <w:t>Weighted r</w:t>
            </w:r>
          </w:p>
        </w:tc>
      </w:tr>
      <w:tr w:rsidR="00411204" w14:paraId="6B4E582E" w14:textId="77777777" w:rsidTr="00EE6A7C">
        <w:tc>
          <w:tcPr>
            <w:tcW w:w="3120" w:type="dxa"/>
            <w:tcBorders>
              <w:top w:val="single" w:sz="4" w:space="0" w:color="auto"/>
            </w:tcBorders>
          </w:tcPr>
          <w:p w14:paraId="51A725F4" w14:textId="77777777" w:rsidR="00411204" w:rsidRDefault="00000000">
            <w:r>
              <w:rPr>
                <w:rFonts w:eastAsia="Times New Roman"/>
                <w:sz w:val="20"/>
                <w:szCs w:val="20"/>
              </w:rPr>
              <w:t>CBT (z-score)</w:t>
            </w:r>
          </w:p>
        </w:tc>
        <w:tc>
          <w:tcPr>
            <w:tcW w:w="3120" w:type="dxa"/>
            <w:tcBorders>
              <w:top w:val="single" w:sz="4" w:space="0" w:color="auto"/>
            </w:tcBorders>
          </w:tcPr>
          <w:p w14:paraId="1467D99C" w14:textId="77777777" w:rsidR="00411204" w:rsidRDefault="00000000">
            <w:pPr>
              <w:jc w:val="center"/>
            </w:pPr>
            <w:r>
              <w:rPr>
                <w:rFonts w:eastAsia="Times New Roman"/>
                <w:sz w:val="20"/>
                <w:szCs w:val="20"/>
              </w:rPr>
              <w:t>0.271</w:t>
            </w:r>
          </w:p>
        </w:tc>
        <w:tc>
          <w:tcPr>
            <w:tcW w:w="3120" w:type="dxa"/>
            <w:tcBorders>
              <w:top w:val="single" w:sz="4" w:space="0" w:color="auto"/>
            </w:tcBorders>
          </w:tcPr>
          <w:p w14:paraId="6F13F296" w14:textId="77777777" w:rsidR="00411204" w:rsidRDefault="00000000">
            <w:pPr>
              <w:jc w:val="center"/>
            </w:pPr>
            <w:r>
              <w:rPr>
                <w:rFonts w:eastAsia="Times New Roman"/>
                <w:sz w:val="20"/>
                <w:szCs w:val="20"/>
              </w:rPr>
              <w:t>0.086</w:t>
            </w:r>
          </w:p>
        </w:tc>
      </w:tr>
      <w:tr w:rsidR="00411204" w14:paraId="00720D4A" w14:textId="77777777" w:rsidTr="00EE6A7C">
        <w:tc>
          <w:tcPr>
            <w:tcW w:w="3120" w:type="dxa"/>
          </w:tcPr>
          <w:p w14:paraId="3799C7EF" w14:textId="77777777" w:rsidR="00411204" w:rsidRDefault="00000000">
            <w:r>
              <w:rPr>
                <w:rFonts w:eastAsia="Times New Roman"/>
                <w:sz w:val="20"/>
                <w:szCs w:val="20"/>
              </w:rPr>
              <w:t>Female</w:t>
            </w:r>
          </w:p>
        </w:tc>
        <w:tc>
          <w:tcPr>
            <w:tcW w:w="3120" w:type="dxa"/>
          </w:tcPr>
          <w:p w14:paraId="2197F2F8" w14:textId="77777777" w:rsidR="00411204" w:rsidRDefault="00000000">
            <w:pPr>
              <w:jc w:val="center"/>
            </w:pPr>
            <w:r>
              <w:rPr>
                <w:rFonts w:eastAsia="Times New Roman"/>
                <w:sz w:val="20"/>
                <w:szCs w:val="20"/>
              </w:rPr>
              <w:t>−0.056</w:t>
            </w:r>
          </w:p>
        </w:tc>
        <w:tc>
          <w:tcPr>
            <w:tcW w:w="3120" w:type="dxa"/>
          </w:tcPr>
          <w:p w14:paraId="5D50D115" w14:textId="77777777" w:rsidR="00411204" w:rsidRDefault="00000000">
            <w:pPr>
              <w:jc w:val="center"/>
            </w:pPr>
            <w:r>
              <w:rPr>
                <w:rFonts w:eastAsia="Times New Roman"/>
                <w:sz w:val="20"/>
                <w:szCs w:val="20"/>
              </w:rPr>
              <w:t>−0.003</w:t>
            </w:r>
          </w:p>
        </w:tc>
      </w:tr>
      <w:tr w:rsidR="00411204" w14:paraId="37645C79" w14:textId="77777777" w:rsidTr="00EE6A7C">
        <w:tc>
          <w:tcPr>
            <w:tcW w:w="3120" w:type="dxa"/>
          </w:tcPr>
          <w:p w14:paraId="3274909F" w14:textId="77777777" w:rsidR="00411204" w:rsidRDefault="00000000">
            <w:r>
              <w:rPr>
                <w:rFonts w:eastAsia="Times New Roman"/>
                <w:sz w:val="20"/>
                <w:szCs w:val="20"/>
              </w:rPr>
              <w:t>Regional quota</w:t>
            </w:r>
          </w:p>
        </w:tc>
        <w:tc>
          <w:tcPr>
            <w:tcW w:w="3120" w:type="dxa"/>
          </w:tcPr>
          <w:p w14:paraId="3CDCFB34" w14:textId="77777777" w:rsidR="00411204" w:rsidRDefault="00000000">
            <w:pPr>
              <w:jc w:val="center"/>
            </w:pPr>
            <w:r>
              <w:rPr>
                <w:rFonts w:eastAsia="Times New Roman"/>
                <w:sz w:val="20"/>
                <w:szCs w:val="20"/>
              </w:rPr>
              <w:t>0.062</w:t>
            </w:r>
          </w:p>
        </w:tc>
        <w:tc>
          <w:tcPr>
            <w:tcW w:w="3120" w:type="dxa"/>
          </w:tcPr>
          <w:p w14:paraId="049DDE43" w14:textId="77777777" w:rsidR="00411204" w:rsidRDefault="00000000">
            <w:pPr>
              <w:jc w:val="center"/>
            </w:pPr>
            <w:r>
              <w:rPr>
                <w:rFonts w:eastAsia="Times New Roman"/>
                <w:sz w:val="20"/>
                <w:szCs w:val="20"/>
              </w:rPr>
              <w:t>0.055</w:t>
            </w:r>
          </w:p>
        </w:tc>
      </w:tr>
      <w:tr w:rsidR="00411204" w14:paraId="2E80712B" w14:textId="77777777" w:rsidTr="00EE6A7C">
        <w:tc>
          <w:tcPr>
            <w:tcW w:w="3120" w:type="dxa"/>
          </w:tcPr>
          <w:p w14:paraId="203C6746" w14:textId="77777777" w:rsidR="00411204" w:rsidRDefault="00000000">
            <w:r>
              <w:rPr>
                <w:rFonts w:eastAsia="Times New Roman"/>
                <w:sz w:val="20"/>
                <w:szCs w:val="20"/>
              </w:rPr>
              <w:t>Grade retention</w:t>
            </w:r>
          </w:p>
        </w:tc>
        <w:tc>
          <w:tcPr>
            <w:tcW w:w="3120" w:type="dxa"/>
          </w:tcPr>
          <w:p w14:paraId="4852AFB0" w14:textId="77777777" w:rsidR="00411204" w:rsidRDefault="00000000">
            <w:pPr>
              <w:jc w:val="center"/>
            </w:pPr>
            <w:r>
              <w:rPr>
                <w:rFonts w:eastAsia="Times New Roman"/>
                <w:sz w:val="20"/>
                <w:szCs w:val="20"/>
              </w:rPr>
              <w:t>0.039</w:t>
            </w:r>
          </w:p>
        </w:tc>
        <w:tc>
          <w:tcPr>
            <w:tcW w:w="3120" w:type="dxa"/>
          </w:tcPr>
          <w:p w14:paraId="272AC2D0" w14:textId="77777777" w:rsidR="00411204" w:rsidRDefault="00000000">
            <w:pPr>
              <w:jc w:val="center"/>
            </w:pPr>
            <w:r>
              <w:rPr>
                <w:rFonts w:eastAsia="Times New Roman"/>
                <w:sz w:val="20"/>
                <w:szCs w:val="20"/>
              </w:rPr>
              <w:t>0.008</w:t>
            </w:r>
          </w:p>
        </w:tc>
      </w:tr>
    </w:tbl>
    <w:p w14:paraId="10823CAA" w14:textId="77777777" w:rsidR="00411204" w:rsidRDefault="00000000">
      <w:pPr>
        <w:spacing w:after="200"/>
      </w:pPr>
      <w:r>
        <w:rPr>
          <w:rFonts w:eastAsia="Times New Roman"/>
          <w:i/>
          <w:iCs/>
          <w:sz w:val="20"/>
          <w:szCs w:val="20"/>
        </w:rPr>
        <w:t xml:space="preserve">Weight diagnostics: </w:t>
      </w:r>
      <w:r>
        <w:rPr>
          <w:rFonts w:eastAsia="Times New Roman"/>
          <w:sz w:val="20"/>
          <w:szCs w:val="20"/>
        </w:rPr>
        <w:t>mean = 0.983, SD = 0.267, range = [0.333, 2.008]. IPTW-weighted GEE estimate: β = 0.040, SE = 0.020, 95% CI [0.000, 0.079], p = .051.</w:t>
      </w:r>
    </w:p>
    <w:p w14:paraId="6F5E0884" w14:textId="77777777" w:rsidR="00411204" w:rsidRDefault="00411204">
      <w:pPr>
        <w:spacing w:after="200"/>
      </w:pPr>
    </w:p>
    <w:p w14:paraId="0579AA17" w14:textId="77777777" w:rsidR="00411204" w:rsidRDefault="00000000">
      <w:pPr>
        <w:spacing w:after="200"/>
      </w:pPr>
      <w:r>
        <w:rPr>
          <w:rFonts w:eastAsia="Times New Roman"/>
          <w:i/>
          <w:iCs/>
          <w:sz w:val="20"/>
          <w:szCs w:val="20"/>
        </w:rPr>
        <w:lastRenderedPageBreak/>
        <w:t xml:space="preserve">Note. </w:t>
      </w:r>
      <w:r>
        <w:rPr>
          <w:rFonts w:eastAsia="Times New Roman"/>
          <w:sz w:val="20"/>
          <w:szCs w:val="20"/>
        </w:rPr>
        <w:t>This table reports covariate balance before and after inverse probability of treatment weighting (IPTW), a method used to reduce confounding in observational studies by creating a pseudo-population in which treatment assignment is independent of observed covariates. Panel A: Binary treatment defined as any practice (≥1 session, n=65) versus no practice (n=61). Propensity scores were estimated using logistic regression with all four covariates as predictors. Stabilized weights were calculated as P(treatment)/PS for practitioners and (1−P(treatment))/(1−PS) for non-practitioners. Standardized mean differences (SMD) represent the difference in means between groups divided by the pooled standard deviation; values below 0.10 are generally considered well-balanced. The largest imbalance (CBT: SMD=0.545) was reduced to 0.012 after weighting. Panel B: Continuous treatment (practice count, range 0–8). The generalized propensity score (GPS) was estimated by modeling practice count as a function of covariates using OLS regression with a normal density assumption. Stabilized GPS weights were computed as the ratio of the marginal density to the conditional density of the observed practice count. Balance is assessed using Pearson correlations (r) between each covariate and practice count; values near zero indicate that the covariate is no longer associated with treatment intensity after weighting.</w:t>
      </w:r>
    </w:p>
    <w:sectPr w:rsidR="0041120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03721"/>
    <w:multiLevelType w:val="hybridMultilevel"/>
    <w:tmpl w:val="3666665C"/>
    <w:lvl w:ilvl="0" w:tplc="43EAF940">
      <w:start w:val="1"/>
      <w:numFmt w:val="bullet"/>
      <w:lvlText w:val="●"/>
      <w:lvlJc w:val="left"/>
      <w:pPr>
        <w:ind w:left="720" w:hanging="360"/>
      </w:pPr>
    </w:lvl>
    <w:lvl w:ilvl="1" w:tplc="C37871F0">
      <w:start w:val="1"/>
      <w:numFmt w:val="bullet"/>
      <w:lvlText w:val="○"/>
      <w:lvlJc w:val="left"/>
      <w:pPr>
        <w:ind w:left="1440" w:hanging="360"/>
      </w:pPr>
    </w:lvl>
    <w:lvl w:ilvl="2" w:tplc="84C86072">
      <w:start w:val="1"/>
      <w:numFmt w:val="bullet"/>
      <w:lvlText w:val="■"/>
      <w:lvlJc w:val="left"/>
      <w:pPr>
        <w:ind w:left="2160" w:hanging="360"/>
      </w:pPr>
    </w:lvl>
    <w:lvl w:ilvl="3" w:tplc="8A3CCABC">
      <w:start w:val="1"/>
      <w:numFmt w:val="bullet"/>
      <w:lvlText w:val="●"/>
      <w:lvlJc w:val="left"/>
      <w:pPr>
        <w:ind w:left="2880" w:hanging="360"/>
      </w:pPr>
    </w:lvl>
    <w:lvl w:ilvl="4" w:tplc="1C08C574">
      <w:start w:val="1"/>
      <w:numFmt w:val="bullet"/>
      <w:lvlText w:val="○"/>
      <w:lvlJc w:val="left"/>
      <w:pPr>
        <w:ind w:left="3600" w:hanging="360"/>
      </w:pPr>
    </w:lvl>
    <w:lvl w:ilvl="5" w:tplc="6EF07B5C">
      <w:start w:val="1"/>
      <w:numFmt w:val="bullet"/>
      <w:lvlText w:val="■"/>
      <w:lvlJc w:val="left"/>
      <w:pPr>
        <w:ind w:left="4320" w:hanging="360"/>
      </w:pPr>
    </w:lvl>
    <w:lvl w:ilvl="6" w:tplc="E092CAE4">
      <w:start w:val="1"/>
      <w:numFmt w:val="bullet"/>
      <w:lvlText w:val="●"/>
      <w:lvlJc w:val="left"/>
      <w:pPr>
        <w:ind w:left="5040" w:hanging="360"/>
      </w:pPr>
    </w:lvl>
    <w:lvl w:ilvl="7" w:tplc="2CA07DFA">
      <w:start w:val="1"/>
      <w:numFmt w:val="bullet"/>
      <w:lvlText w:val="●"/>
      <w:lvlJc w:val="left"/>
      <w:pPr>
        <w:ind w:left="5760" w:hanging="360"/>
      </w:pPr>
    </w:lvl>
    <w:lvl w:ilvl="8" w:tplc="5200524A">
      <w:start w:val="1"/>
      <w:numFmt w:val="bullet"/>
      <w:lvlText w:val="●"/>
      <w:lvlJc w:val="left"/>
      <w:pPr>
        <w:ind w:left="6480" w:hanging="360"/>
      </w:pPr>
    </w:lvl>
  </w:abstractNum>
  <w:num w:numId="1" w16cid:durableId="897373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04"/>
    <w:rsid w:val="003D3755"/>
    <w:rsid w:val="00411204"/>
    <w:rsid w:val="004936C4"/>
    <w:rsid w:val="005E1282"/>
    <w:rsid w:val="005E7479"/>
    <w:rsid w:val="0069474A"/>
    <w:rsid w:val="00871C8D"/>
    <w:rsid w:val="00976DF8"/>
    <w:rsid w:val="00AE2127"/>
    <w:rsid w:val="00D02002"/>
    <w:rsid w:val="00D6166A"/>
    <w:rsid w:val="00EE6A7C"/>
    <w:rsid w:val="00F77725"/>
    <w:rsid w:val="00FD1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EA91277"/>
  <w15:docId w15:val="{A2235F48-0362-6746-BF2A-D5E659A34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2</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服部　稔</cp:lastModifiedBy>
  <cp:revision>13</cp:revision>
  <dcterms:created xsi:type="dcterms:W3CDTF">2026-02-18T20:59:00Z</dcterms:created>
  <dcterms:modified xsi:type="dcterms:W3CDTF">2026-03-12T18:06:00Z</dcterms:modified>
</cp:coreProperties>
</file>