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48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Sensitivity variation on soil health indicators linked to arbuscular mycorrhizae in a highly disturbed urban basin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of Buenos Aires, Argentina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480"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Guerra Moreno, Mailen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; Silvani, Vanesa Analía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; Godeas, Alicia Margarita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1,2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; Colombo, Roxana Paula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1,2,3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</w:t>
      </w:r>
    </w:p>
    <w:p w:rsidR="00000000" w:rsidDel="00000000" w:rsidP="00000000" w:rsidRDefault="00000000" w:rsidRPr="00000000" w14:paraId="00000003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Universidad de Buenos Aires (UBA), Facultad de Ciencias Exactas y Naturales, Departamento de Biodiversidad y Biología Experimental, Buenos Aires, Argentina</w:t>
      </w:r>
    </w:p>
    <w:p w:rsidR="00000000" w:rsidDel="00000000" w:rsidP="00000000" w:rsidRDefault="00000000" w:rsidRPr="00000000" w14:paraId="00000004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Consejo Nacional de Investigaciones Científicas y Técnicas, Instituto de Biodiversidad y Biología Experimental y Aplicada (CONICET-UBA), Buenos Aires, Argentina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Universidad Nacional de Avellaneda (UNDAV), Departamento de Ambiente y Turismo, Avellaneda, Argentina</w:t>
      </w:r>
    </w:p>
    <w:p w:rsidR="00000000" w:rsidDel="00000000" w:rsidP="00000000" w:rsidRDefault="00000000" w:rsidRPr="00000000" w14:paraId="00000006">
      <w:pPr>
        <w:spacing w:after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*Corresponding author: Dra. Colombo, Roxana Paula (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0"/>
            <w:szCs w:val="20"/>
            <w:u w:val="single"/>
            <w:rtl w:val="0"/>
          </w:rPr>
          <w:t xml:space="preserve">roxanacolombo@bg.fcen.uba.ar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08">
      <w:pPr>
        <w:spacing w:after="200" w:line="276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Supplementary Tables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Table S1: List of sampled plants per site</w:t>
      </w:r>
    </w:p>
    <w:tbl>
      <w:tblPr>
        <w:tblStyle w:val="Table1"/>
        <w:tblW w:w="89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775"/>
        <w:gridCol w:w="6180"/>
        <w:tblGridChange w:id="0">
          <w:tblGrid>
            <w:gridCol w:w="2775"/>
            <w:gridCol w:w="6180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Site and associated watercourse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Sampled plants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A: Riachuelo River (Sup.Fig. 1a)</w:t>
            </w:r>
          </w:p>
          <w:p w:rsidR="00000000" w:rsidDel="00000000" w:rsidP="00000000" w:rsidRDefault="00000000" w:rsidRPr="00000000" w14:paraId="0000000E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Taraxacum officinale; Eryngium sp.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P: Riachuelo River (Sup.Fig. 1b)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Abutilon grandiflorum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C: Cildañez Stream (Sup.Fig. 1c)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Conium maculatum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M: Matanza River (Sup.Fig. 1e)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 Portulaca oleracea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O: Ortega Stream  (Sup.Fig. 1d)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Salpichroa origanifolia; Ipomea sp.; Ranunculus sp.; Poa annua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Site S: San Vicente Lagoon (Sup.Fig. 1f)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Eichhornia crassipes; Enydra fluctuans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The sampled plants were the most abundant mycorrhizal plant species recognized at each site</w:t>
      </w:r>
    </w:p>
    <w:p w:rsidR="00000000" w:rsidDel="00000000" w:rsidP="00000000" w:rsidRDefault="00000000" w:rsidRPr="00000000" w14:paraId="00000021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Table S2: Arbuscular mycorrhizal fungal species per site. </w:t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8220.0" w:type="dxa"/>
        <w:jc w:val="left"/>
        <w:tblInd w:w="-54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00"/>
        <w:gridCol w:w="1830"/>
        <w:gridCol w:w="765"/>
        <w:gridCol w:w="780"/>
        <w:gridCol w:w="795"/>
        <w:gridCol w:w="750"/>
        <w:gridCol w:w="780"/>
        <w:gridCol w:w="720"/>
        <w:tblGridChange w:id="0">
          <w:tblGrid>
            <w:gridCol w:w="1800"/>
            <w:gridCol w:w="1830"/>
            <w:gridCol w:w="765"/>
            <w:gridCol w:w="780"/>
            <w:gridCol w:w="795"/>
            <w:gridCol w:w="750"/>
            <w:gridCol w:w="780"/>
            <w:gridCol w:w="720"/>
          </w:tblGrid>
        </w:tblGridChange>
      </w:tblGrid>
      <w:tr>
        <w:trPr>
          <w:cantSplit w:val="0"/>
          <w:trHeight w:val="400" w:hRule="atLeast"/>
          <w:tblHeader w:val="1"/>
        </w:trPr>
        <w:tc>
          <w:tcPr>
            <w:gridSpan w:val="2"/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Taxonomy</w:t>
            </w:r>
          </w:p>
        </w:tc>
        <w:tc>
          <w:tcPr>
            <w:gridSpan w:val="6"/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Site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.99212598425197" w:hRule="atLeast"/>
          <w:tblHeader w:val="1"/>
        </w:trPr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Family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Species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A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M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O</w:t>
            </w:r>
          </w:p>
        </w:tc>
        <w:tc>
          <w:tcPr>
            <w:tcBorders>
              <w:top w:color="000000" w:space="0" w:sz="12" w:val="single"/>
            </w:tcBorders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Glomeraceae</w:t>
            </w:r>
          </w:p>
        </w:tc>
        <w:tc>
          <w:tcPr/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Rhizoglomus intraradices </w:t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  <w:tc>
          <w:tcPr/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Rhizophagus irregularis</w:t>
            </w:r>
          </w:p>
        </w:tc>
        <w:tc>
          <w:tcPr/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Rhizophagus fasciculatus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</w:tc>
        <w:tc>
          <w:tcPr/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  <w:tc>
          <w:tcPr/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Funneliformis mosseae</w:t>
            </w:r>
          </w:p>
        </w:tc>
        <w:tc>
          <w:tcPr/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  <w:tc>
          <w:tcPr/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  <w:tc>
          <w:tcPr/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Funneliformis geosporus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Septoglomus constrictus</w:t>
            </w:r>
          </w:p>
        </w:tc>
        <w:tc>
          <w:tcPr/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Septoglomus  viscosum</w:t>
            </w:r>
          </w:p>
        </w:tc>
        <w:tc>
          <w:tcPr/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Glomus sinuosum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Rhizoglomus microaggregatum</w:t>
            </w:r>
          </w:p>
        </w:tc>
        <w:tc>
          <w:tcPr/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8">
            <w:pPr>
              <w:widowControl w:val="0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Entrophosporaceae</w:t>
            </w:r>
          </w:p>
        </w:tc>
        <w:tc>
          <w:tcPr/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Enthophospora  etunicata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</w:p>
        </w:tc>
        <w:tc>
          <w:tcPr/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 PTC</w:t>
            </w:r>
          </w:p>
        </w:tc>
        <w:tc>
          <w:tcPr/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Enthophospora  infrequens</w:t>
            </w:r>
          </w:p>
        </w:tc>
        <w:tc>
          <w:tcPr/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Entrophospora claroidea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  <w:tc>
          <w:tcPr/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PTC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Gigasporaceae</w:t>
            </w:r>
          </w:p>
        </w:tc>
        <w:tc>
          <w:tcPr/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Dentiscutata heterogama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Gigaspora decipiens</w:t>
            </w:r>
          </w:p>
        </w:tc>
        <w:tc>
          <w:tcPr/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42.99212598425197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Diversisporaceae</w:t>
            </w:r>
          </w:p>
        </w:tc>
        <w:tc>
          <w:tcPr/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Sieverdingia</w:t>
            </w:r>
          </w:p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tortuosa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</w:p>
        </w:tc>
        <w:tc>
          <w:tcPr/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644.9609375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pStyle w:val="Heading2"/>
              <w:keepNext w:val="0"/>
              <w:keepLines w:val="0"/>
              <w:widowControl w:val="0"/>
              <w:spacing w:after="80" w:before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bookmarkStart w:colFirst="0" w:colLast="0" w:name="_heading=h.fnq869pct4xb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Paraglomeraceae</w:t>
            </w:r>
          </w:p>
        </w:tc>
        <w:tc>
          <w:tcPr/>
          <w:p w:rsidR="00000000" w:rsidDel="00000000" w:rsidP="00000000" w:rsidRDefault="00000000" w:rsidRPr="00000000" w14:paraId="000000FD">
            <w:pPr>
              <w:pStyle w:val="Heading2"/>
              <w:keepNext w:val="0"/>
              <w:keepLines w:val="0"/>
              <w:widowControl w:val="0"/>
              <w:spacing w:after="80" w:before="0" w:line="24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</w:rPr>
            </w:pPr>
            <w:bookmarkStart w:colFirst="0" w:colLast="0" w:name="_heading=h.orea4f8cafuk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  <w:rtl w:val="0"/>
              </w:rPr>
              <w:t xml:space="preserve">Paraglomus laccatum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0"/>
                <w:szCs w:val="20"/>
                <w:rtl w:val="0"/>
              </w:rPr>
              <w:t xml:space="preserve">*</w:t>
            </w:r>
          </w:p>
        </w:tc>
        <w:tc>
          <w:tcPr/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  <w:tc>
          <w:tcPr/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SS</w:t>
            </w:r>
          </w:p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-</w:t>
            </w:r>
          </w:p>
        </w:tc>
      </w:tr>
      <w:tr>
        <w:trPr>
          <w:cantSplit w:val="0"/>
          <w:trHeight w:val="354.98046874999994" w:hRule="atLeast"/>
          <w:tblHeader w:val="0"/>
        </w:trPr>
        <w:tc>
          <w:tcPr>
            <w:tcBorders>
              <w:bottom w:color="000000" w:space="0" w:sz="12" w:val="single"/>
              <w:right w:color="f7f7f8" w:space="0" w:sz="8" w:val="single"/>
            </w:tcBorders>
          </w:tcPr>
          <w:p w:rsidR="00000000" w:rsidDel="00000000" w:rsidP="00000000" w:rsidRDefault="00000000" w:rsidRPr="00000000" w14:paraId="0000010A">
            <w:pPr>
              <w:pStyle w:val="Heading2"/>
              <w:keepNext w:val="0"/>
              <w:keepLines w:val="0"/>
              <w:widowControl w:val="0"/>
              <w:spacing w:after="80" w:before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bookmarkStart w:colFirst="0" w:colLast="0" w:name="_heading=h.ha68p8xwx7ka" w:id="2"/>
            <w:bookmarkEnd w:id="2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7f7f8" w:space="0" w:sz="8" w:val="single"/>
              <w:bottom w:color="000000" w:space="0" w:sz="12" w:val="single"/>
            </w:tcBorders>
          </w:tcPr>
          <w:p w:rsidR="00000000" w:rsidDel="00000000" w:rsidP="00000000" w:rsidRDefault="00000000" w:rsidRPr="00000000" w14:paraId="0000010B">
            <w:pPr>
              <w:pStyle w:val="Heading2"/>
              <w:keepNext w:val="0"/>
              <w:keepLines w:val="0"/>
              <w:widowControl w:val="0"/>
              <w:spacing w:after="80" w:before="0" w:line="24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bookmarkStart w:colFirst="0" w:colLast="0" w:name="_heading=h.kiq2zfxtzg3f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2" w:val="single"/>
            </w:tcBorders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11</w:t>
            </w:r>
          </w:p>
        </w:tc>
      </w:tr>
    </w:tbl>
    <w:p w:rsidR="00000000" w:rsidDel="00000000" w:rsidP="00000000" w:rsidRDefault="00000000" w:rsidRPr="00000000" w14:paraId="00000112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Site A: Riachuelo River; Site P: Riachuelo River;  Site C: Cildañez Stream; Site M: Matanza River; Site O: Ortega Stream; Site S: San Vicente Lagoon. Spores isolated from Soil Samples (SS);  Spores isolated from pot trap cultures (PTC); Absence of spores (-); Species mentioned for the first time in the MRB (*). </w:t>
      </w:r>
    </w:p>
    <w:p w:rsidR="00000000" w:rsidDel="00000000" w:rsidP="00000000" w:rsidRDefault="00000000" w:rsidRPr="00000000" w14:paraId="00000129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20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spacing w:after="200"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Table S3: Arbuscular mycorrhizal (AM) fungal richness probability per site.</w:t>
      </w:r>
    </w:p>
    <w:tbl>
      <w:tblPr>
        <w:tblStyle w:val="Table3"/>
        <w:tblW w:w="9028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Site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Predicted probability of AM fungal richness (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SE)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Group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0.69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0.06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0.56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0.13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0.44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0.50</w:t>
            </w:r>
            <m:oMath>
              <m:r>
                <m:t>±</m:t>
              </m:r>
            </m:oMath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0.12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ab</w:t>
            </w:r>
          </w:p>
        </w:tc>
      </w:tr>
    </w:tbl>
    <w:p w:rsidR="00000000" w:rsidDel="00000000" w:rsidP="00000000" w:rsidRDefault="00000000" w:rsidRPr="00000000" w14:paraId="00000141">
      <w:pPr>
        <w:spacing w:after="200"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Values are estimated marginal means ± SE. Different letters indicate significant differences among sites (Tukey post hoc test, α = 0.05). Lower basin (Site A, Site P, and Site C), middle basin (Site O and Site M), upper basin  (Site S). </w:t>
      </w:r>
    </w:p>
    <w:p w:rsidR="00000000" w:rsidDel="00000000" w:rsidP="00000000" w:rsidRDefault="00000000" w:rsidRPr="00000000" w14:paraId="00000142">
      <w:pPr>
        <w:spacing w:after="200" w:line="276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240" w:befor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Supplementary Figures</w:t>
      </w:r>
    </w:p>
    <w:p w:rsidR="00000000" w:rsidDel="00000000" w:rsidP="00000000" w:rsidRDefault="00000000" w:rsidRPr="00000000" w14:paraId="00000153">
      <w:pPr>
        <w:spacing w:after="240" w:befor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3968675" cy="7710568"/>
            <wp:effectExtent b="0" l="0" r="0" t="0"/>
            <wp:docPr id="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8675" cy="77105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Supplementary Figure S1: Sampling sites. (a) Site A: Riachuelo River; (b) Site P: Riachuelo River;  (c) Site C: Cildañez Stream; (e)  Site M: Matanza River; (d) Site O: Ortega Stream and (f) Site S: San Vicente Lagoon. </w:t>
      </w:r>
    </w:p>
    <w:p w:rsidR="00000000" w:rsidDel="00000000" w:rsidP="00000000" w:rsidRDefault="00000000" w:rsidRPr="00000000" w14:paraId="00000155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3822700"/>
            <wp:effectExtent b="0" l="0" r="0" t="0"/>
            <wp:docPr id="1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Figure S2: AM fungal richness probability per site. Different letters among columns indicate significant differences between sites' richness probability according to the Tukey test (α = 0.05). Site A: Riachuelo River; Site P: Riachuelo River;  Site C: Cildañez Stream; Site M: Matanza River; Site O: Ortega Stream; Site S: San Vicente Lagoon</w:t>
      </w:r>
    </w:p>
    <w:p w:rsidR="00000000" w:rsidDel="00000000" w:rsidP="00000000" w:rsidRDefault="00000000" w:rsidRPr="00000000" w14:paraId="00000157">
      <w:pPr>
        <w:spacing w:after="240" w:befor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20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200" w:line="48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292600"/>
            <wp:effectExtent b="0" l="0" r="0" t="0"/>
            <wp:docPr id="10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9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20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Figure S3: PCA plot of different soil physicochemical and mycorrhizal parameters, and MRB sampled sites. Colors represent individual parameter contributions to PC1 and PC2.Site A: Riachuelo River Central Town, Site P: Riachuelo River Borough, Piñeyro Town, Site C: Cildañez Stream, Site O: Ortega Stream, Site M: Matanza River, Site S: San Vicente Lagoon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after="240" w:before="240" w:line="48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399730" cy="5372100"/>
            <wp:effectExtent b="0" l="0" r="0" t="0"/>
            <wp:docPr id="1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537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24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Supplemental Figure 4: Pearson correlation heatplot of environmental soil conditions and arbuscular mycorrhizal (AM) fungal species. Colors indicate positive (red) and negative (blue) correlations. Framed squares show significant results (p-value &lt; 0.05). Table with presence of the species per site.  (*)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R. intraradices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was not included in the analysis due to its presence in all sites. </w:t>
      </w:r>
    </w:p>
    <w:sectPr>
      <w:footerReference r:id="rId12" w:type="default"/>
      <w:pgSz w:h="16834" w:w="11909" w:orient="portrait"/>
      <w:pgMar w:bottom="1440" w:top="1440" w:left="1440" w:right="1440" w:header="720" w:footer="720"/>
      <w:lnNumType w:countBy="1" w:start="0" w:restart="continuous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D">
    <w:pPr>
      <w:jc w:val="right"/>
      <w:rPr/>
    </w:pP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4"/>
        <w:szCs w:val="24"/>
        <w:rtl w:val="0"/>
      </w:rPr>
      <w:t xml:space="preserve">S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4.jpg"/><Relationship Id="rId12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oxanacolombo@bg.fcen.uba.ar" TargetMode="Externa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j2cTO/u1vnN5wNAr3c3nyan9Ag==">CgMxLjAyDmguZm5xODY5cGN0NHhiMg5oLm9yZWE0ZjhjYWZ1azIOaC5oYTY4cDh4d3g3a2EyDmgua2lxMnpmeHR6ZzNmOAByITFtTnluUmZTVVFyaGhDYmZNdkJsUEFkWExHVmtUR29hTA==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