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E36F9" w14:textId="77777777" w:rsidR="0060169A" w:rsidRPr="00A37F4A" w:rsidRDefault="0060169A" w:rsidP="0060169A">
      <w:pPr>
        <w:spacing w:line="360" w:lineRule="auto"/>
        <w:jc w:val="both"/>
        <w:rPr>
          <w:b/>
          <w:bCs/>
        </w:rPr>
      </w:pPr>
      <w:r w:rsidRPr="00A37F4A">
        <w:rPr>
          <w:b/>
          <w:bCs/>
        </w:rPr>
        <w:t xml:space="preserve">10. </w:t>
      </w:r>
      <w:proofErr w:type="spellStart"/>
      <w:r w:rsidRPr="00A37F4A">
        <w:rPr>
          <w:b/>
          <w:bCs/>
        </w:rPr>
        <w:t>Appnedices</w:t>
      </w:r>
      <w:proofErr w:type="spellEnd"/>
    </w:p>
    <w:p w14:paraId="0C3FD423" w14:textId="77777777" w:rsidR="0060169A" w:rsidRDefault="0060169A" w:rsidP="0060169A">
      <w:pPr>
        <w:spacing w:line="360" w:lineRule="auto"/>
        <w:jc w:val="both"/>
        <w:rPr>
          <w:b/>
          <w:bCs/>
        </w:rPr>
      </w:pPr>
      <w:r w:rsidRPr="00A37F4A">
        <w:rPr>
          <w:b/>
          <w:bCs/>
        </w:rPr>
        <w:t>10.1 Figures</w:t>
      </w:r>
    </w:p>
    <w:p w14:paraId="07BA08DA" w14:textId="77777777" w:rsidR="0060169A" w:rsidRPr="00A37F4A" w:rsidRDefault="0060169A" w:rsidP="0060169A">
      <w:pPr>
        <w:spacing w:line="360" w:lineRule="auto"/>
        <w:jc w:val="both"/>
        <w:rPr>
          <w:b/>
          <w:bCs/>
        </w:rPr>
      </w:pPr>
      <w:r>
        <w:rPr>
          <w:b/>
          <w:bCs/>
          <w:noProof/>
        </w:rPr>
        <w:drawing>
          <wp:inline distT="0" distB="0" distL="0" distR="0" wp14:anchorId="51B42C0C" wp14:editId="080AAF3D">
            <wp:extent cx="2790799" cy="1298795"/>
            <wp:effectExtent l="0" t="0" r="0" b="0"/>
            <wp:docPr id="641073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073761" name="Picture 64107376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24225" cy="1314351"/>
                    </a:xfrm>
                    <a:prstGeom prst="rect">
                      <a:avLst/>
                    </a:prstGeom>
                  </pic:spPr>
                </pic:pic>
              </a:graphicData>
            </a:graphic>
          </wp:inline>
        </w:drawing>
      </w:r>
    </w:p>
    <w:p w14:paraId="06F24746" w14:textId="77777777" w:rsidR="0060169A" w:rsidRDefault="0060169A" w:rsidP="0060169A">
      <w:pPr>
        <w:spacing w:line="360" w:lineRule="auto"/>
        <w:jc w:val="both"/>
      </w:pPr>
      <w:r w:rsidRPr="00BE7157">
        <w:rPr>
          <w:b/>
          <w:bCs/>
          <w:sz w:val="20"/>
          <w:szCs w:val="20"/>
        </w:rPr>
        <w:t>Figure 1:</w:t>
      </w:r>
      <w:r w:rsidRPr="00BE7157">
        <w:rPr>
          <w:sz w:val="20"/>
          <w:szCs w:val="20"/>
        </w:rPr>
        <w:t xml:space="preserve"> Reservoir Characterization Performance Comparison</w:t>
      </w:r>
      <w:r w:rsidRPr="00BE7157">
        <w:br/>
        <w:t>This figure compares the performance of six machine learning models against conventional empirical methods for predicting porosity and permeability from well log data. The left panel shows porosity prediction with neural networks achieving R squared of 0.94 representing a 23 percent improvement over conventional methods at 0.76. The right panel shows permeability prediction with neural networks achieving R squared of 0.89 compared to 0.72 for conventional methods. Deep neural networks and random forests demonstrate competitive performance while support vector regression shows advantages for smaller datasets.</w:t>
      </w:r>
    </w:p>
    <w:p w14:paraId="17A50520" w14:textId="77777777" w:rsidR="0060169A" w:rsidRPr="00BE7157" w:rsidRDefault="0060169A" w:rsidP="0060169A">
      <w:pPr>
        <w:spacing w:line="360" w:lineRule="auto"/>
        <w:jc w:val="both"/>
      </w:pPr>
      <w:r>
        <w:rPr>
          <w:noProof/>
        </w:rPr>
        <w:drawing>
          <wp:inline distT="0" distB="0" distL="0" distR="0" wp14:anchorId="1CF179B3" wp14:editId="76D686E4">
            <wp:extent cx="2752884" cy="1561438"/>
            <wp:effectExtent l="0" t="0" r="0" b="1270"/>
            <wp:docPr id="62225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2523" name="Picture 622252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85379" cy="1579869"/>
                    </a:xfrm>
                    <a:prstGeom prst="rect">
                      <a:avLst/>
                    </a:prstGeom>
                  </pic:spPr>
                </pic:pic>
              </a:graphicData>
            </a:graphic>
          </wp:inline>
        </w:drawing>
      </w:r>
    </w:p>
    <w:p w14:paraId="30C2550C" w14:textId="77777777" w:rsidR="0060169A" w:rsidRDefault="0060169A" w:rsidP="0060169A">
      <w:pPr>
        <w:spacing w:line="360" w:lineRule="auto"/>
        <w:jc w:val="both"/>
      </w:pPr>
      <w:r w:rsidRPr="00BE7157">
        <w:rPr>
          <w:b/>
          <w:bCs/>
          <w:sz w:val="20"/>
          <w:szCs w:val="20"/>
        </w:rPr>
        <w:t xml:space="preserve">Figure 2: </w:t>
      </w:r>
      <w:r w:rsidRPr="00BE7157">
        <w:rPr>
          <w:sz w:val="20"/>
          <w:szCs w:val="20"/>
        </w:rPr>
        <w:t>Production Forecasting Accuracy Comparison</w:t>
      </w:r>
      <w:r w:rsidRPr="00BE7157">
        <w:br/>
        <w:t>This figure presents production forecasting accuracy across six forecast horizons from 30 to 180 days for four model types. Long short-term memory networks achieve 94.7 percent accuracy at 30 days compared to 82.3 percent for decline curve analysis representing a 12.4 percentage point improvement. Hybrid physics machine learning models show superior performance at longer horizons reaching 88.3 percent accuracy at 180 days compared to 71.2 percent for decline curves representing a 15.3 percentage point advantage. Gated recurrent units offer slightly lower accuracy but faster training times.</w:t>
      </w:r>
    </w:p>
    <w:p w14:paraId="2A457E95" w14:textId="77777777" w:rsidR="0060169A" w:rsidRPr="00BE7157" w:rsidRDefault="0060169A" w:rsidP="0060169A">
      <w:pPr>
        <w:spacing w:line="360" w:lineRule="auto"/>
        <w:jc w:val="both"/>
      </w:pPr>
      <w:r>
        <w:rPr>
          <w:noProof/>
        </w:rPr>
        <w:lastRenderedPageBreak/>
        <w:drawing>
          <wp:inline distT="0" distB="0" distL="0" distR="0" wp14:anchorId="1F01C1E1" wp14:editId="2177A1B1">
            <wp:extent cx="2819400" cy="1747197"/>
            <wp:effectExtent l="0" t="0" r="0" b="5715"/>
            <wp:docPr id="13707524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752405" name="Picture 1370752405"/>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71000" cy="1779174"/>
                    </a:xfrm>
                    <a:prstGeom prst="rect">
                      <a:avLst/>
                    </a:prstGeom>
                  </pic:spPr>
                </pic:pic>
              </a:graphicData>
            </a:graphic>
          </wp:inline>
        </w:drawing>
      </w:r>
    </w:p>
    <w:p w14:paraId="4715F012" w14:textId="77777777" w:rsidR="0060169A" w:rsidRPr="00BE7157" w:rsidRDefault="0060169A" w:rsidP="0060169A">
      <w:pPr>
        <w:spacing w:line="360" w:lineRule="auto"/>
        <w:jc w:val="both"/>
      </w:pPr>
      <w:r w:rsidRPr="00BE7157">
        <w:rPr>
          <w:b/>
          <w:bCs/>
          <w:sz w:val="20"/>
          <w:szCs w:val="20"/>
        </w:rPr>
        <w:t xml:space="preserve">Figure 3: </w:t>
      </w:r>
      <w:r w:rsidRPr="00BE7157">
        <w:rPr>
          <w:sz w:val="20"/>
          <w:szCs w:val="20"/>
        </w:rPr>
        <w:t>Predictive Maintenance Performance by Failure Mode</w:t>
      </w:r>
      <w:r w:rsidRPr="00BE7157">
        <w:br/>
        <w:t>This figure displays precision, recall, and F1 scores for six equipment failure modes using random forest classifiers. Bearing failures achieve the highest prediction accuracy at 91.2 percent precision and 89.5 percent recall while electrical failures prove most difficult at 78.4 percent precision and 74.2 percent recall. The average F1 score across all failure modes is 82.6 percent. Implementation of predictive maintenance reduced unplanned downtime by 18.3 percent with estimated annual savings of 4.2 million dollars per medium sized facility.</w:t>
      </w:r>
    </w:p>
    <w:p w14:paraId="2FA7C97E" w14:textId="77777777" w:rsidR="0060169A" w:rsidRDefault="0060169A" w:rsidP="0060169A">
      <w:pPr>
        <w:spacing w:line="360" w:lineRule="auto"/>
        <w:jc w:val="both"/>
        <w:rPr>
          <w:b/>
          <w:bCs/>
        </w:rPr>
      </w:pPr>
      <w:r w:rsidRPr="00A37F4A">
        <w:rPr>
          <w:b/>
          <w:bCs/>
        </w:rPr>
        <w:t>10.2 Tables</w:t>
      </w:r>
    </w:p>
    <w:p w14:paraId="52E9B047" w14:textId="77777777" w:rsidR="0060169A" w:rsidRDefault="0060169A" w:rsidP="0060169A">
      <w:pPr>
        <w:tabs>
          <w:tab w:val="left" w:pos="7200"/>
        </w:tabs>
        <w:spacing w:line="360" w:lineRule="auto"/>
        <w:jc w:val="both"/>
        <w:rPr>
          <w:sz w:val="20"/>
          <w:szCs w:val="20"/>
        </w:rPr>
      </w:pPr>
      <w:r w:rsidRPr="00BE7157">
        <w:rPr>
          <w:b/>
          <w:bCs/>
          <w:sz w:val="20"/>
          <w:szCs w:val="20"/>
        </w:rPr>
        <w:t xml:space="preserve">Table 1: </w:t>
      </w:r>
      <w:r w:rsidRPr="00BE7157">
        <w:rPr>
          <w:sz w:val="20"/>
          <w:szCs w:val="20"/>
        </w:rPr>
        <w:t>Summary of Machine Learning Performance Across Upstream Applications</w:t>
      </w:r>
      <w:r>
        <w:rPr>
          <w:sz w:val="20"/>
          <w:szCs w:val="20"/>
        </w:rPr>
        <w:tab/>
      </w:r>
    </w:p>
    <w:p w14:paraId="6A1C74E6" w14:textId="77777777" w:rsidR="0060169A" w:rsidRPr="0035608B" w:rsidRDefault="0060169A" w:rsidP="0060169A">
      <w:pPr>
        <w:tabs>
          <w:tab w:val="left" w:pos="7200"/>
        </w:tabs>
        <w:spacing w:line="360" w:lineRule="auto"/>
        <w:jc w:val="both"/>
        <w:rPr>
          <w:sz w:val="20"/>
          <w:szCs w:val="20"/>
        </w:rPr>
      </w:pPr>
      <w:r>
        <w:rPr>
          <w:noProof/>
          <w:sz w:val="20"/>
          <w:szCs w:val="20"/>
        </w:rPr>
        <w:drawing>
          <wp:inline distT="0" distB="0" distL="0" distR="0" wp14:anchorId="0582CBAF" wp14:editId="05CCBDE3">
            <wp:extent cx="2769454" cy="1703688"/>
            <wp:effectExtent l="0" t="0" r="0" b="0"/>
            <wp:docPr id="18063138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313896" name="Picture 1806313896"/>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2032" cy="1717577"/>
                    </a:xfrm>
                    <a:prstGeom prst="rect">
                      <a:avLst/>
                    </a:prstGeom>
                  </pic:spPr>
                </pic:pic>
              </a:graphicData>
            </a:graphic>
          </wp:inline>
        </w:drawing>
      </w:r>
    </w:p>
    <w:p w14:paraId="60BD84FA" w14:textId="77777777" w:rsidR="0060169A" w:rsidRDefault="0060169A" w:rsidP="0060169A">
      <w:pPr>
        <w:spacing w:line="360" w:lineRule="auto"/>
        <w:jc w:val="both"/>
      </w:pPr>
      <w:r w:rsidRPr="00BE7157">
        <w:t xml:space="preserve">This comprehensive table summarizes performance metrics for all three application areas including reservoir characterization, production forecasting, and predictive maintenance. For each specific task the best performing model, achieved accuracy, improvement over conventional methods, and business impact are reported. Reservoir characterization shows 23 percent improvement, production </w:t>
      </w:r>
      <w:proofErr w:type="gramStart"/>
      <w:r w:rsidRPr="00BE7157">
        <w:t>forecasting</w:t>
      </w:r>
      <w:proofErr w:type="gramEnd"/>
      <w:r w:rsidRPr="00BE7157">
        <w:t xml:space="preserve"> shows 12.4 to 15.3 percentage point improvements, and predictive maintenance delivers 18.3 percent downtime reduction with 4.2 million dollars annual savings.</w:t>
      </w:r>
    </w:p>
    <w:p w14:paraId="61A35A76" w14:textId="77777777" w:rsidR="0060169A" w:rsidRDefault="0060169A" w:rsidP="0060169A">
      <w:pPr>
        <w:spacing w:line="360" w:lineRule="auto"/>
        <w:jc w:val="both"/>
        <w:rPr>
          <w:sz w:val="20"/>
          <w:szCs w:val="20"/>
        </w:rPr>
      </w:pPr>
      <w:r w:rsidRPr="00BE7157">
        <w:rPr>
          <w:b/>
          <w:bCs/>
          <w:sz w:val="20"/>
          <w:szCs w:val="20"/>
        </w:rPr>
        <w:t>Table 2:</w:t>
      </w:r>
      <w:r w:rsidRPr="00BE7157">
        <w:rPr>
          <w:sz w:val="20"/>
          <w:szCs w:val="20"/>
        </w:rPr>
        <w:t xml:space="preserve"> Model Characteristics and Computational Requirements</w:t>
      </w:r>
    </w:p>
    <w:p w14:paraId="52D2536F" w14:textId="77777777" w:rsidR="0060169A" w:rsidRPr="00D4585C" w:rsidRDefault="0060169A" w:rsidP="0060169A">
      <w:pPr>
        <w:spacing w:line="360" w:lineRule="auto"/>
        <w:jc w:val="both"/>
        <w:rPr>
          <w:sz w:val="20"/>
          <w:szCs w:val="20"/>
        </w:rPr>
      </w:pPr>
      <w:r>
        <w:rPr>
          <w:noProof/>
          <w:sz w:val="20"/>
          <w:szCs w:val="20"/>
        </w:rPr>
        <w:lastRenderedPageBreak/>
        <w:drawing>
          <wp:inline distT="0" distB="0" distL="0" distR="0" wp14:anchorId="1A9D619E" wp14:editId="22B6AE10">
            <wp:extent cx="2686050" cy="1795780"/>
            <wp:effectExtent l="0" t="0" r="0" b="0"/>
            <wp:docPr id="14374053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05333" name="Picture 143740533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21359" cy="1819386"/>
                    </a:xfrm>
                    <a:prstGeom prst="rect">
                      <a:avLst/>
                    </a:prstGeom>
                  </pic:spPr>
                </pic:pic>
              </a:graphicData>
            </a:graphic>
          </wp:inline>
        </w:drawing>
      </w:r>
    </w:p>
    <w:p w14:paraId="69D798BF" w14:textId="77777777" w:rsidR="0060169A" w:rsidRPr="00D4585C" w:rsidRDefault="0060169A" w:rsidP="0060169A">
      <w:pPr>
        <w:spacing w:line="360" w:lineRule="auto"/>
        <w:jc w:val="both"/>
      </w:pPr>
      <w:r w:rsidRPr="00BE7157">
        <w:t xml:space="preserve">This table details the characteristics of eight machine learning models including their primary applications, training times, inference speeds, interpretability levels, and key advantages. Training times range from 0.75 hours for random forests to 10.3 hours for physics informed neural networks while all models achieve inference times under 0.1 milliseconds enabling real time deployment. Interpretability varies from low for deep learning models </w:t>
      </w:r>
      <w:proofErr w:type="spellStart"/>
      <w:r w:rsidRPr="00BE7157">
        <w:t>to</w:t>
      </w:r>
      <w:proofErr w:type="spellEnd"/>
      <w:r w:rsidRPr="00BE7157">
        <w:t xml:space="preserve"> high for random forests and hybrid physics models. Code is available upon request for research purposes.</w:t>
      </w:r>
    </w:p>
    <w:p w14:paraId="0F0BC5E9" w14:textId="77777777" w:rsidR="0060169A" w:rsidRDefault="0060169A" w:rsidP="0060169A">
      <w:pPr>
        <w:spacing w:line="360" w:lineRule="auto"/>
        <w:jc w:val="both"/>
      </w:pPr>
    </w:p>
    <w:p w14:paraId="0257539F" w14:textId="77777777" w:rsidR="00A91650" w:rsidRDefault="00A91650"/>
    <w:sectPr w:rsidR="00A91650" w:rsidSect="0060169A">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69A"/>
    <w:rsid w:val="000E2EDD"/>
    <w:rsid w:val="001C2787"/>
    <w:rsid w:val="0060169A"/>
    <w:rsid w:val="00913975"/>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1F3FE"/>
  <w15:chartTrackingRefBased/>
  <w15:docId w15:val="{1F99087A-854B-4231-99FF-07D04B5CE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69A"/>
    <w:rPr>
      <w:lang w:val="en-US"/>
    </w:rPr>
  </w:style>
  <w:style w:type="paragraph" w:styleId="Heading1">
    <w:name w:val="heading 1"/>
    <w:basedOn w:val="Normal"/>
    <w:next w:val="Normal"/>
    <w:link w:val="Heading1Char"/>
    <w:uiPriority w:val="9"/>
    <w:qFormat/>
    <w:rsid w:val="0060169A"/>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60169A"/>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60169A"/>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60169A"/>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60169A"/>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60169A"/>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60169A"/>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60169A"/>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60169A"/>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6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16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16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16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16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16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16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16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169A"/>
    <w:rPr>
      <w:rFonts w:eastAsiaTheme="majorEastAsia" w:cstheme="majorBidi"/>
      <w:color w:val="272727" w:themeColor="text1" w:themeTint="D8"/>
    </w:rPr>
  </w:style>
  <w:style w:type="paragraph" w:styleId="Title">
    <w:name w:val="Title"/>
    <w:basedOn w:val="Normal"/>
    <w:next w:val="Normal"/>
    <w:link w:val="TitleChar"/>
    <w:uiPriority w:val="10"/>
    <w:qFormat/>
    <w:rsid w:val="0060169A"/>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6016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169A"/>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6016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169A"/>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60169A"/>
    <w:rPr>
      <w:i/>
      <w:iCs/>
      <w:color w:val="404040" w:themeColor="text1" w:themeTint="BF"/>
    </w:rPr>
  </w:style>
  <w:style w:type="paragraph" w:styleId="ListParagraph">
    <w:name w:val="List Paragraph"/>
    <w:basedOn w:val="Normal"/>
    <w:uiPriority w:val="34"/>
    <w:qFormat/>
    <w:rsid w:val="0060169A"/>
    <w:pPr>
      <w:ind w:left="720"/>
      <w:contextualSpacing/>
    </w:pPr>
    <w:rPr>
      <w:lang w:val="en-IN"/>
    </w:rPr>
  </w:style>
  <w:style w:type="character" w:styleId="IntenseEmphasis">
    <w:name w:val="Intense Emphasis"/>
    <w:basedOn w:val="DefaultParagraphFont"/>
    <w:uiPriority w:val="21"/>
    <w:qFormat/>
    <w:rsid w:val="0060169A"/>
    <w:rPr>
      <w:i/>
      <w:iCs/>
      <w:color w:val="0F4761" w:themeColor="accent1" w:themeShade="BF"/>
    </w:rPr>
  </w:style>
  <w:style w:type="paragraph" w:styleId="IntenseQuote">
    <w:name w:val="Intense Quote"/>
    <w:basedOn w:val="Normal"/>
    <w:next w:val="Normal"/>
    <w:link w:val="IntenseQuoteChar"/>
    <w:uiPriority w:val="30"/>
    <w:qFormat/>
    <w:rsid w:val="006016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60169A"/>
    <w:rPr>
      <w:i/>
      <w:iCs/>
      <w:color w:val="0F4761" w:themeColor="accent1" w:themeShade="BF"/>
    </w:rPr>
  </w:style>
  <w:style w:type="character" w:styleId="IntenseReference">
    <w:name w:val="Intense Reference"/>
    <w:basedOn w:val="DefaultParagraphFont"/>
    <w:uiPriority w:val="32"/>
    <w:qFormat/>
    <w:rsid w:val="006016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438</Words>
  <Characters>2796</Characters>
  <Application>Microsoft Office Word</Application>
  <DocSecurity>0</DocSecurity>
  <Lines>98</Lines>
  <Paragraphs>10</Paragraphs>
  <ScaleCrop>false</ScaleCrop>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2026-03-13T15:49:00Z</dcterms:created>
  <dcterms:modified xsi:type="dcterms:W3CDTF">2026-03-13T15:50:00Z</dcterms:modified>
</cp:coreProperties>
</file>